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003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039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PETERSON RENEE J</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12/03/2015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86"/>
        <w:spacing w:after="0"/>
        <w:rPr>
          <w:sz w:val="20"/>
          <w:szCs w:val="20"/>
          <w:color w:val="auto"/>
        </w:rPr>
      </w:pPr>
      <w:r>
        <w:rPr>
          <w:rFonts w:ascii="Arial" w:cs="Arial" w:eastAsia="Arial" w:hAnsi="Arial"/>
          <w:sz w:val="17"/>
          <w:szCs w:val="17"/>
          <w:color w:val="0000FF"/>
        </w:rPr>
        <w:t>VP, Treasurer &amp; CFO</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380" w:type="dxa"/>
            <w:vAlign w:val="bottom"/>
            <w:gridSpan w:val="2"/>
          </w:tcPr>
          <w:p>
            <w:pPr>
              <w:ind w:left="48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00"/>
              <w:spacing w:after="0" w:line="132"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7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1380" w:type="dxa"/>
            <w:vAlign w:val="bottom"/>
            <w:gridSpan w:val="2"/>
          </w:tcPr>
          <w:p>
            <w:pPr>
              <w:ind w:left="480"/>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0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Beneficially</w:t>
            </w:r>
          </w:p>
        </w:tc>
        <w:tc>
          <w:tcPr>
            <w:tcW w:w="1380" w:type="dxa"/>
            <w:vAlign w:val="bottom"/>
            <w:gridSpan w:val="2"/>
          </w:tcPr>
          <w:p>
            <w:pPr>
              <w:jc w:val="center"/>
              <w:ind w:left="299"/>
              <w:spacing w:after="0" w:line="134" w:lineRule="exact"/>
              <w:rPr>
                <w:sz w:val="20"/>
                <w:szCs w:val="20"/>
                <w:color w:val="auto"/>
              </w:rPr>
            </w:pPr>
            <w:r>
              <w:rPr>
                <w:rFonts w:ascii="Arial" w:cs="Arial" w:eastAsia="Arial" w:hAnsi="Arial"/>
                <w:sz w:val="12"/>
                <w:szCs w:val="12"/>
                <w:b w:val="1"/>
                <w:bCs w:val="1"/>
                <w:color w:val="auto"/>
                <w:w w:val="99"/>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Owned Following   (I)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80" w:type="dxa"/>
            <w:vAlign w:val="bottom"/>
            <w:vMerge w:val="restart"/>
          </w:tcPr>
          <w:p>
            <w:pPr>
              <w:ind w:left="40"/>
              <w:spacing w:after="0" w:line="134"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5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80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12/03/2015</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8"/>
              </w:rPr>
              <w:t>10,737</w:t>
            </w:r>
            <w:r>
              <w:rPr>
                <w:rFonts w:ascii="Arial" w:cs="Arial" w:eastAsia="Arial" w:hAnsi="Arial"/>
                <w:sz w:val="22"/>
                <w:szCs w:val="22"/>
                <w:color w:val="008000"/>
                <w:w w:val="88"/>
                <w:vertAlign w:val="superscript"/>
              </w:rPr>
              <w:t>(1)</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580" w:type="dxa"/>
            <w:vAlign w:val="bottom"/>
            <w:tcBorders>
              <w:bottom w:val="single" w:sz="8" w:color="2C2C2C"/>
            </w:tcBorders>
            <w:gridSpan w:val="3"/>
          </w:tcPr>
          <w:p>
            <w:pPr>
              <w:jc w:val="center"/>
              <w:ind w:right="319"/>
              <w:spacing w:after="0"/>
              <w:rPr>
                <w:sz w:val="20"/>
                <w:szCs w:val="20"/>
                <w:color w:val="auto"/>
              </w:rPr>
            </w:pPr>
            <w:r>
              <w:rPr>
                <w:rFonts w:ascii="Arial" w:cs="Arial" w:eastAsia="Arial" w:hAnsi="Arial"/>
                <w:sz w:val="17"/>
                <w:szCs w:val="17"/>
                <w:color w:val="0000FF"/>
                <w:w w:val="89"/>
              </w:rPr>
              <w:t>25,369.636</w:t>
            </w:r>
            <w:r>
              <w:rPr>
                <w:rFonts w:ascii="Arial" w:cs="Arial" w:eastAsia="Arial" w:hAnsi="Arial"/>
                <w:sz w:val="22"/>
                <w:szCs w:val="22"/>
                <w:color w:val="008000"/>
                <w:w w:val="89"/>
                <w:vertAlign w:val="superscript"/>
              </w:rPr>
              <w:t>(2)</w:t>
            </w:r>
          </w:p>
        </w:tc>
        <w:tc>
          <w:tcPr>
            <w:tcW w:w="600" w:type="dxa"/>
            <w:vAlign w:val="bottom"/>
            <w:tcBorders>
              <w:bottom w:val="single" w:sz="8" w:color="2C2C2C"/>
            </w:tcBorders>
          </w:tcPr>
          <w:p>
            <w:pPr>
              <w:jc w:val="center"/>
              <w:ind w:right="331"/>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580" w:type="dxa"/>
            <w:vAlign w:val="bottom"/>
            <w:gridSpan w:val="3"/>
          </w:tcPr>
          <w:p>
            <w:pPr>
              <w:jc w:val="center"/>
              <w:ind w:right="299"/>
              <w:spacing w:after="0"/>
              <w:rPr>
                <w:sz w:val="20"/>
                <w:szCs w:val="20"/>
                <w:color w:val="auto"/>
              </w:rPr>
            </w:pPr>
            <w:r>
              <w:rPr>
                <w:rFonts w:ascii="Arial" w:cs="Arial" w:eastAsia="Arial" w:hAnsi="Arial"/>
                <w:sz w:val="17"/>
                <w:szCs w:val="17"/>
                <w:color w:val="0000FF"/>
                <w:w w:val="91"/>
              </w:rPr>
              <w:t>27,558.672</w:t>
            </w:r>
          </w:p>
        </w:tc>
        <w:tc>
          <w:tcPr>
            <w:tcW w:w="600" w:type="dxa"/>
            <w:vAlign w:val="bottom"/>
          </w:tcPr>
          <w:p>
            <w:pPr>
              <w:jc w:val="center"/>
              <w:ind w:right="331"/>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80" w:type="dxa"/>
            <w:vAlign w:val="bottom"/>
            <w:gridSpan w:val="3"/>
          </w:tcPr>
          <w:p>
            <w:pPr>
              <w:jc w:val="center"/>
              <w:ind w:right="299"/>
              <w:spacing w:after="0" w:line="214" w:lineRule="exact"/>
              <w:rPr>
                <w:sz w:val="20"/>
                <w:szCs w:val="20"/>
                <w:color w:val="auto"/>
              </w:rPr>
            </w:pPr>
            <w:r>
              <w:rPr>
                <w:rFonts w:ascii="Arial" w:cs="Arial" w:eastAsia="Arial" w:hAnsi="Arial"/>
                <w:sz w:val="17"/>
                <w:szCs w:val="17"/>
                <w:color w:val="0000FF"/>
                <w:w w:val="88"/>
              </w:rPr>
              <w:t>201.458</w:t>
            </w:r>
            <w:r>
              <w:rPr>
                <w:rFonts w:ascii="Arial" w:cs="Arial" w:eastAsia="Arial" w:hAnsi="Arial"/>
                <w:sz w:val="22"/>
                <w:szCs w:val="22"/>
                <w:color w:val="008000"/>
                <w:w w:val="88"/>
                <w:vertAlign w:val="superscript"/>
              </w:rPr>
              <w:t>(3)</w:t>
            </w:r>
          </w:p>
        </w:tc>
        <w:tc>
          <w:tcPr>
            <w:tcW w:w="600" w:type="dxa"/>
            <w:vAlign w:val="bottom"/>
          </w:tcPr>
          <w:p>
            <w:pPr>
              <w:jc w:val="center"/>
              <w:ind w:right="311"/>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680" w:type="dxa"/>
            <w:vAlign w:val="bottom"/>
            <w:tcBorders>
              <w:bottom w:val="single" w:sz="8" w:color="2C2C2C"/>
            </w:tcBorders>
            <w:gridSpan w:val="10"/>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6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 Amount</w:t>
            </w:r>
          </w:p>
        </w:tc>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2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77.64</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12/04/2015</w:t>
            </w:r>
          </w:p>
        </w:tc>
        <w:tc>
          <w:tcPr>
            <w:tcW w:w="1180" w:type="dxa"/>
            <w:vAlign w:val="bottom"/>
          </w:tcPr>
          <w:p>
            <w:pPr>
              <w:spacing w:after="0"/>
              <w:rPr>
                <w:sz w:val="17"/>
                <w:szCs w:val="17"/>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17"/>
                <w:szCs w:val="17"/>
                <w:color w:val="auto"/>
              </w:rPr>
            </w:pPr>
          </w:p>
        </w:tc>
        <w:tc>
          <w:tcPr>
            <w:tcW w:w="540" w:type="dxa"/>
            <w:vAlign w:val="bottom"/>
          </w:tcPr>
          <w:p>
            <w:pPr>
              <w:ind w:left="80"/>
              <w:spacing w:after="0"/>
              <w:rPr>
                <w:sz w:val="20"/>
                <w:szCs w:val="20"/>
                <w:color w:val="auto"/>
              </w:rPr>
            </w:pPr>
            <w:r>
              <w:rPr>
                <w:rFonts w:ascii="Arial" w:cs="Arial" w:eastAsia="Arial" w:hAnsi="Arial"/>
                <w:sz w:val="13"/>
                <w:szCs w:val="13"/>
                <w:color w:val="0000FF"/>
              </w:rPr>
              <w:t>19,700</w:t>
            </w:r>
          </w:p>
        </w:tc>
        <w:tc>
          <w:tcPr>
            <w:tcW w:w="320" w:type="dxa"/>
            <w:vAlign w:val="bottom"/>
          </w:tcPr>
          <w:p>
            <w:pPr>
              <w:spacing w:after="0"/>
              <w:rPr>
                <w:sz w:val="17"/>
                <w:szCs w:val="17"/>
                <w:color w:val="auto"/>
              </w:rPr>
            </w:pPr>
          </w:p>
        </w:tc>
        <w:tc>
          <w:tcPr>
            <w:tcW w:w="800" w:type="dxa"/>
            <w:vAlign w:val="bottom"/>
          </w:tcPr>
          <w:p>
            <w:pPr>
              <w:ind w:left="300"/>
              <w:spacing w:after="0"/>
              <w:rPr>
                <w:sz w:val="20"/>
                <w:szCs w:val="20"/>
                <w:color w:val="auto"/>
              </w:rPr>
            </w:pPr>
            <w:r>
              <w:rPr>
                <w:rFonts w:ascii="Arial" w:cs="Arial" w:eastAsia="Arial" w:hAnsi="Arial"/>
                <w:sz w:val="11"/>
                <w:szCs w:val="11"/>
                <w:color w:val="008000"/>
              </w:rPr>
              <w:t>(4)</w:t>
            </w:r>
          </w:p>
        </w:tc>
        <w:tc>
          <w:tcPr>
            <w:tcW w:w="780" w:type="dxa"/>
            <w:vAlign w:val="bottom"/>
          </w:tcPr>
          <w:p>
            <w:pPr>
              <w:ind w:left="60"/>
              <w:spacing w:after="0"/>
              <w:rPr>
                <w:sz w:val="20"/>
                <w:szCs w:val="20"/>
                <w:color w:val="auto"/>
              </w:rPr>
            </w:pPr>
            <w:r>
              <w:rPr>
                <w:rFonts w:ascii="Arial" w:cs="Arial" w:eastAsia="Arial" w:hAnsi="Arial"/>
                <w:sz w:val="13"/>
                <w:szCs w:val="13"/>
                <w:color w:val="0000FF"/>
              </w:rPr>
              <w:t>12/04/2025</w:t>
            </w:r>
          </w:p>
        </w:tc>
        <w:tc>
          <w:tcPr>
            <w:tcW w:w="660" w:type="dxa"/>
            <w:vAlign w:val="bottom"/>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20"/>
                <w:szCs w:val="20"/>
                <w:color w:val="auto"/>
              </w:rPr>
            </w:pPr>
            <w:r>
              <w:rPr>
                <w:rFonts w:ascii="Arial" w:cs="Arial" w:eastAsia="Arial" w:hAnsi="Arial"/>
                <w:sz w:val="17"/>
                <w:szCs w:val="17"/>
                <w:color w:val="0000FF"/>
                <w:w w:val="99"/>
              </w:rPr>
              <w:t>19,700</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tcPr>
          <w:p>
            <w:pPr>
              <w:ind w:left="240"/>
              <w:spacing w:after="0"/>
              <w:rPr>
                <w:sz w:val="20"/>
                <w:szCs w:val="20"/>
                <w:color w:val="auto"/>
              </w:rPr>
            </w:pPr>
            <w:r>
              <w:rPr>
                <w:rFonts w:ascii="Arial" w:cs="Arial" w:eastAsia="Arial" w:hAnsi="Arial"/>
                <w:sz w:val="13"/>
                <w:szCs w:val="13"/>
                <w:color w:val="0000FF"/>
              </w:rPr>
              <w:t>19,700</w:t>
            </w: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ind w:left="120"/>
              <w:spacing w:after="0" w:line="109"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180" w:firstLine="8"/>
        <w:spacing w:after="0" w:line="276"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payout of a Performance Share Award for the Fiscal 2013 to Fiscal 2015 Performance Period under The Toro Company Amended and Restated 2010 Equity and Incentive Plan, as amended, as approved by the registrant's Compensation &amp; Human Resources Committee of its Board of Directors on December 1, 2015, and which was conditioned upon and subject to confirmation by the registrant's Fiscal 2015 financial results that were released on December 3, 2015. The reporting person has deferred the payout of her Performance Share Award under The Toro Company Deferred Compensation Plan for Officers (the "Deferred Plan") and, accordingly, the reporting person's Performance Share Award is paid in performance share units under the Deferred Plan.</w:t>
      </w:r>
    </w:p>
    <w:p>
      <w:pPr>
        <w:spacing w:after="0" w:line="9" w:lineRule="exact"/>
        <w:rPr>
          <w:rFonts w:ascii="Arial" w:cs="Arial" w:eastAsia="Arial" w:hAnsi="Arial"/>
          <w:sz w:val="12"/>
          <w:szCs w:val="12"/>
          <w:color w:val="008000"/>
        </w:rPr>
      </w:pPr>
    </w:p>
    <w:p>
      <w:pPr>
        <w:ind w:left="40" w:right="5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49.016 performance share units acquired by the reporting person since the date of her last report under the dividend reinvestment feature of The Toro Company Deferred Compensation Plan for Officers.</w:t>
      </w:r>
    </w:p>
    <w:p>
      <w:pPr>
        <w:spacing w:after="0" w:line="9" w:lineRule="exact"/>
        <w:rPr>
          <w:rFonts w:ascii="Arial" w:cs="Arial" w:eastAsia="Arial" w:hAnsi="Arial"/>
          <w:sz w:val="13"/>
          <w:szCs w:val="13"/>
          <w:color w:val="008000"/>
        </w:rPr>
      </w:pPr>
    </w:p>
    <w:p>
      <w:pPr>
        <w:ind w:left="40" w:right="4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0.655 net shares acquired by the reporting person since the date of her last report under the dividend reinvestment feature of The Toro Company Investment, Savings &amp; ESOP less quarterly non-discretionary administrative fees.</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12/07/2015</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2800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2019-12-23T20:51:47Z</dcterms:created>
  <dcterms:modified xsi:type="dcterms:W3CDTF">2019-12-23T20:51:47Z</dcterms:modified>
</cp:coreProperties>
</file>