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802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8026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07/16/2016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3" w:lineRule="exact"/>
        <w:rPr>
          <w:sz w:val="24"/>
          <w:szCs w:val="24"/>
          <w:color w:val="auto"/>
        </w:rPr>
      </w:pPr>
    </w:p>
    <w:tbl>
      <w:tblPr>
        <w:tblLayout w:type="fixed"/>
        <w:tblInd w:w="202"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2"/>
        <w:spacing w:after="0"/>
        <w:rPr>
          <w:sz w:val="20"/>
          <w:szCs w:val="20"/>
          <w:color w:val="auto"/>
        </w:rPr>
      </w:pPr>
      <w:r>
        <w:rPr>
          <w:rFonts w:ascii="Arial" w:cs="Arial" w:eastAsia="Arial" w:hAnsi="Arial"/>
          <w:sz w:val="17"/>
          <w:szCs w:val="17"/>
          <w:color w:val="0000FF"/>
        </w:rPr>
        <w:t>VP, Global Operations</w:t>
      </w:r>
    </w:p>
    <w:p>
      <w:pPr>
        <w:spacing w:after="0" w:line="325"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8"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20" w:space="160"/>
            <w:col w:w="744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6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1360" w:type="dxa"/>
            <w:vAlign w:val="bottom"/>
            <w:gridSpan w:val="2"/>
          </w:tcPr>
          <w:p>
            <w:pPr>
              <w:jc w:val="center"/>
              <w:ind w:left="240"/>
              <w:spacing w:after="0" w:line="133" w:lineRule="exact"/>
              <w:rPr>
                <w:sz w:val="20"/>
                <w:szCs w:val="20"/>
                <w:color w:val="auto"/>
              </w:rPr>
            </w:pPr>
            <w:r>
              <w:rPr>
                <w:rFonts w:ascii="Arial" w:cs="Arial" w:eastAsia="Arial" w:hAnsi="Arial"/>
                <w:sz w:val="12"/>
                <w:szCs w:val="12"/>
                <w:b w:val="1"/>
                <w:bCs w:val="1"/>
                <w:color w:val="auto"/>
                <w:w w:val="99"/>
              </w:rPr>
              <w:t>(D) or Indirect</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ind w:left="820"/>
              <w:spacing w:after="0"/>
              <w:rPr>
                <w:sz w:val="20"/>
                <w:szCs w:val="20"/>
                <w:color w:val="auto"/>
              </w:rPr>
            </w:pPr>
            <w:r>
              <w:rPr>
                <w:rFonts w:ascii="Arial" w:cs="Arial" w:eastAsia="Arial" w:hAnsi="Arial"/>
                <w:sz w:val="17"/>
                <w:szCs w:val="17"/>
                <w:color w:val="0000FF"/>
              </w:rPr>
              <w:t>07/16/2016</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right"/>
              <w:spacing w:after="0"/>
              <w:rPr>
                <w:sz w:val="20"/>
                <w:szCs w:val="20"/>
                <w:color w:val="auto"/>
              </w:rPr>
            </w:pPr>
            <w:r>
              <w:rPr>
                <w:rFonts w:ascii="Arial" w:cs="Arial" w:eastAsia="Arial" w:hAnsi="Arial"/>
                <w:sz w:val="17"/>
                <w:szCs w:val="17"/>
                <w:color w:val="0000FF"/>
              </w:rPr>
              <w:t>781.685</w:t>
            </w:r>
          </w:p>
        </w:tc>
        <w:tc>
          <w:tcPr>
            <w:tcW w:w="66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Pr>
          <w:p>
            <w:pPr>
              <w:jc w:val="center"/>
              <w:ind w:right="15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580" w:type="dxa"/>
            <w:vAlign w:val="bottom"/>
            <w:gridSpan w:val="3"/>
          </w:tcPr>
          <w:p>
            <w:pPr>
              <w:jc w:val="center"/>
              <w:ind w:right="320"/>
              <w:spacing w:after="0"/>
              <w:rPr>
                <w:sz w:val="20"/>
                <w:szCs w:val="20"/>
                <w:color w:val="auto"/>
              </w:rPr>
            </w:pPr>
            <w:r>
              <w:rPr>
                <w:rFonts w:ascii="Arial" w:cs="Arial" w:eastAsia="Arial" w:hAnsi="Arial"/>
                <w:sz w:val="17"/>
                <w:szCs w:val="17"/>
                <w:color w:val="0000FF"/>
                <w:w w:val="91"/>
              </w:rPr>
              <w:t>781.685</w:t>
            </w:r>
          </w:p>
        </w:tc>
        <w:tc>
          <w:tcPr>
            <w:tcW w:w="600" w:type="dxa"/>
            <w:vAlign w:val="bottom"/>
          </w:tcPr>
          <w:p>
            <w:pPr>
              <w:jc w:val="center"/>
              <w:ind w:right="330"/>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ind w:left="820"/>
              <w:spacing w:after="0"/>
              <w:rPr>
                <w:sz w:val="20"/>
                <w:szCs w:val="20"/>
                <w:color w:val="auto"/>
              </w:rPr>
            </w:pPr>
            <w:r>
              <w:rPr>
                <w:rFonts w:ascii="Arial" w:cs="Arial" w:eastAsia="Arial" w:hAnsi="Arial"/>
                <w:sz w:val="17"/>
                <w:szCs w:val="17"/>
                <w:color w:val="0000FF"/>
              </w:rPr>
              <w:t>07/18/2016</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Pr>
          <w:p>
            <w:pPr>
              <w:jc w:val="right"/>
              <w:ind w:right="134"/>
              <w:spacing w:after="0"/>
              <w:rPr>
                <w:sz w:val="20"/>
                <w:szCs w:val="20"/>
                <w:color w:val="auto"/>
              </w:rPr>
            </w:pPr>
            <w:r>
              <w:rPr>
                <w:rFonts w:ascii="Arial" w:cs="Arial" w:eastAsia="Arial" w:hAnsi="Arial"/>
                <w:sz w:val="17"/>
                <w:szCs w:val="17"/>
                <w:color w:val="0000FF"/>
              </w:rPr>
              <w:t>263</w:t>
            </w:r>
          </w:p>
        </w:tc>
        <w:tc>
          <w:tcPr>
            <w:tcW w:w="660" w:type="dxa"/>
            <w:vAlign w:val="bottom"/>
          </w:tcPr>
          <w:p>
            <w:pPr>
              <w:ind w:left="300"/>
              <w:spacing w:after="0"/>
              <w:rPr>
                <w:sz w:val="20"/>
                <w:szCs w:val="20"/>
                <w:color w:val="auto"/>
              </w:rPr>
            </w:pPr>
            <w:r>
              <w:rPr>
                <w:rFonts w:ascii="Arial" w:cs="Arial" w:eastAsia="Arial" w:hAnsi="Arial"/>
                <w:sz w:val="17"/>
                <w:szCs w:val="17"/>
                <w:color w:val="0000FF"/>
              </w:rPr>
              <w:t>D</w:t>
            </w:r>
          </w:p>
        </w:tc>
        <w:tc>
          <w:tcPr>
            <w:tcW w:w="60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90.49</w:t>
            </w:r>
          </w:p>
        </w:tc>
        <w:tc>
          <w:tcPr>
            <w:tcW w:w="1580" w:type="dxa"/>
            <w:vAlign w:val="bottom"/>
            <w:gridSpan w:val="3"/>
          </w:tcPr>
          <w:p>
            <w:pPr>
              <w:jc w:val="center"/>
              <w:ind w:right="320"/>
              <w:spacing w:after="0"/>
              <w:rPr>
                <w:sz w:val="20"/>
                <w:szCs w:val="20"/>
                <w:color w:val="auto"/>
              </w:rPr>
            </w:pPr>
            <w:r>
              <w:rPr>
                <w:rFonts w:ascii="Arial" w:cs="Arial" w:eastAsia="Arial" w:hAnsi="Arial"/>
                <w:sz w:val="17"/>
                <w:szCs w:val="17"/>
                <w:color w:val="0000FF"/>
                <w:w w:val="91"/>
              </w:rPr>
              <w:t>518.685</w:t>
            </w:r>
          </w:p>
        </w:tc>
        <w:tc>
          <w:tcPr>
            <w:tcW w:w="600" w:type="dxa"/>
            <w:vAlign w:val="bottom"/>
          </w:tcPr>
          <w:p>
            <w:pPr>
              <w:jc w:val="center"/>
              <w:ind w:right="330"/>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80" w:type="dxa"/>
            <w:vAlign w:val="bottom"/>
            <w:gridSpan w:val="3"/>
          </w:tcPr>
          <w:p>
            <w:pPr>
              <w:jc w:val="center"/>
              <w:ind w:right="320"/>
              <w:spacing w:after="0" w:line="212" w:lineRule="exact"/>
              <w:rPr>
                <w:sz w:val="20"/>
                <w:szCs w:val="20"/>
                <w:color w:val="auto"/>
              </w:rPr>
            </w:pPr>
            <w:r>
              <w:rPr>
                <w:rFonts w:ascii="Arial" w:cs="Arial" w:eastAsia="Arial" w:hAnsi="Arial"/>
                <w:sz w:val="17"/>
                <w:szCs w:val="17"/>
                <w:color w:val="0000FF"/>
                <w:w w:val="85"/>
              </w:rPr>
              <w:t>164.988</w:t>
            </w:r>
            <w:r>
              <w:rPr>
                <w:rFonts w:ascii="Arial" w:cs="Arial" w:eastAsia="Arial" w:hAnsi="Arial"/>
                <w:sz w:val="22"/>
                <w:szCs w:val="22"/>
                <w:color w:val="008000"/>
                <w:w w:val="85"/>
                <w:vertAlign w:val="superscript"/>
              </w:rPr>
              <w:t>(1)</w:t>
            </w:r>
          </w:p>
        </w:tc>
        <w:tc>
          <w:tcPr>
            <w:tcW w:w="600" w:type="dxa"/>
            <w:vAlign w:val="bottom"/>
          </w:tcPr>
          <w:p>
            <w:pPr>
              <w:jc w:val="center"/>
              <w:ind w:right="35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300"/>
              <w:spacing w:after="0"/>
              <w:rPr>
                <w:sz w:val="20"/>
                <w:szCs w:val="20"/>
                <w:color w:val="auto"/>
              </w:rPr>
            </w:pPr>
            <w:r>
              <w:rPr>
                <w:rFonts w:ascii="Arial" w:cs="Arial" w:eastAsia="Arial" w:hAnsi="Arial"/>
                <w:sz w:val="17"/>
                <w:szCs w:val="17"/>
                <w:color w:val="0000FF"/>
                <w:w w:val="87"/>
              </w:rPr>
              <w:t>17,114.693</w:t>
            </w:r>
            <w:r>
              <w:rPr>
                <w:rFonts w:ascii="Arial" w:cs="Arial" w:eastAsia="Arial" w:hAnsi="Arial"/>
                <w:sz w:val="22"/>
                <w:szCs w:val="22"/>
                <w:color w:val="008000"/>
                <w:w w:val="87"/>
                <w:vertAlign w:val="superscript"/>
              </w:rPr>
              <w:t>(2)</w:t>
            </w: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80" w:type="dxa"/>
            <w:vAlign w:val="bottom"/>
            <w:gridSpan w:val="8"/>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7"/>
              </w:rPr>
              <w:t>781.685</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00" w:type="dxa"/>
            <w:vAlign w:val="bottom"/>
          </w:tcPr>
          <w:p>
            <w:pPr>
              <w:jc w:val="right"/>
              <w:ind w:right="179"/>
              <w:spacing w:after="0" w:line="128" w:lineRule="exact"/>
              <w:rPr>
                <w:sz w:val="20"/>
                <w:szCs w:val="20"/>
                <w:color w:val="auto"/>
              </w:rPr>
            </w:pPr>
            <w:r>
              <w:rPr>
                <w:rFonts w:ascii="Arial" w:cs="Arial" w:eastAsia="Arial" w:hAnsi="Arial"/>
                <w:sz w:val="13"/>
                <w:szCs w:val="13"/>
                <w:color w:val="0000FF"/>
              </w:rPr>
              <w:t>07/16/2016</w:t>
            </w:r>
          </w:p>
        </w:tc>
        <w:tc>
          <w:tcPr>
            <w:tcW w:w="1140" w:type="dxa"/>
            <w:vAlign w:val="bottom"/>
          </w:tcPr>
          <w:p>
            <w:pPr>
              <w:spacing w:after="0"/>
              <w:rPr>
                <w:sz w:val="11"/>
                <w:szCs w:val="11"/>
                <w:color w:val="auto"/>
              </w:rPr>
            </w:pPr>
          </w:p>
        </w:tc>
        <w:tc>
          <w:tcPr>
            <w:tcW w:w="640" w:type="dxa"/>
            <w:vAlign w:val="bottom"/>
          </w:tcPr>
          <w:p>
            <w:pPr>
              <w:ind w:left="160"/>
              <w:spacing w:after="0" w:line="128"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1"/>
                <w:szCs w:val="11"/>
                <w:color w:val="auto"/>
              </w:rPr>
            </w:pPr>
          </w:p>
        </w:tc>
        <w:tc>
          <w:tcPr>
            <w:tcW w:w="920" w:type="dxa"/>
            <w:vAlign w:val="bottom"/>
          </w:tcPr>
          <w:p>
            <w:pPr>
              <w:ind w:left="380"/>
              <w:spacing w:after="0" w:line="128" w:lineRule="exact"/>
              <w:rPr>
                <w:sz w:val="20"/>
                <w:szCs w:val="20"/>
                <w:color w:val="auto"/>
              </w:rPr>
            </w:pPr>
            <w:r>
              <w:rPr>
                <w:rFonts w:ascii="Arial" w:cs="Arial" w:eastAsia="Arial" w:hAnsi="Arial"/>
                <w:sz w:val="13"/>
                <w:szCs w:val="13"/>
                <w:color w:val="0000FF"/>
              </w:rPr>
              <w:t>781.685</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20" w:type="dxa"/>
            <w:vAlign w:val="bottom"/>
            <w:gridSpan w:val="2"/>
          </w:tcPr>
          <w:p>
            <w:pPr>
              <w:jc w:val="right"/>
              <w:ind w:right="3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ind w:left="380"/>
              <w:spacing w:after="0" w:line="128" w:lineRule="exact"/>
              <w:rPr>
                <w:sz w:val="20"/>
                <w:szCs w:val="20"/>
                <w:color w:val="auto"/>
              </w:rPr>
            </w:pPr>
            <w:r>
              <w:rPr>
                <w:rFonts w:ascii="Arial" w:cs="Arial" w:eastAsia="Arial" w:hAnsi="Arial"/>
                <w:sz w:val="13"/>
                <w:szCs w:val="13"/>
                <w:color w:val="0000FF"/>
              </w:rPr>
              <w:t>0</w:t>
            </w:r>
          </w:p>
        </w:tc>
        <w:tc>
          <w:tcPr>
            <w:tcW w:w="600" w:type="dxa"/>
            <w:vAlign w:val="bottom"/>
          </w:tcPr>
          <w:p>
            <w:pPr>
              <w:ind w:left="460"/>
              <w:spacing w:after="0" w:line="12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ind w:left="12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660" w:firstLine="6"/>
        <w:spacing w:after="0" w:line="326"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Includes the following shares of common stock acquired by the reporting person since the date of his last report: 0.801 net shares acquired under the dividend reinvestment feature of The Toro Company Investment, Savings &amp; ESOP (the "IS&amp;ESOP") less quarterly non-discretionary administrative fees; and 45.984 shares acquired through issuer annual investment fund contributions to the IS&amp;ESOP.</w:t>
      </w:r>
    </w:p>
    <w:p>
      <w:pPr>
        <w:ind w:left="40" w:right="60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114.943 performance share units acquired by the reporting person since the date of his last report under the dividend reinvestment feature of The Toro Company Deferred Compensation Plan for Officers.</w:t>
      </w:r>
    </w:p>
    <w:p>
      <w:pPr>
        <w:spacing w:after="0" w:line="2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Toro common stock.</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vested and became non-forfeitable in full on July 16, 2016, which is the third anniversary of the date of grant.</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Nancy A. McGrath,</w:t>
            </w:r>
          </w:p>
        </w:tc>
        <w:tc>
          <w:tcPr>
            <w:tcW w:w="7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07/19/2016</w:t>
            </w:r>
          </w:p>
        </w:tc>
        <w:tc>
          <w:tcPr>
            <w:tcW w:w="0" w:type="dxa"/>
            <w:vAlign w:val="bottom"/>
          </w:tcPr>
          <w:p>
            <w:pPr>
              <w:spacing w:after="0"/>
              <w:rPr>
                <w:sz w:val="1"/>
                <w:szCs w:val="1"/>
                <w:color w:val="auto"/>
              </w:rPr>
            </w:pPr>
          </w:p>
        </w:tc>
      </w:tr>
      <w:tr>
        <w:trPr>
          <w:trHeight w:val="91"/>
        </w:trPr>
        <w:tc>
          <w:tcPr>
            <w:tcW w:w="1180" w:type="dxa"/>
            <w:vAlign w:val="bottom"/>
            <w:vMerge w:val="restart"/>
          </w:tcPr>
          <w:p>
            <w:pPr>
              <w:spacing w:after="0" w:line="192" w:lineRule="exact"/>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2019-12-23T20:58:23Z</dcterms:created>
  <dcterms:modified xsi:type="dcterms:W3CDTF">2019-12-23T20:58:23Z</dcterms:modified>
</cp:coreProperties>
</file>