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124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12457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2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JANEY GREGORY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11/03/2025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57"/>
        <w:spacing w:after="0"/>
        <w:rPr>
          <w:sz w:val="20"/>
          <w:szCs w:val="20"/>
          <w:color w:val="auto"/>
        </w:rPr>
      </w:pPr>
      <w:r>
        <w:rPr>
          <w:rFonts w:ascii="Times New Roman" w:cs="Times New Roman" w:eastAsia="Times New Roman" w:hAnsi="Times New Roman"/>
          <w:sz w:val="17"/>
          <w:szCs w:val="17"/>
          <w:color w:val="0000FF"/>
        </w:rPr>
        <w:t>Group VP, Landscapes &amp; Contrac</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27"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6"/>
            <w:vMerge w:val="restart"/>
          </w:tcPr>
          <w:p>
            <w:pPr>
              <w:jc w:val="center"/>
              <w:ind w:right="36"/>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6"/>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1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55420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40" w:type="dxa"/>
            <w:vAlign w:val="bottom"/>
            <w:gridSpan w:val="5"/>
          </w:tcPr>
          <w:p>
            <w:pPr>
              <w:ind w:left="24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60" w:type="dxa"/>
            <w:vAlign w:val="bottom"/>
            <w:gridSpan w:val="8"/>
          </w:tcPr>
          <w:p>
            <w:pPr>
              <w:ind w:left="2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ind w:left="24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2"/>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4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70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11/03/2025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771.81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74.21</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5,756.514</w:t>
            </w:r>
            <w:r>
              <w:rPr>
                <w:rFonts w:ascii="Times New Roman" w:cs="Times New Roman" w:eastAsia="Times New Roman" w:hAnsi="Times New Roman"/>
                <w:sz w:val="21"/>
                <w:szCs w:val="21"/>
                <w:color w:val="008000"/>
                <w:w w:val="92"/>
                <w:vertAlign w:val="superscript"/>
              </w:rPr>
              <w:t>(1)</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0000FF"/>
              </w:rPr>
              <w:t>11/03/2025</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0000FF"/>
              </w:rPr>
              <w:t>237</w:t>
            </w:r>
          </w:p>
        </w:tc>
        <w:tc>
          <w:tcPr>
            <w:tcW w:w="6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74.21</w:t>
            </w:r>
          </w:p>
        </w:tc>
        <w:tc>
          <w:tcPr>
            <w:tcW w:w="6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5,519.514</w:t>
            </w:r>
          </w:p>
        </w:tc>
        <w:tc>
          <w:tcPr>
            <w:tcW w:w="340" w:type="dxa"/>
            <w:vAlign w:val="bottom"/>
          </w:tcPr>
          <w:p>
            <w:pPr>
              <w:spacing w:after="0"/>
              <w:rPr>
                <w:sz w:val="22"/>
                <w:szCs w:val="22"/>
                <w:color w:val="auto"/>
              </w:rPr>
            </w:pPr>
          </w:p>
        </w:tc>
        <w:tc>
          <w:tcPr>
            <w:tcW w:w="54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6,430.1</w:t>
            </w:r>
            <w:r>
              <w:rPr>
                <w:rFonts w:ascii="Times New Roman" w:cs="Times New Roman" w:eastAsia="Times New Roman" w:hAnsi="Times New Roman"/>
                <w:sz w:val="21"/>
                <w:szCs w:val="21"/>
                <w:color w:val="008000"/>
                <w:w w:val="92"/>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2,206.41</w:t>
            </w:r>
            <w:r>
              <w:rPr>
                <w:rFonts w:ascii="Times New Roman" w:cs="Times New Roman" w:eastAsia="Times New Roman" w:hAnsi="Times New Roman"/>
                <w:sz w:val="21"/>
                <w:szCs w:val="21"/>
                <w:color w:val="008000"/>
                <w:w w:val="92"/>
                <w:vertAlign w:val="superscript"/>
              </w:rPr>
              <w:t>(3)</w:t>
            </w:r>
          </w:p>
        </w:tc>
        <w:tc>
          <w:tcPr>
            <w:tcW w:w="340" w:type="dxa"/>
            <w:vAlign w:val="bottom"/>
          </w:tcPr>
          <w:p>
            <w:pPr>
              <w:spacing w:after="0"/>
              <w:rPr>
                <w:sz w:val="17"/>
                <w:szCs w:val="17"/>
                <w:color w:val="auto"/>
              </w:rPr>
            </w:pPr>
          </w:p>
        </w:tc>
        <w:tc>
          <w:tcPr>
            <w:tcW w:w="540" w:type="dxa"/>
            <w:vAlign w:val="bottom"/>
            <w:vMerge w:val="restart"/>
          </w:tcPr>
          <w:p>
            <w:pPr>
              <w:jc w:val="center"/>
              <w:ind w:right="313"/>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40" w:type="dxa"/>
            <w:vAlign w:val="bottom"/>
            <w:tcBorders>
              <w:bottom w:val="single" w:sz="8" w:color="2C2C2C"/>
            </w:tcBorders>
            <w:gridSpan w:val="9"/>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jc w:val="center"/>
              <w:ind w:right="11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771.81</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11/03/2025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1"/>
                <w:szCs w:val="11"/>
                <w:color w:val="auto"/>
              </w:rPr>
            </w:pPr>
          </w:p>
        </w:tc>
        <w:tc>
          <w:tcPr>
            <w:tcW w:w="86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771.81</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4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11"/>
                <w:szCs w:val="11"/>
                <w:color w:val="auto"/>
              </w:rPr>
            </w:pPr>
          </w:p>
        </w:tc>
        <w:tc>
          <w:tcPr>
            <w:tcW w:w="54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20,632</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jc w:val="right"/>
              <w:ind w:right="182"/>
              <w:spacing w:after="0" w:line="129" w:lineRule="exact"/>
              <w:rPr>
                <w:sz w:val="20"/>
                <w:szCs w:val="20"/>
                <w:color w:val="auto"/>
              </w:rPr>
            </w:pPr>
            <w:r>
              <w:rPr>
                <w:rFonts w:ascii="Times New Roman" w:cs="Times New Roman" w:eastAsia="Times New Roman" w:hAnsi="Times New Roman"/>
                <w:sz w:val="13"/>
                <w:szCs w:val="13"/>
                <w:color w:val="0000FF"/>
              </w:rPr>
              <w:t>20,632</w:t>
            </w:r>
          </w:p>
        </w:tc>
        <w:tc>
          <w:tcPr>
            <w:tcW w:w="54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2.035 shares acquired by the reporting person since the date of his last report under a dividend reinvestment feature of the account in which the shares are held.</w:t>
      </w:r>
    </w:p>
    <w:p>
      <w:pPr>
        <w:spacing w:after="0" w:line="44" w:lineRule="exact"/>
        <w:rPr>
          <w:rFonts w:ascii="Times New Roman" w:cs="Times New Roman" w:eastAsia="Times New Roman" w:hAnsi="Times New Roman"/>
          <w:sz w:val="13"/>
          <w:szCs w:val="13"/>
          <w:color w:val="008000"/>
        </w:rPr>
      </w:pPr>
    </w:p>
    <w:p>
      <w:pPr>
        <w:ind w:left="40" w:right="5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31.999 performance share units acquired by the reporting person since the date of his last report under the dividend reinvestment feature of The Toro Company Deferred Compensation Plan for Officers.</w:t>
      </w:r>
    </w:p>
    <w:p>
      <w:pPr>
        <w:spacing w:after="0" w:line="16"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10.964 net shares acquired by the reporting person since the date of his last report under the dividend reinvestment feature of The Toro Company Retirement Plan less non-discretionary quarterly administrative fees.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and become non-forfeitable in three equal annual installments commencing on the first anniversary of the November 1, 2022 grant date.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and become non-forfeitable in full on October 10, 2028, which is the third anniversary of the date of grant.</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11/05/2025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6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301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2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6389"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2025-11-05T10:54:04Z</dcterms:created>
  <dcterms:modified xsi:type="dcterms:W3CDTF">2025-11-05T10:54:04Z</dcterms:modified>
</cp:coreProperties>
</file>