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100" w:right="3579"/>
        <w:spacing w:after="0" w:line="234" w:lineRule="auto"/>
        <w:rPr>
          <w:sz w:val="20"/>
          <w:szCs w:val="20"/>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3"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For the Quarterly Period Ended April 28, 2000 Commission File Number 1-8649</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TORO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8" w:right="1440" w:bottom="1440" w:gutter="0" w:footer="0" w:header="0"/>
        </w:sectPr>
      </w:pPr>
    </w:p>
    <w:p>
      <w:pPr>
        <w:spacing w:after="0" w:line="335"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620" w:space="720"/>
            <w:col w:w="6899"/>
          </w:cols>
          <w:pgMar w:left="220" w:top="568" w:right="1440" w:bottom="1440" w:gutter="0" w:footer="0" w:header="0"/>
          <w:type w:val="continuous"/>
        </w:sectPr>
      </w:pPr>
    </w:p>
    <w:p>
      <w:pPr>
        <w:spacing w:after="0" w:line="1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8111 LYNDALE AVENUE SOUTH</w:t>
      </w:r>
    </w:p>
    <w:p>
      <w:pPr>
        <w:jc w:val="center"/>
        <w:ind w:right="3239"/>
        <w:spacing w:after="0" w:line="237" w:lineRule="auto"/>
        <w:rPr>
          <w:sz w:val="20"/>
          <w:szCs w:val="20"/>
          <w:color w:val="auto"/>
        </w:rPr>
      </w:pPr>
      <w:r>
        <w:rPr>
          <w:rFonts w:ascii="Courier New" w:cs="Courier New" w:eastAsia="Courier New" w:hAnsi="Courier New"/>
          <w:sz w:val="15"/>
          <w:szCs w:val="15"/>
          <w:color w:val="auto"/>
        </w:rPr>
        <w:t>BLOOMINGTON, MINNESOTA 55420</w:t>
      </w:r>
    </w:p>
    <w:p>
      <w:pPr>
        <w:jc w:val="center"/>
        <w:ind w:right="3239"/>
        <w:spacing w:after="0" w:line="238" w:lineRule="auto"/>
        <w:rPr>
          <w:sz w:val="20"/>
          <w:szCs w:val="20"/>
          <w:color w:val="auto"/>
        </w:rPr>
      </w:pPr>
      <w:r>
        <w:rPr>
          <w:rFonts w:ascii="Courier New" w:cs="Courier New" w:eastAsia="Courier New" w:hAnsi="Courier New"/>
          <w:sz w:val="15"/>
          <w:szCs w:val="15"/>
          <w:color w:val="auto"/>
        </w:rPr>
        <w:t>TELEPHONE NUMBER: (952) 888-8801</w:t>
      </w:r>
    </w:p>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registrant's principal executive offices)</w:t>
      </w:r>
    </w:p>
    <w:p>
      <w:pPr>
        <w:spacing w:after="0" w:line="342"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8" w:right="1440" w:bottom="1440" w:gutter="0" w:footer="0" w:header="0"/>
          <w:type w:val="continuous"/>
        </w:sectPr>
      </w:pPr>
    </w:p>
    <w:p>
      <w:pPr>
        <w:spacing w:after="0" w:line="342" w:lineRule="exact"/>
        <w:rPr>
          <w:sz w:val="24"/>
          <w:szCs w:val="24"/>
          <w:color w:val="auto"/>
        </w:rPr>
      </w:pPr>
    </w:p>
    <w:p>
      <w:pPr>
        <w:ind w:left="23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No</w:t>
      </w:r>
    </w:p>
    <w:p>
      <w:pPr>
        <w:spacing w:after="0" w:line="32" w:lineRule="exact"/>
        <w:rPr>
          <w:sz w:val="24"/>
          <w:szCs w:val="24"/>
          <w:color w:val="auto"/>
        </w:rPr>
      </w:pPr>
    </w:p>
    <w:p>
      <w:pPr>
        <w:sectPr>
          <w:pgSz w:w="11900" w:h="16838" w:orient="portrait"/>
          <w:cols w:equalWidth="0" w:num="3">
            <w:col w:w="2640" w:space="340"/>
            <w:col w:w="100" w:space="700"/>
            <w:col w:w="6459"/>
          </w:cols>
          <w:pgMar w:left="220" w:top="568" w:right="1440" w:bottom="1440" w:gutter="0" w:footer="0" w:header="0"/>
          <w:type w:val="continuous"/>
        </w:sect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320" w:space="720"/>
            <w:col w:w="6199"/>
          </w:cols>
          <w:pgMar w:left="220" w:top="568" w:right="1440" w:bottom="1440" w:gutter="0" w:footer="0" w:header="0"/>
          <w:type w:val="continuous"/>
        </w:sectPr>
      </w:pPr>
    </w:p>
    <w:p>
      <w:pPr>
        <w:ind w:right="4019"/>
        <w:spacing w:after="0" w:line="234" w:lineRule="auto"/>
        <w:rPr>
          <w:sz w:val="20"/>
          <w:szCs w:val="20"/>
          <w:color w:val="auto"/>
        </w:rPr>
      </w:pPr>
      <w:r>
        <w:rPr>
          <w:rFonts w:ascii="Courier New" w:cs="Courier New" w:eastAsia="Courier New" w:hAnsi="Courier New"/>
          <w:sz w:val="15"/>
          <w:szCs w:val="15"/>
          <w:color w:val="auto"/>
        </w:rPr>
        <w:t>The number of shares of Common Stock outstanding as of May 31, 2000 was 12,652,619.</w:t>
      </w: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p>
      <w:pPr>
        <w:jc w:val="center"/>
        <w:ind w:right="3920"/>
        <w:spacing w:after="0"/>
        <w:rPr>
          <w:sz w:val="20"/>
          <w:szCs w:val="20"/>
          <w:color w:val="auto"/>
        </w:rPr>
      </w:pPr>
      <w:r>
        <w:rPr>
          <w:rFonts w:ascii="Courier New" w:cs="Courier New" w:eastAsia="Courier New" w:hAnsi="Courier New"/>
          <w:sz w:val="15"/>
          <w:szCs w:val="15"/>
          <w:color w:val="auto"/>
        </w:rPr>
        <w:t>THE TORO COMPANY</w:t>
      </w:r>
    </w:p>
    <w:p>
      <w:pPr>
        <w:jc w:val="center"/>
        <w:ind w:right="3920"/>
        <w:spacing w:after="0" w:line="237" w:lineRule="auto"/>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PAGE NUMBER</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FINANCIAL INFORMATION:</w:t>
            </w:r>
          </w:p>
        </w:tc>
        <w:tc>
          <w:tcPr>
            <w:tcW w:w="358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22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Statements of Earnings (Unaudited) -</w:t>
            </w:r>
          </w:p>
        </w:tc>
        <w:tc>
          <w:tcPr>
            <w:tcW w:w="35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62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7"/>
              </w:rPr>
              <w:t>Three and Six Months Ended April 28, 2000 and April 30, 1999</w:t>
            </w:r>
          </w:p>
        </w:tc>
        <w:tc>
          <w:tcPr>
            <w:tcW w:w="3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......................................3</w:t>
            </w:r>
          </w:p>
        </w:tc>
      </w:tr>
      <w:tr>
        <w:trPr>
          <w:trHeight w:val="336"/>
        </w:trPr>
        <w:tc>
          <w:tcPr>
            <w:tcW w:w="1140" w:type="dxa"/>
            <w:vAlign w:val="bottom"/>
          </w:tcPr>
          <w:p>
            <w:pPr>
              <w:spacing w:after="0"/>
              <w:rPr>
                <w:sz w:val="24"/>
                <w:szCs w:val="24"/>
                <w:color w:val="auto"/>
              </w:rPr>
            </w:pPr>
          </w:p>
        </w:tc>
        <w:tc>
          <w:tcPr>
            <w:tcW w:w="622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Balance Sheets (Unaudited) -</w:t>
            </w:r>
          </w:p>
        </w:tc>
        <w:tc>
          <w:tcPr>
            <w:tcW w:w="35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6220" w:type="dxa"/>
            <w:vAlign w:val="bottom"/>
          </w:tcPr>
          <w:p>
            <w:pPr>
              <w:ind w:left="960"/>
              <w:spacing w:after="0"/>
              <w:rPr>
                <w:sz w:val="20"/>
                <w:szCs w:val="20"/>
                <w:color w:val="auto"/>
              </w:rPr>
            </w:pPr>
            <w:r>
              <w:rPr>
                <w:rFonts w:ascii="Courier New" w:cs="Courier New" w:eastAsia="Courier New" w:hAnsi="Courier New"/>
                <w:sz w:val="12"/>
                <w:szCs w:val="12"/>
                <w:color w:val="auto"/>
                <w:w w:val="74"/>
              </w:rPr>
              <w:t>April 28, 2000, April 30, 1999 and October 31, 1999...............................................</w:t>
            </w:r>
          </w:p>
        </w:tc>
        <w:tc>
          <w:tcPr>
            <w:tcW w:w="3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1140" w:type="dxa"/>
            <w:vAlign w:val="bottom"/>
          </w:tcPr>
          <w:p>
            <w:pPr>
              <w:spacing w:after="0"/>
              <w:rPr>
                <w:sz w:val="24"/>
                <w:szCs w:val="24"/>
                <w:color w:val="auto"/>
              </w:rPr>
            </w:pPr>
          </w:p>
        </w:tc>
        <w:tc>
          <w:tcPr>
            <w:tcW w:w="6220" w:type="dxa"/>
            <w:vAlign w:val="bottom"/>
          </w:tcPr>
          <w:p>
            <w:pPr>
              <w:ind w:left="620"/>
              <w:spacing w:after="0"/>
              <w:rPr>
                <w:sz w:val="20"/>
                <w:szCs w:val="20"/>
                <w:color w:val="auto"/>
              </w:rPr>
            </w:pPr>
            <w:r>
              <w:rPr>
                <w:rFonts w:ascii="Courier New" w:cs="Courier New" w:eastAsia="Courier New" w:hAnsi="Courier New"/>
                <w:sz w:val="15"/>
                <w:szCs w:val="15"/>
                <w:color w:val="auto"/>
              </w:rPr>
              <w:t>Condensed Consolidated Statements of Cash Flows (Unaudited) -</w:t>
            </w:r>
          </w:p>
        </w:tc>
        <w:tc>
          <w:tcPr>
            <w:tcW w:w="35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6220" w:type="dxa"/>
            <w:vAlign w:val="bottom"/>
          </w:tcPr>
          <w:p>
            <w:pPr>
              <w:ind w:left="960"/>
              <w:spacing w:after="0"/>
              <w:rPr>
                <w:sz w:val="20"/>
                <w:szCs w:val="20"/>
                <w:color w:val="auto"/>
              </w:rPr>
            </w:pPr>
            <w:r>
              <w:rPr>
                <w:rFonts w:ascii="Courier New" w:cs="Courier New" w:eastAsia="Courier New" w:hAnsi="Courier New"/>
                <w:sz w:val="12"/>
                <w:szCs w:val="12"/>
                <w:color w:val="auto"/>
                <w:w w:val="74"/>
              </w:rPr>
              <w:t>Six Months Ended April 28, 2000 and April 30, 1999................................................</w:t>
            </w:r>
          </w:p>
        </w:tc>
        <w:tc>
          <w:tcPr>
            <w:tcW w:w="3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1140" w:type="dxa"/>
            <w:vAlign w:val="bottom"/>
          </w:tcPr>
          <w:p>
            <w:pPr>
              <w:spacing w:after="0"/>
              <w:rPr>
                <w:sz w:val="24"/>
                <w:szCs w:val="24"/>
                <w:color w:val="auto"/>
              </w:rPr>
            </w:pPr>
          </w:p>
        </w:tc>
        <w:tc>
          <w:tcPr>
            <w:tcW w:w="6220" w:type="dxa"/>
            <w:vAlign w:val="bottom"/>
          </w:tcPr>
          <w:p>
            <w:pPr>
              <w:ind w:left="620"/>
              <w:spacing w:after="0"/>
              <w:rPr>
                <w:sz w:val="20"/>
                <w:szCs w:val="20"/>
                <w:color w:val="auto"/>
              </w:rPr>
            </w:pPr>
            <w:r>
              <w:rPr>
                <w:rFonts w:ascii="Courier New" w:cs="Courier New" w:eastAsia="Courier New" w:hAnsi="Courier New"/>
                <w:sz w:val="15"/>
                <w:szCs w:val="15"/>
                <w:color w:val="auto"/>
                <w:w w:val="96"/>
              </w:rPr>
              <w:t>Notes to Condensed Consolidated Financial Statements (Unaudited)</w:t>
            </w:r>
          </w:p>
        </w:tc>
        <w:tc>
          <w:tcPr>
            <w:tcW w:w="35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220" w:type="dxa"/>
            <w:vAlign w:val="bottom"/>
          </w:tcPr>
          <w:p>
            <w:pPr>
              <w:ind w:left="62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35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6220" w:type="dxa"/>
            <w:vAlign w:val="bottom"/>
          </w:tcPr>
          <w:p>
            <w:pPr>
              <w:ind w:left="620"/>
              <w:spacing w:after="0"/>
              <w:rPr>
                <w:sz w:val="20"/>
                <w:szCs w:val="20"/>
                <w:color w:val="auto"/>
              </w:rPr>
            </w:pPr>
            <w:r>
              <w:rPr>
                <w:rFonts w:ascii="Courier New" w:cs="Courier New" w:eastAsia="Courier New" w:hAnsi="Courier New"/>
                <w:sz w:val="12"/>
                <w:szCs w:val="12"/>
                <w:color w:val="auto"/>
                <w:w w:val="77"/>
              </w:rPr>
              <w:t>Condition and Results of Operations.................................................................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10-17</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OTHER INFORMATION:</w:t>
            </w:r>
          </w:p>
        </w:tc>
        <w:tc>
          <w:tcPr>
            <w:tcW w:w="358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220" w:type="dxa"/>
            <w:vAlign w:val="bottom"/>
          </w:tcPr>
          <w:p>
            <w:pPr>
              <w:ind w:left="620"/>
              <w:spacing w:after="0"/>
              <w:rPr>
                <w:sz w:val="20"/>
                <w:szCs w:val="20"/>
                <w:color w:val="auto"/>
              </w:rPr>
            </w:pPr>
            <w:r>
              <w:rPr>
                <w:rFonts w:ascii="Courier New" w:cs="Courier New" w:eastAsia="Courier New" w:hAnsi="Courier New"/>
                <w:sz w:val="12"/>
                <w:szCs w:val="12"/>
                <w:color w:val="auto"/>
                <w:w w:val="76"/>
              </w:rPr>
              <w:t>Submission of Matters to a Vote of Security Holders..................................................</w:t>
            </w:r>
          </w:p>
        </w:tc>
        <w:tc>
          <w:tcPr>
            <w:tcW w:w="3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220" w:type="dxa"/>
            <w:vAlign w:val="bottom"/>
          </w:tcPr>
          <w:p>
            <w:pPr>
              <w:ind w:left="620"/>
              <w:spacing w:after="0"/>
              <w:rPr>
                <w:sz w:val="20"/>
                <w:szCs w:val="20"/>
                <w:color w:val="auto"/>
              </w:rPr>
            </w:pPr>
            <w:r>
              <w:rPr>
                <w:rFonts w:ascii="Courier New" w:cs="Courier New" w:eastAsia="Courier New" w:hAnsi="Courier New"/>
                <w:sz w:val="12"/>
                <w:szCs w:val="12"/>
                <w:color w:val="auto"/>
                <w:w w:val="77"/>
              </w:rPr>
              <w:t>Exhibits and Reports on Form 8-K....................................................................</w:t>
            </w:r>
          </w:p>
        </w:tc>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336"/>
        </w:trPr>
        <w:tc>
          <w:tcPr>
            <w:tcW w:w="1140" w:type="dxa"/>
            <w:vAlign w:val="bottom"/>
          </w:tcPr>
          <w:p>
            <w:pPr>
              <w:spacing w:after="0"/>
              <w:rPr>
                <w:sz w:val="24"/>
                <w:szCs w:val="24"/>
                <w:color w:val="auto"/>
              </w:rPr>
            </w:pPr>
          </w:p>
        </w:tc>
        <w:tc>
          <w:tcPr>
            <w:tcW w:w="6220" w:type="dxa"/>
            <w:vAlign w:val="bottom"/>
          </w:tcPr>
          <w:p>
            <w:pPr>
              <w:ind w:left="620"/>
              <w:spacing w:after="0"/>
              <w:rPr>
                <w:sz w:val="20"/>
                <w:szCs w:val="20"/>
                <w:color w:val="auto"/>
              </w:rPr>
            </w:pPr>
            <w:r>
              <w:rPr>
                <w:rFonts w:ascii="Courier New" w:cs="Courier New" w:eastAsia="Courier New" w:hAnsi="Courier New"/>
                <w:sz w:val="12"/>
                <w:szCs w:val="12"/>
                <w:color w:val="auto"/>
                <w:w w:val="76"/>
              </w:rPr>
              <w:t>Signatures...........................................................................................</w:t>
            </w:r>
          </w:p>
        </w:tc>
        <w:tc>
          <w:tcPr>
            <w:tcW w:w="3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673"/>
        </w:trPr>
        <w:tc>
          <w:tcPr>
            <w:tcW w:w="1140" w:type="dxa"/>
            <w:vAlign w:val="bottom"/>
          </w:tcPr>
          <w:p>
            <w:pPr>
              <w:spacing w:after="0"/>
              <w:rPr>
                <w:sz w:val="24"/>
                <w:szCs w:val="24"/>
                <w:color w:val="auto"/>
              </w:rPr>
            </w:pPr>
          </w:p>
        </w:tc>
        <w:tc>
          <w:tcPr>
            <w:tcW w:w="6220" w:type="dxa"/>
            <w:vAlign w:val="bottom"/>
          </w:tcPr>
          <w:p>
            <w:pPr>
              <w:ind w:left="2280"/>
              <w:spacing w:after="0"/>
              <w:rPr>
                <w:sz w:val="20"/>
                <w:szCs w:val="20"/>
                <w:color w:val="auto"/>
              </w:rPr>
            </w:pPr>
            <w:r>
              <w:rPr>
                <w:rFonts w:ascii="Courier New" w:cs="Courier New" w:eastAsia="Courier New" w:hAnsi="Courier New"/>
                <w:sz w:val="15"/>
                <w:szCs w:val="15"/>
                <w:color w:val="auto"/>
              </w:rPr>
              <w:t>2</w:t>
            </w:r>
          </w:p>
        </w:tc>
        <w:tc>
          <w:tcPr>
            <w:tcW w:w="358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2" w:name="page3"/>
    <w:bookmarkEnd w:id="2"/>
    <w:p>
      <w:pPr>
        <w:jc w:val="center"/>
        <w:ind w:right="4280"/>
        <w:spacing w:after="0"/>
        <w:rPr>
          <w:sz w:val="20"/>
          <w:szCs w:val="20"/>
          <w:color w:val="auto"/>
        </w:rPr>
      </w:pPr>
      <w:r>
        <w:rPr>
          <w:rFonts w:ascii="Courier New" w:cs="Courier New" w:eastAsia="Courier New" w:hAnsi="Courier New"/>
          <w:sz w:val="15"/>
          <w:szCs w:val="15"/>
          <w:color w:val="auto"/>
        </w:rPr>
        <w:t>PART I. ITEM 1. FINANCIAL INFORMATION</w:t>
      </w:r>
    </w:p>
    <w:p>
      <w:pPr>
        <w:spacing w:after="0" w:line="16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CONDENSED CONSOLIDATED STATEMENTS OF EARNINGS (UNAUDITED)</w:t>
      </w:r>
    </w:p>
    <w:tbl>
      <w:tblPr>
        <w:tblLayout w:type="fixed"/>
        <w:tblInd w:w="0" w:type="dxa"/>
        <w:tblCellMar>
          <w:top w:w="0" w:type="dxa"/>
          <w:left w:w="0" w:type="dxa"/>
          <w:bottom w:w="0" w:type="dxa"/>
          <w:right w:w="0" w:type="dxa"/>
        </w:tblCellMar>
      </w:tblPr>
      <w:tr>
        <w:trPr>
          <w:trHeight w:val="169"/>
        </w:trPr>
        <w:tc>
          <w:tcPr>
            <w:tcW w:w="6220" w:type="dxa"/>
            <w:vAlign w:val="bottom"/>
            <w:gridSpan w:val="3"/>
          </w:tcPr>
          <w:p>
            <w:pPr>
              <w:jc w:val="right"/>
              <w:ind w:right="187"/>
              <w:spacing w:after="0" w:line="169" w:lineRule="exact"/>
              <w:rPr>
                <w:sz w:val="20"/>
                <w:szCs w:val="20"/>
                <w:color w:val="auto"/>
              </w:rPr>
            </w:pPr>
            <w:r>
              <w:rPr>
                <w:rFonts w:ascii="Courier New" w:cs="Courier New" w:eastAsia="Courier New" w:hAnsi="Courier New"/>
                <w:sz w:val="15"/>
                <w:szCs w:val="15"/>
                <w:color w:val="auto"/>
              </w:rPr>
              <w:t>(DOLLARS AND SHARES IN THOUSANDS, EXCEPT PER-SHARE DATA)</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841"/>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 Ended</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560" w:type="dxa"/>
            <w:vAlign w:val="bottom"/>
          </w:tcPr>
          <w:p>
            <w:pPr>
              <w:spacing w:after="0"/>
              <w:rPr>
                <w:sz w:val="14"/>
                <w:szCs w:val="14"/>
                <w:color w:val="auto"/>
              </w:rPr>
            </w:pPr>
          </w:p>
        </w:tc>
        <w:tc>
          <w:tcPr>
            <w:tcW w:w="682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April 28,</w:t>
            </w:r>
          </w:p>
        </w:tc>
        <w:tc>
          <w:tcPr>
            <w:tcW w:w="78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April 30,</w:t>
            </w:r>
          </w:p>
        </w:tc>
        <w:tc>
          <w:tcPr>
            <w:tcW w:w="32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April 28,</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April 30,</w:t>
            </w:r>
          </w:p>
        </w:tc>
      </w:t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4"/>
                <w:szCs w:val="14"/>
                <w:color w:val="auto"/>
              </w:rPr>
            </w:pP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6"/>
              </w:rPr>
              <w:t>Net sales...........................................</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441,799</w:t>
            </w:r>
          </w:p>
        </w:tc>
        <w:tc>
          <w:tcPr>
            <w:tcW w:w="7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433,108</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722,038</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683,869</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279,850</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280,255</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460,150</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443,072</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 profit.................................</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161,949</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152,853</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261,888</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240,797</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Selling, general, and administrative expenses.......</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108,718</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106,775</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202,718</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189,136</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Earnings from operations.....................</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53,231</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46,078</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59,170</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51,661</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(7,652)</w:t>
            </w:r>
          </w:p>
        </w:tc>
        <w:tc>
          <w:tcPr>
            <w:tcW w:w="7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(6,697)</w:t>
            </w:r>
          </w:p>
        </w:tc>
        <w:tc>
          <w:tcPr>
            <w:tcW w:w="3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(13,409)</w:t>
            </w:r>
          </w:p>
        </w:tc>
        <w:tc>
          <w:tcPr>
            <w:tcW w:w="3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(11,727)</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income (expense), net.........................</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w:t>
            </w:r>
          </w:p>
        </w:tc>
        <w:tc>
          <w:tcPr>
            <w:tcW w:w="3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(1,581)</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863</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Earnings before income taxes.................</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42,719</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39,459</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44,180</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40,797</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15,799</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15,369</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16,347</w:t>
            </w:r>
          </w:p>
        </w:tc>
        <w:tc>
          <w:tcPr>
            <w:tcW w:w="34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15,911</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earnings.................................</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26,920</w:t>
            </w:r>
          </w:p>
        </w:tc>
        <w:tc>
          <w:tcPr>
            <w:tcW w:w="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24,090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27,833</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24,886</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6"/>
              </w:rPr>
              <w:t>Basic net earnings per share of common stock........</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w:t>
            </w:r>
          </w:p>
        </w:tc>
        <w:tc>
          <w:tcPr>
            <w:tcW w:w="7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w:t>
            </w:r>
          </w:p>
        </w:tc>
        <w:tc>
          <w:tcPr>
            <w:tcW w:w="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6"/>
              </w:rPr>
              <w:t>Dilutive net earnings per share of common stock.....</w:t>
            </w:r>
          </w:p>
        </w:tc>
        <w:tc>
          <w:tcPr>
            <w:tcW w:w="34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68"/>
        </w:trPr>
        <w:tc>
          <w:tcPr>
            <w:tcW w:w="456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 - Basic..........................</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12,734</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12,922</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12,826</w:t>
            </w:r>
          </w:p>
        </w:tc>
        <w:tc>
          <w:tcPr>
            <w:tcW w:w="3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13,030</w:t>
            </w:r>
          </w:p>
        </w:tc>
      </w:tr>
      <w:tr>
        <w:trPr>
          <w:trHeight w:val="505"/>
        </w:trPr>
        <w:tc>
          <w:tcPr>
            <w:tcW w:w="45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 - Dilutive.......................</w:t>
            </w:r>
          </w:p>
        </w:tc>
        <w:tc>
          <w:tcPr>
            <w:tcW w:w="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12,958</w:t>
            </w:r>
          </w:p>
        </w:tc>
        <w:tc>
          <w:tcPr>
            <w:tcW w:w="7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13,163</w:t>
            </w:r>
          </w:p>
        </w:tc>
        <w:tc>
          <w:tcPr>
            <w:tcW w:w="3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13,081</w:t>
            </w:r>
          </w:p>
        </w:tc>
        <w:tc>
          <w:tcPr>
            <w:tcW w:w="3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13,241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80"/>
          </w:cols>
          <w:pgMar w:left="220" w:top="617" w:right="299" w:bottom="1440" w:gutter="0" w:footer="0" w:header="0"/>
        </w:sectPr>
      </w:pPr>
    </w:p>
    <w:bookmarkStart w:id="3" w:name="page4"/>
    <w:bookmarkEnd w:id="3"/>
    <w:p>
      <w:pPr>
        <w:jc w:val="center"/>
        <w:ind w:right="420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200"/>
        <w:spacing w:after="0" w:line="237" w:lineRule="auto"/>
        <w:rPr>
          <w:sz w:val="20"/>
          <w:szCs w:val="20"/>
          <w:color w:val="auto"/>
        </w:rPr>
      </w:pPr>
      <w:r>
        <w:rPr>
          <w:rFonts w:ascii="Courier New" w:cs="Courier New" w:eastAsia="Courier New" w:hAnsi="Courier New"/>
          <w:sz w:val="15"/>
          <w:szCs w:val="15"/>
          <w:color w:val="auto"/>
        </w:rPr>
        <w:t>CONDENSED CONSOLIDATED BALANCE SHEETS (UNAUDITED)</w:t>
      </w:r>
    </w:p>
    <w:p>
      <w:pPr>
        <w:jc w:val="center"/>
        <w:ind w:right="4200"/>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April 28,</w:t>
            </w:r>
          </w:p>
        </w:tc>
        <w:tc>
          <w:tcPr>
            <w:tcW w:w="400" w:type="dxa"/>
            <w:vAlign w:val="bottom"/>
          </w:tcPr>
          <w:p>
            <w:pPr>
              <w:spacing w:after="0"/>
              <w:rPr>
                <w:sz w:val="14"/>
                <w:szCs w:val="14"/>
                <w:color w:val="auto"/>
              </w:rPr>
            </w:pP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April 30,</w:t>
            </w:r>
          </w:p>
        </w:tc>
        <w:tc>
          <w:tcPr>
            <w:tcW w:w="36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October 31,</w:t>
            </w:r>
          </w:p>
        </w:tc>
      </w:tr>
      <w:tr>
        <w:trPr>
          <w:trHeight w:val="168"/>
        </w:trPr>
        <w:tc>
          <w:tcPr>
            <w:tcW w:w="6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2000</w:t>
            </w:r>
          </w:p>
        </w:tc>
        <w:tc>
          <w:tcPr>
            <w:tcW w:w="4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w:t>
            </w:r>
          </w:p>
        </w:tc>
        <w:tc>
          <w:tcPr>
            <w:tcW w:w="70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902</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3,341</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11,960</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Receivables, net......................................................</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456,665</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439,423</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268,344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Inventories, net......................................................</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241,924</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185,699</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204,430</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Prepaid expenses and other current assets.............................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9,218</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8,869</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6,116</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40,584</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38,526</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40,892</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Total current assets..........................................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749,293</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675,858</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531,742</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7"/>
              </w:rPr>
              <w:t>Property, plant, and equipment........................................</w:t>
            </w:r>
          </w:p>
        </w:tc>
        <w:tc>
          <w:tcPr>
            <w:tcW w:w="7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365,219</w:t>
            </w:r>
          </w:p>
        </w:tc>
        <w:tc>
          <w:tcPr>
            <w:tcW w:w="400" w:type="dxa"/>
            <w:vAlign w:val="bottom"/>
          </w:tcPr>
          <w:p>
            <w:pPr>
              <w:spacing w:after="0"/>
              <w:rPr>
                <w:sz w:val="24"/>
                <w:szCs w:val="24"/>
                <w:color w:val="auto"/>
              </w:rPr>
            </w:pP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336,990</w:t>
            </w:r>
          </w:p>
        </w:tc>
        <w:tc>
          <w:tcPr>
            <w:tcW w:w="36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353,808</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Less accumulated depreciation.................................</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237,069</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214,916</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229,636</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128,150</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122,074</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124,172</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7"/>
              </w:rPr>
              <w:t>Deferred income taxes.................................................</w:t>
            </w:r>
          </w:p>
        </w:tc>
        <w:tc>
          <w:tcPr>
            <w:tcW w:w="7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8,876</w:t>
            </w:r>
          </w:p>
        </w:tc>
        <w:tc>
          <w:tcPr>
            <w:tcW w:w="400" w:type="dxa"/>
            <w:vAlign w:val="bottom"/>
          </w:tcPr>
          <w:p>
            <w:pPr>
              <w:spacing w:after="0"/>
              <w:rPr>
                <w:sz w:val="24"/>
                <w:szCs w:val="24"/>
                <w:color w:val="auto"/>
              </w:rPr>
            </w:pP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3,786</w:t>
            </w:r>
          </w:p>
        </w:tc>
        <w:tc>
          <w:tcPr>
            <w:tcW w:w="36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8,876</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Goodwill and other assets.............................................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129,712</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129,506</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122,388</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70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1,016,031</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931,224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787,178</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70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Short-term debt.......................................................</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235,488</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183,909</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56,461</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Accounts payable......................................................</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66,145</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57,965</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65,543</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accrued liabilities.............................................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205,100</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197,908</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183,164</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Total current liabilities.....................................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507,223</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440,406</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305,805</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7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195,584</w:t>
            </w:r>
          </w:p>
        </w:tc>
        <w:tc>
          <w:tcPr>
            <w:tcW w:w="400" w:type="dxa"/>
            <w:vAlign w:val="bottom"/>
          </w:tcPr>
          <w:p>
            <w:pPr>
              <w:spacing w:after="0"/>
              <w:rPr>
                <w:sz w:val="24"/>
                <w:szCs w:val="24"/>
                <w:color w:val="auto"/>
              </w:rPr>
            </w:pP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196,758</w:t>
            </w:r>
          </w:p>
        </w:tc>
        <w:tc>
          <w:tcPr>
            <w:tcW w:w="36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195,600</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long-term liabilities...........................................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6,594</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5,938</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6,110</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84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Stock, par value $1.00, authorized 35,000,000 shares; issued and outstanding</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8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12,643,274 shares at April 28, 2000 (net of 864,781 treasury shares),</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8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12,916,010 shares at April 30, 1999 (net of 592,045 treasury shares),</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12,569,309 shares at October 31, 1999 (net of</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938,746 treasury shares)......................................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12,643</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12,916</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12,569</w:t>
            </w:r>
          </w:p>
        </w:tc>
      </w:tr>
      <w:tr>
        <w:trPr>
          <w:trHeight w:val="168"/>
        </w:trPr>
        <w:tc>
          <w:tcPr>
            <w:tcW w:w="6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Additional paid-in capital...........................................</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49,298</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58,904</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45,343</w:t>
            </w:r>
          </w:p>
        </w:tc>
      </w:tr>
      <w:tr>
        <w:trPr>
          <w:trHeight w:val="168"/>
        </w:trPr>
        <w:tc>
          <w:tcPr>
            <w:tcW w:w="6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Retained earnings....................................................</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254,321</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222,425</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229,532</w:t>
            </w:r>
          </w:p>
        </w:tc>
      </w:tr>
      <w:tr>
        <w:trPr>
          <w:trHeight w:val="168"/>
        </w:trPr>
        <w:tc>
          <w:tcPr>
            <w:tcW w:w="6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Accumulated comprehensive loss.......................................</w:t>
            </w:r>
          </w:p>
        </w:tc>
        <w:tc>
          <w:tcPr>
            <w:tcW w:w="7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(9,632)</w:t>
            </w:r>
          </w:p>
        </w:tc>
        <w:tc>
          <w:tcPr>
            <w:tcW w:w="40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(6,123)</w:t>
            </w:r>
          </w:p>
        </w:tc>
        <w:tc>
          <w:tcPr>
            <w:tcW w:w="3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(7,781)</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346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Total stockholders' equity....................................</w:t>
            </w:r>
          </w:p>
        </w:tc>
        <w:tc>
          <w:tcPr>
            <w:tcW w:w="7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306,630</w:t>
            </w:r>
          </w:p>
        </w:tc>
        <w:tc>
          <w:tcPr>
            <w:tcW w:w="40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288,122</w:t>
            </w:r>
          </w:p>
        </w:tc>
        <w:tc>
          <w:tcPr>
            <w:tcW w:w="3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279,663</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Total liabilities and stockholders' equity....................</w:t>
            </w:r>
          </w:p>
        </w:tc>
        <w:tc>
          <w:tcPr>
            <w:tcW w:w="70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1,016,031</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931,224</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787,178</w:t>
            </w:r>
          </w:p>
        </w:tc>
      </w:tr>
      <w:tr>
        <w:trPr>
          <w:trHeight w:val="168"/>
        </w:trPr>
        <w:tc>
          <w:tcPr>
            <w:tcW w:w="614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00"/>
          </w:cols>
          <w:pgMar w:left="220" w:top="617" w:right="379" w:bottom="1440" w:gutter="0" w:footer="0" w:header="0"/>
        </w:sectPr>
      </w:pPr>
    </w:p>
    <w:bookmarkStart w:id="4" w:name="page5"/>
    <w:bookmarkEnd w:id="4"/>
    <w:p>
      <w:pPr>
        <w:jc w:val="center"/>
        <w:ind w:right="454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540"/>
        <w:spacing w:after="0" w:line="237" w:lineRule="auto"/>
        <w:rPr>
          <w:sz w:val="20"/>
          <w:szCs w:val="20"/>
          <w:color w:val="auto"/>
        </w:rPr>
      </w:pPr>
      <w:r>
        <w:rPr>
          <w:rFonts w:ascii="Courier New" w:cs="Courier New" w:eastAsia="Courier New" w:hAnsi="Courier New"/>
          <w:sz w:val="15"/>
          <w:szCs w:val="15"/>
          <w:color w:val="auto"/>
        </w:rPr>
        <w:t>CONDENSED CONSOLIDATED STATEMENTS OF CASH FLOWS (UNAUDITED)</w:t>
      </w:r>
    </w:p>
    <w:tbl>
      <w:tblPr>
        <w:tblLayout w:type="fixed"/>
        <w:tblInd w:w="0" w:type="dxa"/>
        <w:tblCellMar>
          <w:top w:w="0" w:type="dxa"/>
          <w:left w:w="0" w:type="dxa"/>
          <w:bottom w:w="0" w:type="dxa"/>
          <w:right w:w="0" w:type="dxa"/>
        </w:tblCellMar>
      </w:tblPr>
      <w:tr>
        <w:trPr>
          <w:trHeight w:val="169"/>
        </w:trPr>
        <w:tc>
          <w:tcPr>
            <w:tcW w:w="6900" w:type="dxa"/>
            <w:vAlign w:val="bottom"/>
          </w:tcPr>
          <w:p>
            <w:pPr>
              <w:jc w:val="right"/>
              <w:ind w:right="262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6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1220" w:type="dxa"/>
            <w:vAlign w:val="bottom"/>
          </w:tcPr>
          <w:p>
            <w:pPr>
              <w:spacing w:after="0"/>
              <w:rPr>
                <w:sz w:val="24"/>
                <w:szCs w:val="24"/>
                <w:color w:val="auto"/>
              </w:rPr>
            </w:pPr>
          </w:p>
        </w:tc>
      </w:tr>
      <w:tr>
        <w:trPr>
          <w:trHeight w:val="168"/>
        </w:trPr>
        <w:tc>
          <w:tcPr>
            <w:tcW w:w="6900" w:type="dxa"/>
            <w:vAlign w:val="bottom"/>
          </w:tcPr>
          <w:p>
            <w:pPr>
              <w:spacing w:after="0"/>
              <w:rPr>
                <w:sz w:val="14"/>
                <w:szCs w:val="14"/>
                <w:color w:val="auto"/>
              </w:rPr>
            </w:pPr>
          </w:p>
        </w:tc>
        <w:tc>
          <w:tcPr>
            <w:tcW w:w="42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April 28,</w:t>
            </w:r>
          </w:p>
        </w:tc>
        <w:tc>
          <w:tcPr>
            <w:tcW w:w="8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April 30,</w:t>
            </w:r>
          </w:p>
        </w:tc>
      </w:tr>
      <w:tr>
        <w:trPr>
          <w:trHeight w:val="168"/>
        </w:trPr>
        <w:tc>
          <w:tcPr>
            <w:tcW w:w="6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9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earnings...................................................................</w:t>
            </w:r>
          </w:p>
        </w:tc>
        <w:tc>
          <w:tcPr>
            <w:tcW w:w="62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27,833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24,886</w:t>
            </w:r>
          </w:p>
        </w:tc>
      </w:tr>
      <w:tr>
        <w:trPr>
          <w:trHeight w:val="168"/>
        </w:trPr>
        <w:tc>
          <w:tcPr>
            <w:tcW w:w="6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used in operating</w:t>
            </w: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900" w:type="dxa"/>
            <w:vAlign w:val="bottom"/>
          </w:tcPr>
          <w:p>
            <w:pPr>
              <w:jc w:val="right"/>
              <w:ind w:right="5267"/>
              <w:spacing w:after="0" w:line="168" w:lineRule="exact"/>
              <w:rPr>
                <w:sz w:val="20"/>
                <w:szCs w:val="20"/>
                <w:color w:val="auto"/>
              </w:rPr>
            </w:pPr>
            <w:r>
              <w:rPr>
                <w:rFonts w:ascii="Courier New" w:cs="Courier New" w:eastAsia="Courier New" w:hAnsi="Courier New"/>
                <w:sz w:val="15"/>
                <w:szCs w:val="15"/>
                <w:color w:val="auto"/>
              </w:rPr>
              <w:t>activities:</w:t>
            </w: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depreciation and amortization.................................</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17,822</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17,838</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loss on disposal of property, plant, and equipment...................</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308</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benefits related to employee stock option transactions..................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6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Receivables, net.......................................................</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(195,812)</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(197,997)</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net.......................................................</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(30,332)</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(1,393)</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(3,090)</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27,095</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30,346</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(156,183)</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(119,694)</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(17,719)</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(10,286)</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asset disposals...............................................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1,025</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 (increase) in investment in affiliates.............................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1,127</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(4,908)</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(2,591)</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(18,158)</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(16,768)</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short-term debt.................................................</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177,225</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152,909</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(266)</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419</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709</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1,272</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common stock...................................................</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(9,909)</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(12,021)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Dividends on common stock...................................................</w:t>
            </w:r>
          </w:p>
        </w:tc>
        <w:tc>
          <w:tcPr>
            <w:tcW w:w="6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(3,044)</w:t>
            </w:r>
          </w:p>
        </w:tc>
        <w:tc>
          <w:tcPr>
            <w:tcW w:w="8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(3,070)</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165,134</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139,310</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w w:val="96"/>
              </w:rPr>
              <w:t>Foreign currency translation adjustment........................................</w:t>
            </w:r>
          </w:p>
        </w:tc>
        <w:tc>
          <w:tcPr>
            <w:tcW w:w="62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(1,851)</w:t>
            </w:r>
          </w:p>
        </w:tc>
        <w:tc>
          <w:tcPr>
            <w:tcW w:w="88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403</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w w:val="96"/>
              </w:rPr>
              <w:t>Net (decrease) increase in cash and cash equivalents...........................</w:t>
            </w:r>
          </w:p>
        </w:tc>
        <w:tc>
          <w:tcPr>
            <w:tcW w:w="62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(11,058)</w:t>
            </w:r>
          </w:p>
        </w:tc>
        <w:tc>
          <w:tcPr>
            <w:tcW w:w="88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w:t>
            </w:r>
          </w:p>
        </w:tc>
        <w:tc>
          <w:tcPr>
            <w:tcW w:w="6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11,960</w:t>
            </w: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and cash equivalents at end of period.....................................</w:t>
            </w:r>
          </w:p>
        </w:tc>
        <w:tc>
          <w:tcPr>
            <w:tcW w:w="62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902</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3,341</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00"/>
          </w:cols>
          <w:pgMar w:left="500" w:top="617" w:right="299" w:bottom="1440" w:gutter="0" w:footer="0" w:header="0"/>
        </w:sectPr>
      </w:pPr>
    </w:p>
    <w:bookmarkStart w:id="5" w:name="page6"/>
    <w:bookmarkEnd w:id="5"/>
    <w:p>
      <w:pPr>
        <w:jc w:val="center"/>
        <w:ind w:right="3239"/>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APRIL 28, 2000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April 28, 2000 are not necessarily indicative of the results that may be expected for the fiscal year ending October 31, 2000. Certain amounts from prior period's financial statements have been reclassified to conform to this period's presentation.</w:t>
      </w:r>
    </w:p>
    <w:p>
      <w:pPr>
        <w:spacing w:after="0" w:line="16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year ended October 31, 1999. The policies described in that report are used for preparing quarterly reports.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majority of inventories are valued at the lower of cost or net realizable value with cost determined by the last-in, first-out (LIFO) method for most inventories.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April 28,</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April 30,</w:t>
            </w: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7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w w:val="96"/>
              </w:rPr>
              <w:t>Raw materials and work in process....................</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76,716</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76,045</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Finished goods.......................................</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208,875</w:t>
            </w:r>
          </w:p>
        </w:tc>
        <w:tc>
          <w:tcPr>
            <w:tcW w:w="6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155,762</w:t>
            </w:r>
          </w:p>
        </w:tc>
      </w:tr>
      <w:tr>
        <w:trPr>
          <w:trHeight w:val="168"/>
        </w:trPr>
        <w:tc>
          <w:tcPr>
            <w:tcW w:w="47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285,591</w:t>
            </w:r>
          </w:p>
        </w:tc>
        <w:tc>
          <w:tcPr>
            <w:tcW w:w="6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231,807</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Less LIFO and other reserves.........................</w:t>
            </w: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43,667</w:t>
            </w:r>
          </w:p>
        </w:tc>
        <w:tc>
          <w:tcPr>
            <w:tcW w:w="6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46,108</w:t>
            </w:r>
          </w:p>
        </w:tc>
      </w:tr>
      <w:tr>
        <w:trPr>
          <w:trHeight w:val="168"/>
        </w:trPr>
        <w:tc>
          <w:tcPr>
            <w:tcW w:w="47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241,924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185,699</w:t>
            </w:r>
          </w:p>
        </w:tc>
      </w:tr>
      <w:tr>
        <w:trPr>
          <w:trHeight w:val="168"/>
        </w:trPr>
        <w:tc>
          <w:tcPr>
            <w:tcW w:w="472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April 28, 2000, the company had $1.4 million of restructuring and other unusual expense remaining in other accrued liabilities The company has utilized $.9 million of these reserves since October 31, 1999. The company expects the majority of these reserves to be utilized when the closed facilities available for sale are sold.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4360"/>
        <w:spacing w:after="0" w:line="255" w:lineRule="auto"/>
        <w:rPr>
          <w:sz w:val="20"/>
          <w:szCs w:val="20"/>
          <w:color w:val="auto"/>
        </w:rPr>
      </w:pPr>
      <w:r>
        <w:rPr>
          <w:rFonts w:ascii="Courier New" w:cs="Courier New" w:eastAsia="Courier New" w:hAnsi="Courier New"/>
          <w:sz w:val="14"/>
          <w:szCs w:val="14"/>
          <w:color w:val="auto"/>
        </w:rPr>
        <w:t>Comprehensive income is comprised of two components: net earnings and other comprehensive (loss) income. Other comprehensive (loss) income refers to revenues, expenses, gains, and losses that under generally accepted accounting principles are recorded as an element of stockholders' equity and are excluded from net earnings. Toro's other comprehensive (loss) income is comprised of foreign currency translation adjustments from certain foreign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comprehensive income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3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7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Courier New" w:cs="Courier New" w:eastAsia="Courier New" w:hAnsi="Courier New"/>
                <w:sz w:val="10"/>
                <w:szCs w:val="10"/>
                <w:color w:val="auto"/>
                <w:w w:val="75"/>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April 28,</w:t>
            </w:r>
          </w:p>
        </w:tc>
        <w:tc>
          <w:tcPr>
            <w:tcW w:w="4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April 30,</w:t>
            </w:r>
          </w:p>
        </w:tc>
        <w:tc>
          <w:tcPr>
            <w:tcW w:w="36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April 28,</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April 30,</w:t>
            </w:r>
          </w:p>
        </w:tc>
      </w:tr>
      <w:tr>
        <w:trPr>
          <w:trHeight w:val="168"/>
        </w:trPr>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20" w:type="dxa"/>
            <w:vAlign w:val="bottom"/>
          </w:tcPr>
          <w:p>
            <w:pPr>
              <w:spacing w:after="0"/>
              <w:rPr>
                <w:sz w:val="20"/>
                <w:szCs w:val="20"/>
                <w:color w:val="auto"/>
              </w:rPr>
            </w:pPr>
            <w:r>
              <w:rPr>
                <w:rFonts w:ascii="Courier New" w:cs="Courier New" w:eastAsia="Courier New" w:hAnsi="Courier New"/>
                <w:sz w:val="15"/>
                <w:szCs w:val="15"/>
                <w:color w:val="auto"/>
                <w:w w:val="96"/>
              </w:rPr>
              <w:t>Net earnings..........................................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26,920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27,833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24,886</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comprehensive (loss) income.....................</w:t>
            </w:r>
          </w:p>
        </w:tc>
        <w:tc>
          <w:tcPr>
            <w:tcW w:w="3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(1,824)</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(1,851)</w:t>
            </w:r>
          </w:p>
        </w:tc>
        <w:tc>
          <w:tcPr>
            <w:tcW w:w="2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Comprehensive income..................................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25,096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24,653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25,982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25,289</w:t>
            </w:r>
          </w:p>
        </w:tc>
      </w:tr>
      <w:tr>
        <w:trPr>
          <w:trHeight w:val="168"/>
        </w:trPr>
        <w:tc>
          <w:tcPr>
            <w:tcW w:w="472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EARNINGS PER SHARE</w:t>
      </w:r>
    </w:p>
    <w:p>
      <w:pPr>
        <w:spacing w:after="0" w:line="173"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Reconciliations of basic and dilutive weighted average shares of common stock outstanding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316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Three Months Ended</w:t>
            </w:r>
          </w:p>
        </w:tc>
        <w:tc>
          <w:tcPr>
            <w:tcW w:w="2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380" w:type="dxa"/>
            <w:vAlign w:val="bottom"/>
          </w:tcPr>
          <w:p>
            <w:pPr>
              <w:spacing w:after="0"/>
              <w:rPr>
                <w:sz w:val="14"/>
                <w:szCs w:val="14"/>
                <w:color w:val="auto"/>
              </w:rPr>
            </w:pPr>
          </w:p>
        </w:tc>
        <w:tc>
          <w:tcPr>
            <w:tcW w:w="31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7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April 28,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April 30,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April 28,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April 30,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8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stock outstanding....................................</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12,734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12,922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Assumed issuance of contingent shares ......................</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538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and assumed issuance of contingent shares............</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12,734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12,922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12,826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13,030</w:t>
            </w:r>
          </w:p>
        </w:tc>
      </w:tr>
      <w:tr>
        <w:trPr>
          <w:trHeight w:val="168"/>
        </w:trPr>
        <w:tc>
          <w:tcPr>
            <w:tcW w:w="538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and assumed issuance of contingent shares............</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12,734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12,922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12,826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Assumed conversion of stock options.........................</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38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assumed issuance of contingent shares, and</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assumed conversion of stock options..................</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12,958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13,163</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13,241</w:t>
            </w:r>
          </w:p>
        </w:tc>
      </w:tr>
      <w:tr>
        <w:trPr>
          <w:trHeight w:val="168"/>
        </w:trPr>
        <w:tc>
          <w:tcPr>
            <w:tcW w:w="538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8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00"/>
          </w:cols>
          <w:pgMar w:left="220" w:top="617" w:right="47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SEGMENT DATA</w:t>
      </w:r>
    </w:p>
    <w:p>
      <w:pPr>
        <w:spacing w:after="0" w:line="173"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and corporate activities, including corporate financing activities and elimination of intersegment revenues and expenses.</w:t>
      </w:r>
    </w:p>
    <w:p>
      <w:pPr>
        <w:spacing w:after="0" w:line="166" w:lineRule="exact"/>
        <w:rPr>
          <w:sz w:val="20"/>
          <w:szCs w:val="20"/>
          <w:color w:val="auto"/>
        </w:rPr>
      </w:pPr>
    </w:p>
    <w:p>
      <w:pPr>
        <w:ind w:right="4640"/>
        <w:spacing w:after="0" w:line="234" w:lineRule="auto"/>
        <w:rPr>
          <w:sz w:val="20"/>
          <w:szCs w:val="20"/>
          <w:color w:val="auto"/>
        </w:rPr>
      </w:pPr>
      <w:r>
        <w:rPr>
          <w:rFonts w:ascii="Courier New" w:cs="Courier New" w:eastAsia="Courier New" w:hAnsi="Courier New"/>
          <w:sz w:val="15"/>
          <w:szCs w:val="15"/>
          <w:color w:val="auto"/>
        </w:rPr>
        <w:t>The following table shows the summarized financial information concerning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THREE MONTHS ENDED APRIL 28, 2000:</w:t>
            </w:r>
          </w:p>
        </w:tc>
        <w:tc>
          <w:tcPr>
            <w:tcW w:w="3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Professional</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Residential</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3"/>
              </w:rPr>
              <w:t>Net sales......................................................</w:t>
            </w:r>
          </w:p>
        </w:tc>
        <w:tc>
          <w:tcPr>
            <w:tcW w:w="3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$272,414</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$158,387</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$10,998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$441,799</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1"/>
              </w:rPr>
              <w:t>Intersegment 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25,646</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5,635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(31,281)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..............................42,278</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15,445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42,719</w:t>
            </w: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THREE MONTHS ENDED APRIL 30, 1999:</w:t>
            </w:r>
          </w:p>
        </w:tc>
        <w:tc>
          <w:tcPr>
            <w:tcW w:w="3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3"/>
              </w:rPr>
              <w:t>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$268,622</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$163,778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$433,108</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0"/>
              </w:rPr>
              <w:t>Intersegment 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8,824</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1,374</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(10,198)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..............................49,088</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11,835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(21,464)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39,459</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0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SIX MONTHS ENDED APRIL</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28, 2000:</w:t>
            </w:r>
          </w:p>
        </w:tc>
        <w:tc>
          <w:tcPr>
            <w:tcW w:w="3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Professional</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Residential</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3"/>
              </w:rPr>
              <w:t>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$458,305</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$255,206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$8,527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$722,038</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1"/>
              </w:rPr>
              <w:t>Intersegment 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38,154</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9,285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(47,439)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..............................60,337</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21,360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(37,517)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44,180</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2"/>
              </w:rPr>
              <w:t>Total assets....................................................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508,021</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182,318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325,692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1,016,031</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SIX MONTHS ENDED APRIL</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30, 1999:</w:t>
            </w:r>
          </w:p>
        </w:tc>
        <w:tc>
          <w:tcPr>
            <w:tcW w:w="3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3"/>
              </w:rPr>
              <w:t>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$425,407</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$257,416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$683,869</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1"/>
              </w:rPr>
              <w:t>Intersegment net sales...........................................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14,154</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1,936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..............................63,684</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16,391</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(39,278)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40,797</w:t>
            </w:r>
          </w:p>
        </w:tc>
      </w:tr>
      <w:tr>
        <w:trPr>
          <w:trHeight w:val="168"/>
        </w:trPr>
        <w:tc>
          <w:tcPr>
            <w:tcW w:w="3080" w:type="dxa"/>
            <w:vAlign w:val="bottom"/>
            <w:gridSpan w:val="2"/>
          </w:tcPr>
          <w:p>
            <w:pPr>
              <w:spacing w:after="0"/>
              <w:rPr>
                <w:sz w:val="20"/>
                <w:szCs w:val="20"/>
                <w:color w:val="auto"/>
              </w:rPr>
            </w:pPr>
            <w:r>
              <w:rPr>
                <w:rFonts w:ascii="Courier New" w:cs="Courier New" w:eastAsia="Courier New" w:hAnsi="Courier New"/>
                <w:sz w:val="11"/>
                <w:szCs w:val="11"/>
                <w:color w:val="auto"/>
                <w:w w:val="72"/>
              </w:rPr>
              <w:t>Total assets....................................................</w:t>
            </w:r>
          </w:p>
        </w:tc>
        <w:tc>
          <w:tcPr>
            <w:tcW w:w="3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440,341</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187,704</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303,179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931,224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presents the details of the other segment earnings (loss)</w:t>
      </w:r>
    </w:p>
    <w:p>
      <w:pPr>
        <w:spacing w:after="0" w:line="237" w:lineRule="auto"/>
        <w:rPr>
          <w:sz w:val="20"/>
          <w:szCs w:val="20"/>
          <w:color w:val="auto"/>
        </w:rPr>
      </w:pPr>
      <w:r>
        <w:rPr>
          <w:rFonts w:ascii="Courier New" w:cs="Courier New" w:eastAsia="Courier New" w:hAnsi="Courier New"/>
          <w:sz w:val="15"/>
          <w:szCs w:val="15"/>
          <w:color w:val="auto"/>
        </w:rPr>
        <w:t>before income taxes: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1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c>
          <w:tcPr>
            <w:tcW w:w="2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440" w:type="dxa"/>
            <w:vAlign w:val="bottom"/>
          </w:tcPr>
          <w:p>
            <w:pPr>
              <w:spacing w:after="0"/>
              <w:rPr>
                <w:sz w:val="14"/>
                <w:szCs w:val="14"/>
                <w:color w:val="auto"/>
              </w:rPr>
            </w:pPr>
          </w:p>
        </w:tc>
        <w:tc>
          <w:tcPr>
            <w:tcW w:w="3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April 28,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April 30,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April 28,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April 30,</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w w:val="94"/>
              </w:rPr>
              <w:t>Corporate expenses..............................................</w:t>
            </w:r>
          </w:p>
        </w:tc>
        <w:tc>
          <w:tcPr>
            <w:tcW w:w="1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$(15,561)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$(17,635)</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$(33,183)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$(33,252)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Finance charge revenue.............................................</w:t>
            </w: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1,420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1,056</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2,737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Elimination of corporate financing expense.........................</w:t>
            </w: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5,181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5,307</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Interest expense, net.............................................</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(7,652)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(6,697)</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(13,409)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Other..............................................................</w:t>
            </w: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1,608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(3,495)</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(2,062)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(4,295)</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Total...........................................................</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$(15,004)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$(21,464)</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$(37,517)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$(39,278)</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40" w:type="dxa"/>
            <w:vAlign w:val="bottom"/>
          </w:tcPr>
          <w:p>
            <w:pPr>
              <w:ind w:left="3420"/>
              <w:spacing w:after="0"/>
              <w:rPr>
                <w:sz w:val="20"/>
                <w:szCs w:val="20"/>
                <w:color w:val="auto"/>
              </w:rPr>
            </w:pPr>
            <w:r>
              <w:rPr>
                <w:rFonts w:ascii="Courier New" w:cs="Courier New" w:eastAsia="Courier New" w:hAnsi="Courier New"/>
                <w:sz w:val="15"/>
                <w:szCs w:val="15"/>
                <w:color w:val="auto"/>
              </w:rPr>
              <w:t>8</w:t>
            </w: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December 1999, the Securities and Exchange Commission (SEC) staff issued Staff Accounting Bulletin No. 101, "Revenue Recognition in Financial Statements" (SAB 101). SAB 101 summarizes certain SEC staff views in applying generally accepted accounting principles to revenue recognition in financial statements. SAB 101 will be effective for the company in the first quarter of fiscal year 2001. Toro is currently evaluating the impact of SAB 101 on its financial condition and results of operations.</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During fiscal 1998, the Financial Accounting Standards Board (FASB) issued SFAS No. 133, "Accounting for Derivative Instruments and Hedging Activities." SFAS 133 establishes new standards for recognizing all derivatives as either assets or liabilities, and measuring those instruments at fair value. The new standard will be effective for the company in the first quarter of fiscal year 2001. The company is in the process of evaluating the impact of SFAS 133 on its financial condition and results of operations.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jc w:val="center"/>
        <w:ind w:right="3139"/>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on the company's websites or otherwise, in the future by or on behalf of the company.</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"estimate," "believe," "intend," and similar expressions generally identify forward-looking statements.</w:t>
      </w:r>
    </w:p>
    <w:p>
      <w:pPr>
        <w:spacing w:after="0" w:line="16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inflationary pressures and rising interest rates that could slow the economic growth that has been important to the growth of the company's professional businesses, including golf, agricultural irrigation, and landscape contractor markets; increasing oil prices that raise the cost of resin; a slow down in new golf course construction; a decline in the growth rate in number of new golfers, which affects new golf course construction; higher average short-term debt costs for anticipated higher working capital needs; whether the announced 5 by Five profit improvement program will be successful;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success of a distribution initiative designed to develop a distribution model; increased competition in the company's businesses from competitors that have greater financial resources, including competitive pricing pressures; changing buying patterns affecting the company's residential segment, including but not limited to a trend away from purchases at dealer outlets to price and value sensitive purchases at hardware stores, home centers, and mass retailers; potential impact of the Internet and e-commerce on the company's business; changes in distributor ownership; loss of, or a significant reduction in, sales through a significant distribution channel, particularly as the company's residential segment becomes more dependent on home center sales; the company's expansion into selected home center markets and effects on other product lines; unforeseen difficulties in the implementation of strategies to use outside providers for warehousing and transportation services; changes in distributors', dealers', home centers', or mass retailers' purchasing practices; the company's ability to cost-effectively open new and expand existing manufacturing facilities; the company's ability to manage costs and capacity constraints at its manufacturing facilities; socio-economic conditions in certain international markets; the degree of success from restructuring actions undertaken at the Australian subsidiary; the continuing relative strength of the dollar against the euro, which increases the cost of the company's products in foreign markets and impairs its ability to increase prices; the decline of the U.S dollar against the Japanese yen, which increases costs of certain inventory components that in turn could negatively affect gross margins; competitive implications and price transparencies related to the euro conversion; whether the 1998 profit improvement plan will continue to be successful in reducing costs and improving margins and use of assets; the ability to retain and hire quality employees; and the impact of new accounting standards.</w:t>
      </w:r>
    </w:p>
    <w:p>
      <w:pPr>
        <w:spacing w:after="0" w:line="200" w:lineRule="exact"/>
        <w:rPr>
          <w:sz w:val="20"/>
          <w:szCs w:val="20"/>
          <w:color w:val="auto"/>
        </w:rPr>
      </w:pPr>
    </w:p>
    <w:p>
      <w:pPr>
        <w:spacing w:after="0" w:line="31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rising interest rates; weather conditions affecting demand, including warm winters and wet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union employees.</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It is not possible for management to predict all risk factors or to assess the impact of such risk factors on the company's business.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853"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300"/>
        <w:spacing w:after="0" w:line="237" w:lineRule="auto"/>
        <w:rPr>
          <w:sz w:val="20"/>
          <w:szCs w:val="20"/>
          <w:color w:val="auto"/>
        </w:rPr>
      </w:pPr>
      <w:r>
        <w:rPr>
          <w:rFonts w:ascii="Courier New" w:cs="Courier New" w:eastAsia="Courier New" w:hAnsi="Courier New"/>
          <w:sz w:val="15"/>
          <w:szCs w:val="15"/>
          <w:color w:val="auto"/>
        </w:rPr>
        <w:t>Toro's results for the second quarter of fiscal 2000 were positive with a strong profitability increase on overall modest sales growth. Fiscal 2000 second quarter net sales increased 2.0 percent to $441.8 million from $433.1 million for the second quarter of fiscal 1999. Net earnings increased 11.7 percent to $26.9 million from $24.1 million for the same quarter in fiscal 1999, and dilutive earnings per share for the quarter rose 13.7 percent to $2.08 from $1.83 in fiscal 1999 second quarter. Worldwide sales for the professional segment rose 1.4 percent compared to last year's second quarter with significant increases in the landscape contractor market somewhat offset by declines in the golf market, mainly because of lower irrigation system sales. Worldwide sales for the residential segment fell 3.3 percent compared to last year's second quarter due to the divestiture and discontinuance of non-performing product lines and lower sales of walk power mowers and riding products, offset slightly by higher sales of electric trimmers and blowers and do-it-yourself irrigation products. The other segment net sales increased substantially mainly due to sales contributed by three additional Toro-owned distributorships acquired in the second half of calendar 1999. The profitability growth was led by improved gross margins in the residential segment as well as additional profitability from the newly acquired company-owned distributors, which was slightly offset by lower profitability from the professional segment due to lower gross margins, unfavorable currency fluctuations, and a reserve related to an investment in a technology company.</w:t>
      </w:r>
    </w:p>
    <w:p>
      <w:pPr>
        <w:spacing w:after="0" w:line="177" w:lineRule="exact"/>
        <w:rPr>
          <w:sz w:val="20"/>
          <w:szCs w:val="20"/>
          <w:color w:val="auto"/>
        </w:rPr>
      </w:pPr>
    </w:p>
    <w:p>
      <w:pPr>
        <w:ind w:right="4300"/>
        <w:spacing w:after="0" w:line="237" w:lineRule="auto"/>
        <w:rPr>
          <w:sz w:val="20"/>
          <w:szCs w:val="20"/>
          <w:color w:val="auto"/>
        </w:rPr>
      </w:pPr>
      <w:r>
        <w:rPr>
          <w:rFonts w:ascii="Courier New" w:cs="Courier New" w:eastAsia="Courier New" w:hAnsi="Courier New"/>
          <w:sz w:val="15"/>
          <w:szCs w:val="15"/>
          <w:color w:val="auto"/>
        </w:rPr>
        <w:t>Year-to-date net sales were $722.0 million compared to $683.9 million last year, an increase of 5.6 percent. Net earnings were $27.8 million compared to $24.9 million last year, an increase of 11.8 percent, and dilutive earnings per share for the year were $2.13 compared to $1.88 last year. Worldwide sales for the professional segment grew 7.7 percent over last year led by significant increases in sales to the landscape contractor market and higher sales of residential/commercial irrigation systems, somewhat offset by declines in sales to the golf irrigation and agricultural irrigation markets. Worldwide sales for the residential segment were down slightly by 0.9 percent. Snowthrowers, electric trimmers and blowers, and do-it-yourself irrigation product sales were up, however, sales of walk power mowers and riding products were down. The elimination of sales from non-performing product lines due to the divestiture and discontinuance also contributed to the decrease. Sales for the residential segment would have been up 4.0 percent without the elimination of these non-performing product lines. The other segment net sales increased substantially mainly due to the acquisition of three distributorships in the second half of calendar 1999. The profitability improvement for the first half of fiscal 2000 was due to the same reasons noted above in the quarter comparison.</w:t>
      </w:r>
    </w:p>
    <w:p>
      <w:pPr>
        <w:spacing w:after="0" w:line="176" w:lineRule="exact"/>
        <w:rPr>
          <w:sz w:val="20"/>
          <w:szCs w:val="20"/>
          <w:color w:val="auto"/>
        </w:rPr>
      </w:pPr>
    </w:p>
    <w:p>
      <w:pPr>
        <w:ind w:right="4300"/>
        <w:spacing w:after="0" w:line="236" w:lineRule="auto"/>
        <w:rPr>
          <w:sz w:val="20"/>
          <w:szCs w:val="20"/>
          <w:color w:val="auto"/>
        </w:rPr>
      </w:pPr>
      <w:r>
        <w:rPr>
          <w:rFonts w:ascii="Courier New" w:cs="Courier New" w:eastAsia="Courier New" w:hAnsi="Courier New"/>
          <w:sz w:val="15"/>
          <w:szCs w:val="15"/>
          <w:color w:val="auto"/>
        </w:rPr>
        <w:t>Toro recently announced a new profit improvement program called "5 by Five." The goal of this program is to achieve an after tax return on sales of 5 percent by the year 2003. The major initiatives to achieve this goal include: revising and transforming how Toro manufactures, purchases, distributes, markets, and services products; improving lower performing product lines or discontinuing them; and reviewing the company's expense structure to eliminate low-value activities.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net sales by segment: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c>
          <w:tcPr>
            <w:tcW w:w="14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6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April 28,</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April 30,</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Professional...........................................</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272,414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268,622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3,792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Residential............................................</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158,387</w:t>
            </w:r>
          </w:p>
        </w:tc>
        <w:tc>
          <w:tcPr>
            <w:tcW w:w="4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163,778</w:t>
            </w:r>
          </w:p>
        </w:tc>
        <w:tc>
          <w:tcPr>
            <w:tcW w:w="4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10,998</w:t>
            </w:r>
          </w:p>
        </w:tc>
        <w:tc>
          <w:tcPr>
            <w:tcW w:w="4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708</w:t>
            </w:r>
          </w:p>
        </w:tc>
        <w:tc>
          <w:tcPr>
            <w:tcW w:w="4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10,290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1453.4</w:t>
            </w:r>
          </w:p>
        </w:tc>
      </w:tr>
      <w:tr>
        <w:trPr>
          <w:trHeight w:val="168"/>
        </w:trPr>
        <w:tc>
          <w:tcPr>
            <w:tcW w:w="3420" w:type="dxa"/>
            <w:vAlign w:val="bottom"/>
          </w:tcPr>
          <w:p>
            <w:pPr>
              <w:spacing w:after="0"/>
              <w:rPr>
                <w:sz w:val="14"/>
                <w:szCs w:val="14"/>
                <w:color w:val="auto"/>
              </w:rPr>
            </w:pPr>
          </w:p>
        </w:tc>
        <w:tc>
          <w:tcPr>
            <w:tcW w:w="2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w w:val="70"/>
              </w:rPr>
              <w:t>Total *............................................</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441,799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433,108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8,691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420" w:type="dxa"/>
            <w:vAlign w:val="bottom"/>
          </w:tcPr>
          <w:p>
            <w:pPr>
              <w:spacing w:after="0"/>
              <w:rPr>
                <w:sz w:val="14"/>
                <w:szCs w:val="14"/>
                <w:color w:val="auto"/>
              </w:rPr>
            </w:pPr>
          </w:p>
        </w:tc>
        <w:tc>
          <w:tcPr>
            <w:tcW w:w="2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 Includes international sales of......................</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87,952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86,340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r>
      <w:tr>
        <w:trPr>
          <w:trHeight w:val="336"/>
        </w:trPr>
        <w:tc>
          <w:tcPr>
            <w:tcW w:w="3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SIX MONTHS ENDED</w:t>
            </w:r>
          </w:p>
        </w:tc>
        <w:tc>
          <w:tcPr>
            <w:tcW w:w="14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6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April 28,</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April 30,</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Professional...........................................</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458,305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425,407</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32,898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Residential............................................</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255,206</w:t>
            </w:r>
          </w:p>
        </w:tc>
        <w:tc>
          <w:tcPr>
            <w:tcW w:w="4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257,416</w:t>
            </w:r>
          </w:p>
        </w:tc>
        <w:tc>
          <w:tcPr>
            <w:tcW w:w="4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8,527</w:t>
            </w:r>
          </w:p>
        </w:tc>
        <w:tc>
          <w:tcPr>
            <w:tcW w:w="4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w:t>
            </w:r>
          </w:p>
        </w:tc>
        <w:tc>
          <w:tcPr>
            <w:tcW w:w="4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715.2</w:t>
            </w:r>
          </w:p>
        </w:tc>
      </w:tr>
      <w:tr>
        <w:trPr>
          <w:trHeight w:val="168"/>
        </w:trPr>
        <w:tc>
          <w:tcPr>
            <w:tcW w:w="3420" w:type="dxa"/>
            <w:vAlign w:val="bottom"/>
          </w:tcPr>
          <w:p>
            <w:pPr>
              <w:spacing w:after="0"/>
              <w:rPr>
                <w:sz w:val="14"/>
                <w:szCs w:val="14"/>
                <w:color w:val="auto"/>
              </w:rPr>
            </w:pPr>
          </w:p>
        </w:tc>
        <w:tc>
          <w:tcPr>
            <w:tcW w:w="2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w w:val="70"/>
              </w:rPr>
              <w:t>Total *............................................</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722,038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683,869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38,169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r>
      <w:tr>
        <w:trPr>
          <w:trHeight w:val="168"/>
        </w:trPr>
        <w:tc>
          <w:tcPr>
            <w:tcW w:w="3420" w:type="dxa"/>
            <w:vAlign w:val="bottom"/>
          </w:tcPr>
          <w:p>
            <w:pPr>
              <w:spacing w:after="0"/>
              <w:rPr>
                <w:sz w:val="14"/>
                <w:szCs w:val="14"/>
                <w:color w:val="auto"/>
              </w:rPr>
            </w:pPr>
          </w:p>
        </w:tc>
        <w:tc>
          <w:tcPr>
            <w:tcW w:w="2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 Includes international sales of......................</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155,887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144,979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10,908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r>
      <w:tr>
        <w:trPr>
          <w:trHeight w:val="673"/>
        </w:trPr>
        <w:tc>
          <w:tcPr>
            <w:tcW w:w="3420" w:type="dxa"/>
            <w:vAlign w:val="bottom"/>
          </w:tcPr>
          <w:p>
            <w:pPr>
              <w:spacing w:after="0"/>
              <w:rPr>
                <w:sz w:val="24"/>
                <w:szCs w:val="24"/>
                <w:color w:val="auto"/>
              </w:rPr>
            </w:pPr>
          </w:p>
        </w:tc>
        <w:tc>
          <w:tcPr>
            <w:tcW w:w="1660" w:type="dxa"/>
            <w:vAlign w:val="bottom"/>
          </w:tcPr>
          <w:p>
            <w:pPr>
              <w:jc w:val="right"/>
              <w:ind w:right="1407"/>
              <w:spacing w:after="0"/>
              <w:rPr>
                <w:sz w:val="20"/>
                <w:szCs w:val="20"/>
                <w:color w:val="auto"/>
              </w:rPr>
            </w:pPr>
            <w:r>
              <w:rPr>
                <w:rFonts w:ascii="Courier New" w:cs="Courier New" w:eastAsia="Courier New" w:hAnsi="Courier New"/>
                <w:sz w:val="15"/>
                <w:szCs w:val="15"/>
                <w:color w:val="auto"/>
                <w:w w:val="88"/>
              </w:rPr>
              <w:t>11</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300"/>
          </w:cols>
          <w:pgMar w:left="220" w:top="617" w:right="379" w:bottom="685"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PROFESSIONAL SEGMENT NET SALES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Net sales for the worldwide professional segment in the second quarter of fiscal 2000 were $272.4 million compared to $268.6 million in the second quarter of fiscal 1999, an increase of 1.4 percent. The landscape contractor market continues to show significant growth, with good volume increases for both Toro and Exmark brand zero-turning-radius mowers and the Sitework Systems product line. Domestic sales of golf and grounds maintenance equipment were down slightly due to field inventory management. International sales of golf and grounds maintenance equipment were also down for the quarter due to distributors purchasing product earlier in the fiscal year as compared to last year. The Toro brand of residential/commercial irrigation systems posted a strong sales increase due to better product availability this quarter compared to last year and higher sales in Asia and Australia due to economic improvement in those regions. However, sales for the Irritrol brand of residential/commercial irrigation systems were down because strong sales in the first quarter of fiscal 2000 negatively affected restocking orders in the second quarter. Domestic golf irrigation systems sales were down due to comparatively high sales level in the first half of last fiscal year. Domestic dripline agricultural irrigation sales were also down due to continued aggressive pricing pressures from competitors, which were offset by higher international sales due mainly to the continued success of the company's Italian manufacturing operations.</w:t>
      </w:r>
    </w:p>
    <w:p>
      <w:pPr>
        <w:spacing w:after="0" w:line="34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Net sales for the worldwide professional segment in the first half of fiscal 2000 were $458.3 million compared to $425.4 million last year, an increase of</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7.7 percent. Domestic sales in the landscape contractor market led this increase for both Toro and Exmark brand zero-turning-radius mowers and the Sitework Systems product line. Domestic golf and grounds maintenance markets also performed well during the first half of fiscal 2000 with increases in equipment and parts sales due to the ongoing positive reception of products introduced over the last two years as well as continued strong retail demand. International sales to the golf and grounds maintenance markets were also up, mainly in Europe, due to strong retail demand and distributors purchasing product earlier in the fiscal year compared to last year. The dual brands of Toro and Irritrol residential/commercial irrigation systems posted very strong sales increases due to better product availability this year compared to last fiscal year. Offsetting those increases were weak sales of dripline agricultural irrigation products because of aggressive pricing pressures from competition. Domestic golf irrigation system sales were also down due to the same reasons mentioned in the quarter comparison.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SEGMENT NET SALES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sales for the worldwide residential segment in the second quarter of fiscal 2000 were $158.4 million compared to $163.8 million in the second quarter of fiscal 1999, a decrease of 3.3 percent. The elimination of sales due to the divestiture and discontinuance of the non-performing outdoor lighting and gas handheld product lines led this decline. Riding product sales were also down due to cold spring weather in key markets and continued strong competition. On a positive note, riding products manufactured for a third party were up due to low field inventory levels entering the fiscal year, and international riding product sales were up due to strong demand in Europe and Canada. Walk power mower sales were also down due to the cold spring weather and reduced placement in certain home center regions. Offsetting those negative developments were increased domestic sales of electric trimmers and blowers due to expanded outlets and placement at mass retailers. Domestic do-it-yourself irrigation sales also increased over the prior year's second quarter due to the overall growth of that market, expanded outlets and placement at home centers, and introduction of new products. Sales were also up for do-it-yourself irrigation products in Australia due to a comparatively poor sales level in the prior year due to wet weather.</w:t>
      </w:r>
    </w:p>
    <w:p>
      <w:pPr>
        <w:spacing w:after="0" w:line="33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Year-to-date net sales for the worldwide residential segment in fiscal 2000 were $255.2 million compared to $257.4 million last year, a slight decline of 0.9 percent. Sales would have been up 4.0 percent after factoring out sales from the non-performing product lines discussed previously. Riding product sales were down for the first half of fiscal 2000, however, riding products manufactured for a third party and international riding product sales were up due to the same contributing factors discussed in the above quarter comparison. Walk power mower sales were also down due to the same reasons in the quarter comparison plus last year sales levels were comparatively high for initial stocking orders from home center outlets, a new distribution channel in fiscal 1999 for the Toro brand of walk power mowers. Offsetting those negative variances were increased domestic sales of electric trimmers and blowers and do-it-yourself irrigation sales due to the same reasons mentioned in the quarter comparison. In addition, snowthrower product sales also increased due to historically low field inventory levels entering the 1999-2000 winter season and a shift in shipments from the fourth quarter of fiscal 1999 to the first quarter of fiscal 2000.</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OTHER SEGMENT NET SALES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other segment net sales in the second quarter of fiscal 2000 were $11.0 million compared to $0.7 million in the second quarter of fiscal 1999. Net sales in this segment include sales from Toro's wholly owned distribution companies less sales from the professional and residential segments to those distribution companies. The significant sales increase was due to additional sales contributed by three distribution companies acquired in the second half of calendar 1999, raising the total to four Toro-owned distribution companies in fiscal 2000 compared to only one during the first half of fiscal 1999.</w:t>
      </w:r>
    </w:p>
    <w:p>
      <w:pPr>
        <w:spacing w:after="0" w:line="177"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Year-to-date net sales for the other segment in fiscal 2000 were $8.5 million compared to $1.0 million last year, an increase of $7.5 million. This increase is due to the same factors mentioned in the quarter comparison.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Second quarter gross profit was $161.9 million compared to $152.9 million last year, an increase of 6.0 percent. As a percentage of net sales, gross profit for the second quarter was 36.7 percent compared to 35.3 percent last year. The improvement in gross margin resulted from increased sales of higher margin products in the residential segment, cost reductions for certain residential segment products, and additional gross profit contribution from the distribution companies. In addition, second quarter of fiscal 1999 reflected the elimination of gross profit previously recorded with respect to sales of Toro products to a Minnesota-based distributor, which was acquired in fiscal 1999. Partially offsetting those positive factors were lower margins for agricultural irrigation products due to price increases for raw materials and aggressive pricing pressures from competition.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Year-to-date gross profit was $261.9 million compared to $240.8 million last year, an increase of 8.8 percent. As a percentage of net sales, year-to-date gross profit was 36.3 percent compared to 35.2 percent last year. The increase in gross margin was due to the same contributing factors as in the quarter comparison.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Second quarter selling, general, and administrative expense (SG&amp;A) was $108.7 million compared to $106.8 million last year, an increase of 1.8 percent. However, as a percentage of net sales, SG&amp;A decreased slightly to 24.6 percent from 24.7 percent for the same quarter in fiscal 1999. The dollar increase was due to the acquisition of three distribution companies that added $4.6 million of incremental SG&amp;A expense. Without the addition of these three distribution companies, SG&amp;A expense would have decreased $2.7 million and 0.8 percent as a percentage of net sales due to lower marketing expense for the residential segment and reduced incentive compensation costs compared to higher levels of benefits accrued under the prior year's benefit plans.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Year-to-date SG&amp;A expense was $202.7 million compared to $189.1 million last year, an increase of 7.2 percent. As a percentage of net sales, SG&amp;A increased slightly to 28.1 percent from 27.7 percent last year. The acquisition of three distribution companies added $7.6 million of incremental SG&amp;A expense. Without the addition of these three distribution companies, SG&amp;A expense would have increased $6.0 million, but decreased 1.0 percent as a percentage of net sales. The dollar increase was due to higher levels of spending for Internet-based projects and distribution changes, slightly offset by lower levels of incentive compensation costs.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Second quarter interest expense was $7.7 million compared to $6.7 million last year, an increase of 14.3 percent. This increase was due to higher average short-term debt related to higher levels of working capital as well as increased interest rates compared to the same prior year period.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Year-to-date interest expense was $13.4 million compared to $11.7 million last year, an increase of 14.3 percent. This increase in interest expense for the year was due to the same contributing factors as in the quarter comparison. Management expects this trend to continue through fiscal 2000 as interest rates are likely to continue to rise and average short-term debt is planned to be higher than in fiscal 1999 due to anticipated higher inventory levels resulting from capacity constraints and property, plant, and equipment additions planned for fiscal 2000.</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OTHER INCOME (EXPENSE), NET</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Second quarter other expense, net, was $2.9 million compared to other income, net, of $0.1 million last year, an unfavorable variance of $3.0 million. This unfavorable variance was due to higher amounts of exchange rate currency losses and a valuation expense related to an investment in a technology company, somewhat offset by increased levels of finance charge revenue.</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Year-to-date other expense, net, was $1.6 million compared to other income, net, of $0.9 million last year, an unfavorable variance of $2.5 million. This unfavorable variance for the year was due to the same contributing factors as in the quarter comparison.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EARNINGS (LOSS) BY SEGMENT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earnings (loss) by segment is defined as earnings (loss) from operations plus other income (expense), net for the residential and professional segments. The other segment operating loss includes earnings (loss) from operations, corporate activities, other income (expense), net, and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SEGMENT OPERATING EARNINGS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Operating earnings for the worldwide professional segment in the second quarter of fiscal 2000 were $42.3 million compared to $49.1 million in the second quarter of fiscal 1999, a decrease of 13.9 percent. As a percentage of net sales, professional segment operating margins decreased to 15.5 percent from</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18.3 percent for the same quarter in fiscal 1999. Gross margin as a percent of sales fell 1.7 percent mainly due to increased costs for resin that have not been recaptured with price increases for irrigation and agricultural irrigation products. The decline in operating profit was also due to increased levels of exchange rate currency losses, lower sales of golf irrigation systems, and a valuation charge for an investment in a technology company.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Year-to-date operating earnings for the worldwide professional segment in fiscal 2000 were $60.3 million compared to $63.7 million last year, a decrease of 5.3 percent. As a percentage of net sales, professional segment operating margins decreased to 13.2 percent from 15.0 percent last year. The reasons for the decrease are the same as in the quarter comparison. On a positive note, SG&amp;A expense as a percent of sales was slightly lower by 0.1 percent due to leveraging SG&amp;A costs on higher sales volumes.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SEGMENT OPERATING EARNINGS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Operating earnings for the worldwide residential segment in the second quarter of fiscal 2000 were $15.4 million compared to $11.8 million in the second quarter of fiscal 1999, an increase of 30.5 percent. As a percentage of net sales, residential segment operating margins increased to 9.8 percent from 7.2 percent for the same quarter in fiscal 1999. Gross margin rose 2.4 percent as a percentage of net sales due to increased sales of higher margin products, reduced costs for certain products, and the elimination of non-performing product lines. Also contributing to the increase in operating profits was a 0.2 percent decline in SG&amp;A expense as a percentage of net sales. The Australian operations are beginning to show signs of improvement related to profit improvement programs implemented at the end of fiscal 1999.</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Year-to-date operating earnings for the worldwide residential segment in fiscal 2000 were $21.4 million compared to $16.4 million last year, an increase of 30.3 percent. As a percentage of net sales, residential segment operating margins increased to 8.4 percent from 6.4 percent last year. Gross margin increased as a percentage of net sales by 2.0 due to the same reasons discussed in the above quarter comparison. SG&amp;A expense as a percentage of net sales was even to the prior comparable period.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SEGMENT OPERATING LOSSES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losses for the other segment in the second quarter of fiscal 2000 were $15.0 million compared to losses of $21.5 million in the second quarter of fiscal 1999, an improvement of 30.1 percent. This improvement resulted from the addition of profits from the company-owned distributors, of which three were acquired during the second half of calendar 1999, and lower incentive compensation costs. The prior year also included the elimination of gross profit previously recorded with respect to sales of Toro products to a Minnesota-based distributor, which was acquired in fiscal 1999. Slightly offsetting these positive factors were higher interest costs and increased spending for Internet-based projects.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OTHER SEGMENT OPERATING LOSSES (CONTINUED)</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Year-to-date operating losses for the other segment in fiscal 2000 were $37.5 million compared to losses of $39.3 million in fiscal 1999, an improvement of</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4.5 percent. This improvement was due to the same contributing factors mentioned in the above quarter comparison.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effective tax rate for fiscal 2000 was 37.0 percent compared to 39.0 percent for fiscal 1999. The decrease was due to benefits from foreign tax strategies and tax minimization projects implemented in fiscal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AS OF APRIL 28, 2000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APRIL 28, 2000 COMPARED TO APRIL 30, 1999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Total assets at April 28, 2000 were $1,016.0 million compared to $931.2 million on April 30, 1999, an increase of $84.8 million. Net accounts receivable increased by $17.2 million, mainly for international receivables, due to higher sales levels and lengthened payment terms as compared to last year. Inventory also increased $56.2 million across most product lines. The three newly acquired distribution companies added $14.7 million of net incremental inventory. Finished goods inventory was higher due to prebuilding of inventory to counter anticipated capacity limitations at certain manufacturing facilities during the peak-selling season. Service parts inventory also increased because of efforts to improve fill rates as compared to last year. Net property, plant, and equipment assets increased $6.1 million due to higher amounts of capital additions in comparison to depreciation expense.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at April 28, 2000 were $507.2 million compared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$440.4 million at April 30, 1999, an increase of $66.8 million. Short-term debt increased by $51.6 million as a result of higher receivables and inventory levels discussed above. Accounts payable increased by $8.2 million due to higher levels of inventory resulting from increased plant utilization. Other accrued liabilities also increased by $7.2 million due mainly to higher levels of warranty accruals.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APRIL 28, 2000 COMPARED TO OCTOBER 31, 1999</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Total assets at April 28, 2000 were $1,016.0 million compared to $787.2 million at October 31, 1999, an increase of $228.8 million. Net accounts receivable increased $188.3 million from October 31, 1999 due to the seasonal increase in accounts receivable, which historically occurs between January and April. Inventory increased by $37.5 million due to the normal seasonal buildup of inventory, plus prebuilding of inventory parts and certain products for the professional segment meant to overcome manufacturing capacity constraints that would otherwise occur if manufacturing were scheduled for traditional periods. Net property, plant, and equipment increased $4.0 million due to higher amounts of capital additions in comparison to depreciation expense. Goodwill and other assets increased $7.3 million mainly as a result of the final Exmark contingent payment.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at April 28, 2000 were $507.2 million compared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$305.8 million at October 31, 1999, an increase of $201.4 million. The majority of this increase was the result of additional short-term debt of $179.0 million, reflecting the company's strategy of utilizing short-term debt to fund seasonal working capital needs. These requirements are historically greatest in the winter and spring months. Other accrued liabilities increased $21.9 million primarily as a result of higher warranty accruals and accruals for various seasonal sales and marketing programs, which are at their peak during the spring selling season.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used in operating activities for the first six months of fiscal 2000 was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$36.5 million higher than the first six months in fiscal 1999 primarily due to a higher change in working capital as compared to the prior period. Cash used in investing activities increased $1.4 million due to more purchases of property, plant, and equipment during the first half of fiscal 2000 compared to the prior year, slightly offset by last year's investment in an affiliate. Cash provided by financing activities increased by $25.8 million due to higher levels of short-term debt during the first half of fiscal 2000 compared to the first half of fiscal 1999. The cash used in operating and investing activities was partially funded with the cash on hand at October 31, 1999.</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U.S. seasonal working capital requirements are funded with $267.0 million of committed unsecured bank credit lines. In addition, the company's non-U.S. operations maintain unsecured short-term lines of credit of approximately $19.0 million, and one European subsidiary has an uncommitted credit line of approximately $3.0 million. The company also has banker's acceptance agreements under which an additional $40.0 million of credit lines are available. The company's business is seasonal, with peak borrowing under the working capital lines described above generally occurring between February and May each year.</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Management believes that the combination of funds available through its existing financing arrangements, coupled with forecasted cash flows, will provide the necessary capital resources for the company's anticipated working capital, acquisitions, and property, plant and equipment additions.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subject to the effects of changing prices. In the first half of fiscal 2000, the company began experiencing some signs of inflationary pressures for purchases of general commodities. The company is attempting to deal with these inflationary pressures by actively pursuing internal cost reduction efforts.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CURRENCY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Beginning in January 1999, the European Monetary Union (EMU) entered into a three-year transition phase during which a common currency called the euro is being introduced in participating countries. Initially, this new currency is being used for financial transactions and it will progressively replace the old national currencies that will be withdrawn by July 2002. The transition to the euro currency will involve changing budgetary, accounting, contractual, and fiscal systems in companies and public administrations, as well as simultaneous handling of parallel currencies and conversion of legacy data. Uncertainty exists as to the effects the conversion to the euro currency will have on the marketplace. One anticipated effect will be more transparent price differences on goods in European countries.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One of the issues for the company is the competitive impact on Toro distributor sales and Toro direct sales, and financial support given to distributors in the countries in the European Union (EU). The company recently discussed a potential euro list price strategy with a majority of its European distribution affected by this change. Current concerns include currency swings and instability in the rate of exchange between the euro and the US dollar. The company is also researching how other companies are planning to incorporate euros into their international business operations. Beginning in December 1999, Toro implemented euro-hedging plans that consolidate the net cash flow from its European subsidiaries.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continued its program to evaluate whether its computer systems and programs will experience operational problems when the euro is fully implemented. The company's European subsidiaries' have completed initial testing of their financial systems and no problems concerning their ability to function using the euro were discovered. These subsidiaries began disclosing the euro value on each customer's invoice in January 1999, and have continued that practice in fiscal 2000. The company is also reviewing other operating business systems for its European subsidiaries, and therefore, the plan to begin parallel reporting with the current functional currency of the European subsidiary and euros in fiscal 2000 has been extended to late fiscal 2001.</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Based on evaluation to date, management currently believes that while the company will incur internal and external costs to adjust to the euro, such costs are not expected to have a significant impact on operations, cash flows, or the financial condition of the company and its subsidiaries taken as a whole in future periods.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forward exchange contracts held by the company have maturity dates in fiscal year 2000 and 2001. All items are non-trading and stated in U.S. dollars. The average contracted rate, notional amount, and fair value impact at April 28, 2000 were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AVERAGE</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3780" w:type="dxa"/>
            <w:vAlign w:val="bottom"/>
          </w:tcPr>
          <w:p>
            <w:pPr>
              <w:spacing w:after="0"/>
              <w:rPr>
                <w:sz w:val="14"/>
                <w:szCs w:val="14"/>
                <w:color w:val="auto"/>
              </w:rPr>
            </w:pP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CONTRACTED</w:t>
            </w:r>
          </w:p>
        </w:tc>
        <w:tc>
          <w:tcPr>
            <w:tcW w:w="32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NOTIONAL</w:t>
            </w:r>
          </w:p>
        </w:tc>
        <w:tc>
          <w:tcPr>
            <w:tcW w:w="26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IMPACT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RATE</w:t>
            </w:r>
          </w:p>
        </w:tc>
        <w:tc>
          <w:tcPr>
            <w:tcW w:w="3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 (LOSS)</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Buy US dollar/Sell Australian dollar</w:t>
            </w:r>
          </w:p>
        </w:tc>
        <w:tc>
          <w:tcPr>
            <w:tcW w:w="1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.6508</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5,696.1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540.5</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British pound</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1.5910</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2,529.6</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Canadian dollar</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1.4663</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8,405.7</w:t>
            </w:r>
          </w:p>
        </w:tc>
        <w:tc>
          <w:tcPr>
            <w:tcW w:w="26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Euro</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1.0172</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2,110.6</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184.4</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Japanese yen</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104.6100</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955.9</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Australian dollar/Sell US dollar</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.5941</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1,710.9</w:t>
            </w:r>
          </w:p>
        </w:tc>
        <w:tc>
          <w:tcPr>
            <w:tcW w:w="26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Euro/Sell US dollar</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.9236</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2,124.3</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German mark/Sell US dollar</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1.8349</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490.5</w:t>
            </w:r>
          </w:p>
        </w:tc>
        <w:tc>
          <w:tcPr>
            <w:tcW w:w="26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(64.4)</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Buy Japanese yen/Sell US dollar</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112.2200</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3,208.1</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208.8</w:t>
            </w:r>
          </w:p>
        </w:tc>
      </w:tr>
      <w:tr>
        <w:trPr>
          <w:trHeight w:val="168"/>
        </w:trPr>
        <w:tc>
          <w:tcPr>
            <w:tcW w:w="7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this information.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ind w:left="2380"/>
        <w:spacing w:after="0"/>
        <w:rPr>
          <w:sz w:val="20"/>
          <w:szCs w:val="20"/>
          <w:color w:val="auto"/>
        </w:rPr>
      </w:pPr>
      <w:r>
        <w:rPr>
          <w:rFonts w:ascii="Courier New" w:cs="Courier New" w:eastAsia="Courier New" w:hAnsi="Courier New"/>
          <w:sz w:val="15"/>
          <w:szCs w:val="15"/>
          <w:color w:val="auto"/>
        </w:rPr>
        <w:t>PART II. OTHER INFORMATION</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hanging="790"/>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Stockholders was held on March 29, 2000.</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the stockholder votes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FOR</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hanging="353"/>
        <w:spacing w:after="0"/>
        <w:tabs>
          <w:tab w:leader="none" w:pos="15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tbl>
      <w:tblPr>
        <w:tblLayout w:type="fixed"/>
        <w:tblInd w:w="1580" w:type="dxa"/>
        <w:tblCellMar>
          <w:top w:w="0" w:type="dxa"/>
          <w:left w:w="0" w:type="dxa"/>
          <w:bottom w:w="0" w:type="dxa"/>
          <w:right w:w="0" w:type="dxa"/>
        </w:tblCellMar>
      </w:tblP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Janet K. Cooper</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10,162,347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Kendrick B. Melrose</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10,002,792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Gregg W. Steinhafel</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10,160,515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Edwin H. Wingate</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9,992,776</w:t>
            </w:r>
          </w:p>
        </w:tc>
      </w:tr>
    </w:tbl>
    <w:p>
      <w:pPr>
        <w:ind w:left="1500" w:hanging="353"/>
        <w:spacing w:after="0" w:line="237" w:lineRule="auto"/>
        <w:tabs>
          <w:tab w:leader="none" w:pos="15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Amendment of Annual</w:t>
      </w:r>
    </w:p>
    <w:tbl>
      <w:tblPr>
        <w:tblLayout w:type="fixed"/>
        <w:tblInd w:w="1580" w:type="dxa"/>
        <w:tblCellMar>
          <w:top w:w="0" w:type="dxa"/>
          <w:left w:w="0" w:type="dxa"/>
          <w:bottom w:w="0" w:type="dxa"/>
          <w:right w:w="0" w:type="dxa"/>
        </w:tblCellMar>
      </w:tblPr>
      <w:tr>
        <w:trPr>
          <w:trHeight w:val="169"/>
        </w:trPr>
        <w:tc>
          <w:tcPr>
            <w:tcW w:w="3460" w:type="dxa"/>
            <w:vAlign w:val="bottom"/>
          </w:tcPr>
          <w:p>
            <w:pPr>
              <w:spacing w:after="0" w:line="169" w:lineRule="exact"/>
              <w:rPr>
                <w:sz w:val="20"/>
                <w:szCs w:val="20"/>
                <w:color w:val="auto"/>
              </w:rPr>
            </w:pPr>
            <w:r>
              <w:rPr>
                <w:rFonts w:ascii="Courier New" w:cs="Courier New" w:eastAsia="Courier New" w:hAnsi="Courier New"/>
                <w:sz w:val="15"/>
                <w:szCs w:val="15"/>
                <w:color w:val="auto"/>
              </w:rPr>
              <w:t>Management Incentive Plan II.</w:t>
            </w:r>
          </w:p>
        </w:tc>
        <w:tc>
          <w:tcPr>
            <w:tcW w:w="1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10,026,842</w:t>
            </w:r>
          </w:p>
        </w:tc>
      </w:tr>
    </w:tbl>
    <w:p>
      <w:pPr>
        <w:ind w:left="1500" w:hanging="353"/>
        <w:spacing w:after="0" w:line="237" w:lineRule="auto"/>
        <w:tabs>
          <w:tab w:leader="none" w:pos="15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Amendment of Performance</w:t>
      </w:r>
    </w:p>
    <w:tbl>
      <w:tblPr>
        <w:tblLayout w:type="fixed"/>
        <w:tblInd w:w="1580" w:type="dxa"/>
        <w:tblCellMar>
          <w:top w:w="0" w:type="dxa"/>
          <w:left w:w="0" w:type="dxa"/>
          <w:bottom w:w="0" w:type="dxa"/>
          <w:right w:w="0" w:type="dxa"/>
        </w:tblCellMar>
      </w:tblPr>
      <w:tr>
        <w:trPr>
          <w:trHeight w:val="169"/>
        </w:trPr>
        <w:tc>
          <w:tcPr>
            <w:tcW w:w="2720" w:type="dxa"/>
            <w:vAlign w:val="bottom"/>
          </w:tcPr>
          <w:p>
            <w:pPr>
              <w:spacing w:after="0" w:line="169" w:lineRule="exact"/>
              <w:rPr>
                <w:sz w:val="20"/>
                <w:szCs w:val="20"/>
                <w:color w:val="auto"/>
              </w:rPr>
            </w:pPr>
            <w:r>
              <w:rPr>
                <w:rFonts w:ascii="Courier New" w:cs="Courier New" w:eastAsia="Courier New" w:hAnsi="Courier New"/>
                <w:sz w:val="15"/>
                <w:szCs w:val="15"/>
                <w:color w:val="auto"/>
              </w:rPr>
              <w:t>Share Plan.</w:t>
            </w:r>
          </w:p>
        </w:tc>
        <w:tc>
          <w:tcPr>
            <w:tcW w:w="25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9,763,073</w:t>
            </w:r>
          </w:p>
        </w:tc>
      </w:tr>
    </w:tbl>
    <w:p>
      <w:pPr>
        <w:ind w:left="1500" w:hanging="353"/>
        <w:spacing w:after="0" w:line="237" w:lineRule="auto"/>
        <w:tabs>
          <w:tab w:leader="none" w:pos="15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Amendment of Directors Stock</w:t>
      </w:r>
    </w:p>
    <w:p>
      <w:pPr>
        <w:ind w:left="1580"/>
        <w:spacing w:after="0" w:line="238" w:lineRule="auto"/>
        <w:tabs>
          <w:tab w:leader="none" w:pos="602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9,372,044</w:t>
      </w:r>
    </w:p>
    <w:p>
      <w:pPr>
        <w:ind w:left="1500" w:hanging="353"/>
        <w:spacing w:after="0" w:line="237" w:lineRule="auto"/>
        <w:tabs>
          <w:tab w:leader="none" w:pos="1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Adoption of 2000 Stock Option</w:t>
      </w:r>
    </w:p>
    <w:p>
      <w:pPr>
        <w:ind w:left="1580"/>
        <w:spacing w:after="0" w:line="238" w:lineRule="auto"/>
        <w:tabs>
          <w:tab w:leader="none" w:pos="602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7,744,862</w:t>
      </w:r>
    </w:p>
    <w:p>
      <w:pPr>
        <w:ind w:left="1500" w:hanging="353"/>
        <w:spacing w:after="0" w:line="237" w:lineRule="auto"/>
        <w:tabs>
          <w:tab w:leader="none" w:pos="15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Selection of Independent</w:t>
      </w:r>
    </w:p>
    <w:tbl>
      <w:tblPr>
        <w:tblLayout w:type="fixed"/>
        <w:tblInd w:w="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Auditors for Fiscal 2000.</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95"/>
              </w:rPr>
              <w:t>10,643,631</w:t>
            </w:r>
          </w:p>
        </w:tc>
      </w:tr>
      <w:tr>
        <w:trPr>
          <w:trHeight w:val="505"/>
        </w:trPr>
        <w:tc>
          <w:tcPr>
            <w:tcW w:w="5960" w:type="dxa"/>
            <w:vAlign w:val="bottom"/>
            <w:gridSpan w:val="3"/>
          </w:tcPr>
          <w:p>
            <w:pPr>
              <w:spacing w:after="0"/>
              <w:rPr>
                <w:sz w:val="20"/>
                <w:szCs w:val="20"/>
                <w:color w:val="auto"/>
              </w:rPr>
            </w:pPr>
            <w:r>
              <w:rPr>
                <w:rFonts w:ascii="Courier New" w:cs="Courier New" w:eastAsia="Courier New" w:hAnsi="Courier New"/>
                <w:sz w:val="15"/>
                <w:szCs w:val="15"/>
                <w:color w:val="auto"/>
              </w:rPr>
              <w:t>Item 6.  Exhibits and Reports on Form 8-K</w:t>
            </w:r>
          </w:p>
        </w:tc>
        <w:tc>
          <w:tcPr>
            <w:tcW w:w="960" w:type="dxa"/>
            <w:vAlign w:val="bottom"/>
          </w:tcPr>
          <w:p>
            <w:pPr>
              <w:spacing w:after="0"/>
              <w:rPr>
                <w:sz w:val="24"/>
                <w:szCs w:val="2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Exhibits</w:t>
            </w:r>
          </w:p>
        </w:tc>
        <w:tc>
          <w:tcPr>
            <w:tcW w:w="4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3(i)(a) and 4(a)</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Incorporation of Registrant</w:t>
            </w:r>
          </w:p>
        </w:tc>
        <w:tc>
          <w:tcPr>
            <w:tcW w:w="9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(incorporated by reference to Exhibit 4.2 to Registrant's</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Registration Statement on Form S-3, Registration</w:t>
            </w:r>
          </w:p>
        </w:tc>
        <w:tc>
          <w:tcPr>
            <w:tcW w:w="9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 33-16125).</w:t>
            </w:r>
          </w:p>
        </w:tc>
        <w:tc>
          <w:tcPr>
            <w:tcW w:w="960" w:type="dxa"/>
            <w:vAlign w:val="bottom"/>
          </w:tcPr>
          <w:p>
            <w:pPr>
              <w:spacing w:after="0"/>
              <w:rPr>
                <w:sz w:val="14"/>
                <w:szCs w:val="14"/>
                <w:color w:val="auto"/>
              </w:rPr>
            </w:pPr>
          </w:p>
        </w:tc>
      </w:tr>
      <w:tr>
        <w:trPr>
          <w:trHeight w:val="336"/>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3(i)(b) and 4(b)</w:t>
            </w:r>
          </w:p>
        </w:tc>
        <w:tc>
          <w:tcPr>
            <w:tcW w:w="5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Certificate of Amendment to Certificate of Incorporation of</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Registrant dated December 9, 1986 (incorporated</w:t>
            </w:r>
          </w:p>
        </w:tc>
        <w:tc>
          <w:tcPr>
            <w:tcW w:w="9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by reference to Exhibit 3 to Registrant's Quarterly Report on</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Form 10-Q for the quarter ended January 30, 1987, Commission</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 No. 1-8649).</w:t>
            </w:r>
          </w:p>
        </w:tc>
        <w:tc>
          <w:tcPr>
            <w:tcW w:w="960" w:type="dxa"/>
            <w:vAlign w:val="bottom"/>
          </w:tcPr>
          <w:p>
            <w:pPr>
              <w:spacing w:after="0"/>
              <w:rPr>
                <w:sz w:val="14"/>
                <w:szCs w:val="14"/>
                <w:color w:val="auto"/>
              </w:rPr>
            </w:pPr>
          </w:p>
        </w:tc>
      </w:tr>
      <w:tr>
        <w:trPr>
          <w:trHeight w:val="336"/>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3(i)(c) and 4(c)</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Designation to Certificate of</w:t>
            </w:r>
          </w:p>
        </w:tc>
        <w:tc>
          <w:tcPr>
            <w:tcW w:w="9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Incorporation of Registrant dated May 28, 1998 (incorporated</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by reference to Exhibit (1)(A) to Registrant's Current Report</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Form 8-K dated May 27, 1998).</w:t>
            </w:r>
          </w:p>
        </w:tc>
        <w:tc>
          <w:tcPr>
            <w:tcW w:w="960" w:type="dxa"/>
            <w:vAlign w:val="bottom"/>
          </w:tcPr>
          <w:p>
            <w:pPr>
              <w:spacing w:after="0"/>
              <w:rPr>
                <w:sz w:val="14"/>
                <w:szCs w:val="14"/>
                <w:color w:val="auto"/>
              </w:rPr>
            </w:pPr>
          </w:p>
        </w:tc>
      </w:tr>
      <w:tr>
        <w:trPr>
          <w:trHeight w:val="336"/>
        </w:trPr>
        <w:tc>
          <w:tcPr>
            <w:tcW w:w="1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3(ii)and 4(d)</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w w:val="96"/>
              </w:rPr>
              <w:t>Bylaws of Registrant (incorporated by reference to</w:t>
            </w:r>
          </w:p>
        </w:tc>
        <w:tc>
          <w:tcPr>
            <w:tcW w:w="9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Exhibit 3(ii) and 4(d) to Registrant's Quarterly Report on</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10-Q for the quarter ended April 30, 1999).</w:t>
            </w:r>
          </w:p>
        </w:tc>
        <w:tc>
          <w:tcPr>
            <w:tcW w:w="960" w:type="dxa"/>
            <w:vAlign w:val="bottom"/>
          </w:tcPr>
          <w:p>
            <w:pPr>
              <w:spacing w:after="0"/>
              <w:rPr>
                <w:sz w:val="14"/>
                <w:szCs w:val="14"/>
                <w:color w:val="auto"/>
              </w:rPr>
            </w:pPr>
          </w:p>
        </w:tc>
      </w:tr>
      <w:tr>
        <w:trPr>
          <w:trHeight w:val="336"/>
        </w:trPr>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4(e)</w:t>
            </w:r>
          </w:p>
        </w:tc>
        <w:tc>
          <w:tcPr>
            <w:tcW w:w="920" w:type="dxa"/>
            <w:vAlign w:val="bottom"/>
          </w:tcPr>
          <w:p>
            <w:pPr>
              <w:spacing w:after="0"/>
              <w:rPr>
                <w:sz w:val="24"/>
                <w:szCs w:val="24"/>
                <w:color w:val="auto"/>
              </w:rPr>
            </w:pPr>
          </w:p>
        </w:tc>
        <w:tc>
          <w:tcPr>
            <w:tcW w:w="5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Specimen form of Common Stock certificate (incorporated by</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to Exhibit 4(c) to Registrant's Registration</w:t>
            </w: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Statement on Form S-8, Registration No. 2-94417).</w:t>
            </w:r>
          </w:p>
        </w:tc>
        <w:tc>
          <w:tcPr>
            <w:tcW w:w="960" w:type="dxa"/>
            <w:vAlign w:val="bottom"/>
          </w:tcPr>
          <w:p>
            <w:pPr>
              <w:spacing w:after="0"/>
              <w:rPr>
                <w:sz w:val="14"/>
                <w:szCs w:val="14"/>
                <w:color w:val="auto"/>
              </w:rPr>
            </w:pPr>
          </w:p>
        </w:tc>
      </w:tr>
      <w:tr>
        <w:trPr>
          <w:trHeight w:val="336"/>
        </w:trPr>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4(f)</w:t>
            </w:r>
          </w:p>
        </w:tc>
        <w:tc>
          <w:tcPr>
            <w:tcW w:w="9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w w:val="96"/>
              </w:rPr>
              <w:t>Rights Agreement dated as of May 20, 1998, between</w:t>
            </w:r>
          </w:p>
        </w:tc>
        <w:tc>
          <w:tcPr>
            <w:tcW w:w="9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Registrant and Norwest Bank Minnesota, National Association</w:t>
            </w:r>
          </w:p>
        </w:tc>
      </w:tr>
    </w:tbl>
    <w:p>
      <w:pPr>
        <w:spacing w:after="0" w:line="5" w:lineRule="exact"/>
        <w:rPr>
          <w:sz w:val="20"/>
          <w:szCs w:val="20"/>
          <w:color w:val="auto"/>
        </w:rPr>
      </w:pPr>
    </w:p>
    <w:p>
      <w:pPr>
        <w:ind w:left="1580" w:right="80"/>
        <w:spacing w:after="0" w:line="256" w:lineRule="auto"/>
        <w:rPr>
          <w:sz w:val="20"/>
          <w:szCs w:val="20"/>
          <w:color w:val="auto"/>
        </w:rPr>
      </w:pPr>
      <w:r>
        <w:rPr>
          <w:rFonts w:ascii="Courier New" w:cs="Courier New" w:eastAsia="Courier New" w:hAnsi="Courier New"/>
          <w:sz w:val="14"/>
          <w:szCs w:val="14"/>
          <w:color w:val="auto"/>
        </w:rPr>
        <w:t>relating to rights to purchase Series B Junior Participating Voting Preferred Stock, as amended (incorporated by reference to Registrant's Current Report on Form 8-K dated May 27, 1998, Commission File No. 1-8649).</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BROKER</w:t>
            </w:r>
          </w:p>
        </w:tc>
      </w:tr>
      <w:tr>
        <w:trPr>
          <w:trHeight w:val="168"/>
        </w:trPr>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AGAINST</w:t>
            </w: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ABSTAIN</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NON-VOTES</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778,878</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938,433</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780,710</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948,449</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809,454</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104,929</w:t>
            </w:r>
          </w:p>
        </w:tc>
        <w:tc>
          <w:tcPr>
            <w:tcW w:w="14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1,075,332</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102,820</w:t>
            </w:r>
          </w:p>
        </w:tc>
        <w:tc>
          <w:tcPr>
            <w:tcW w:w="14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1,470,865</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98,316</w:t>
            </w:r>
          </w:p>
        </w:tc>
        <w:tc>
          <w:tcPr>
            <w:tcW w:w="14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2,338,217</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88,875</w:t>
            </w:r>
          </w:p>
        </w:tc>
        <w:tc>
          <w:tcPr>
            <w:tcW w:w="14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769,271</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178,423</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119,171</w:t>
            </w:r>
          </w:p>
        </w:tc>
        <w:tc>
          <w:tcPr>
            <w:tcW w:w="14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2">
            <w:col w:w="6920" w:space="620"/>
            <w:col w:w="4000"/>
          </w:cols>
          <w:pgMar w:left="220" w:top="617" w:right="1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4(g)</w:t>
            </w:r>
          </w:p>
        </w:tc>
        <w:tc>
          <w:tcPr>
            <w:tcW w:w="59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Indenture as dated as of January 31, 1997, between</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6"/>
              </w:rPr>
              <w:t>Registrant and First National Trust Association, as Trustee,</w:t>
            </w:r>
          </w:p>
        </w:tc>
      </w:tr>
      <w:tr>
        <w:trPr>
          <w:trHeight w:val="168"/>
        </w:trPr>
        <w:tc>
          <w:tcPr>
            <w:tcW w:w="110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relating</w:t>
            </w:r>
          </w:p>
        </w:tc>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to the Registrant's 7.125% Notes due June 15, 2007</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and its 7.80% Debentures due June 15, 2027 (incorporated by</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reference to Exhibit 4(a) to Registrant's Current Report on</w:t>
            </w:r>
          </w:p>
        </w:tc>
      </w:tr>
      <w:tr>
        <w:trPr>
          <w:trHeight w:val="168"/>
        </w:trPr>
        <w:tc>
          <w:tcPr>
            <w:tcW w:w="110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Form 8-K</w:t>
            </w:r>
          </w:p>
        </w:tc>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 June 24, 1997, Commission File No. 1-8649).</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10(a)</w:t>
            </w:r>
          </w:p>
        </w:tc>
        <w:tc>
          <w:tcPr>
            <w:tcW w:w="5900" w:type="dxa"/>
            <w:vAlign w:val="bottom"/>
            <w:gridSpan w:val="3"/>
          </w:tcPr>
          <w:p>
            <w:pPr>
              <w:ind w:left="660"/>
              <w:spacing w:after="0"/>
              <w:rPr>
                <w:sz w:val="20"/>
                <w:szCs w:val="20"/>
                <w:color w:val="auto"/>
              </w:rPr>
            </w:pPr>
            <w:r>
              <w:rPr>
                <w:rFonts w:ascii="Courier New" w:cs="Courier New" w:eastAsia="Courier New" w:hAnsi="Courier New"/>
                <w:sz w:val="15"/>
                <w:szCs w:val="15"/>
                <w:color w:val="auto"/>
                <w:w w:val="98"/>
              </w:rPr>
              <w:t>Form of Employment Agreement in effect for certain officers</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6"/>
              </w:rPr>
              <w:t>of Registrant (incorporated by reference to Exhibit 10(a) to</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9"/>
              </w:rPr>
              <w:t>Registrant's Quarterly Report on Form 10-Q for the quarter</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ended July 30, 1999).*</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10(b)</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Directors Stock Plan, as amended.*</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10(c)</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Annual Management Incentive Plan II for</w:t>
            </w:r>
          </w:p>
        </w:tc>
      </w:tr>
      <w:tr>
        <w:trPr>
          <w:trHeight w:val="168"/>
        </w:trPr>
        <w:tc>
          <w:tcPr>
            <w:tcW w:w="110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officers</w:t>
            </w:r>
          </w:p>
        </w:tc>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Registrant, as amended.*</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10(d)</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1985 Incentive Stock Option Plan</w:t>
            </w:r>
          </w:p>
        </w:tc>
      </w:tr>
      <w:tr>
        <w:trPr>
          <w:trHeight w:val="168"/>
        </w:trPr>
        <w:tc>
          <w:tcPr>
            <w:tcW w:w="1100" w:type="dxa"/>
            <w:vAlign w:val="bottom"/>
          </w:tcPr>
          <w:p>
            <w:pPr>
              <w:spacing w:after="0"/>
              <w:rPr>
                <w:sz w:val="14"/>
                <w:szCs w:val="14"/>
                <w:color w:val="auto"/>
              </w:rPr>
            </w:pPr>
          </w:p>
        </w:tc>
        <w:tc>
          <w:tcPr>
            <w:tcW w:w="21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(incorporated by</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reference to Exhibit 10(b) to Registrant's</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Annual Report on Form 10-K for the fiscal year ended July</w:t>
            </w:r>
          </w:p>
        </w:tc>
      </w:tr>
      <w:tr>
        <w:trPr>
          <w:trHeight w:val="168"/>
        </w:trPr>
        <w:tc>
          <w:tcPr>
            <w:tcW w:w="1100" w:type="dxa"/>
            <w:vAlign w:val="bottom"/>
          </w:tcPr>
          <w:p>
            <w:pPr>
              <w:spacing w:after="0"/>
              <w:rPr>
                <w:sz w:val="14"/>
                <w:szCs w:val="14"/>
                <w:color w:val="auto"/>
              </w:rPr>
            </w:pPr>
          </w:p>
        </w:tc>
        <w:tc>
          <w:tcPr>
            <w:tcW w:w="21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31, 1993).*</w:t>
            </w:r>
          </w:p>
        </w:tc>
        <w:tc>
          <w:tcPr>
            <w:tcW w:w="3800" w:type="dxa"/>
            <w:vAlign w:val="bottom"/>
          </w:tcPr>
          <w:p>
            <w:pPr>
              <w:spacing w:after="0"/>
              <w:rPr>
                <w:sz w:val="14"/>
                <w:szCs w:val="14"/>
                <w:color w:val="auto"/>
              </w:rPr>
            </w:pP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10(e)</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1989 Stock Option Plan (incorporated by</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reference to Exhibit 10(e) to Registrant's Quarterly Report</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on Form 10-Q for the quarter ended July 30, 1999).*</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10(f)</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1993 Stock Option Plan (incorporated by</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reference to Exhibit 10(f) to Registrant's Quarterly Report</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on Form 10-Q for the quarter ended July 30, 1999).*</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10(g)</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2000 Stock Option Plan.*</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10(h)</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Performance Share Plan, as amended.*</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10(i)</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Supplemental Management Retirement Plan</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10(h) to Registrant's</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6"/>
              </w:rPr>
              <w:t>Quarterly Report on Form 10-Q for the quarter ended July 30,</w:t>
            </w:r>
          </w:p>
        </w:tc>
      </w:tr>
      <w:tr>
        <w:trPr>
          <w:trHeight w:val="168"/>
        </w:trPr>
        <w:tc>
          <w:tcPr>
            <w:tcW w:w="110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10(j)</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Company Supplemental Retirement Plan (incorporated</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by reference to Exhibit 10(i) to Registrant's Quarterly</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9"/>
              </w:rPr>
              <w:t>Report on Form 10-Q for the quarter ended July 30, 1999).*</w:t>
            </w: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10(k)</w:t>
            </w:r>
          </w:p>
        </w:tc>
        <w:tc>
          <w:tcPr>
            <w:tcW w:w="59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Chief Executive Officer Incentive Award Agreement, as</w:t>
            </w:r>
          </w:p>
        </w:tc>
      </w:tr>
      <w:tr>
        <w:trPr>
          <w:trHeight w:val="168"/>
        </w:trPr>
        <w:tc>
          <w:tcPr>
            <w:tcW w:w="110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3"/>
              </w:rPr>
              <w:t>amended.*</w:t>
            </w:r>
          </w:p>
        </w:tc>
        <w:tc>
          <w:tcPr>
            <w:tcW w:w="66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10(l)</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Deferred Compensation Plan for Officers</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10(j) to Registrant's</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8"/>
              </w:rPr>
              <w:t>Quarterly Report on Form 10-Q for the quarter ended January</w:t>
            </w:r>
          </w:p>
        </w:tc>
      </w:tr>
      <w:tr>
        <w:trPr>
          <w:trHeight w:val="168"/>
        </w:trPr>
        <w:tc>
          <w:tcPr>
            <w:tcW w:w="1100" w:type="dxa"/>
            <w:vAlign w:val="bottom"/>
          </w:tcPr>
          <w:p>
            <w:pPr>
              <w:spacing w:after="0"/>
              <w:rPr>
                <w:sz w:val="14"/>
                <w:szCs w:val="14"/>
                <w:color w:val="auto"/>
              </w:rPr>
            </w:pPr>
          </w:p>
        </w:tc>
        <w:tc>
          <w:tcPr>
            <w:tcW w:w="21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29, 1999).*</w:t>
            </w:r>
          </w:p>
        </w:tc>
        <w:tc>
          <w:tcPr>
            <w:tcW w:w="3800" w:type="dxa"/>
            <w:vAlign w:val="bottom"/>
          </w:tcPr>
          <w:p>
            <w:pPr>
              <w:spacing w:after="0"/>
              <w:rPr>
                <w:sz w:val="14"/>
                <w:szCs w:val="14"/>
                <w:color w:val="auto"/>
              </w:rPr>
            </w:pP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10(m)</w:t>
            </w:r>
          </w:p>
        </w:tc>
        <w:tc>
          <w:tcPr>
            <w:tcW w:w="1440" w:type="dxa"/>
            <w:vAlign w:val="bottom"/>
          </w:tcPr>
          <w:p>
            <w:pPr>
              <w:ind w:left="660"/>
              <w:spacing w:after="0"/>
              <w:rPr>
                <w:sz w:val="20"/>
                <w:szCs w:val="20"/>
                <w:color w:val="auto"/>
              </w:rPr>
            </w:pPr>
            <w:r>
              <w:rPr>
                <w:rFonts w:ascii="Courier New" w:cs="Courier New" w:eastAsia="Courier New" w:hAnsi="Courier New"/>
                <w:sz w:val="15"/>
                <w:szCs w:val="15"/>
                <w:color w:val="auto"/>
              </w:rPr>
              <w:t>The Toro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Company Deferred Compensation Plan for</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6"/>
              </w:rPr>
              <w:t>Non-Employee Directors (incorporated by reference to Exhibit</w:t>
            </w:r>
          </w:p>
        </w:tc>
      </w:tr>
      <w:tr>
        <w:trPr>
          <w:trHeight w:val="168"/>
        </w:trPr>
        <w:tc>
          <w:tcPr>
            <w:tcW w:w="110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10(k) to</w:t>
            </w:r>
          </w:p>
        </w:tc>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Registrant's Quarterly Report on Form 10-Q for the</w:t>
            </w:r>
          </w:p>
        </w:tc>
      </w:tr>
      <w:tr>
        <w:trPr>
          <w:trHeight w:val="168"/>
        </w:trPr>
        <w:tc>
          <w:tcPr>
            <w:tcW w:w="1100" w:type="dxa"/>
            <w:vAlign w:val="bottom"/>
          </w:tcPr>
          <w:p>
            <w:pPr>
              <w:spacing w:after="0"/>
              <w:rPr>
                <w:sz w:val="14"/>
                <w:szCs w:val="14"/>
                <w:color w:val="auto"/>
              </w:rPr>
            </w:pPr>
          </w:p>
        </w:tc>
        <w:tc>
          <w:tcPr>
            <w:tcW w:w="59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quarter ended January 29, 1999).*</w:t>
            </w:r>
          </w:p>
        </w:tc>
      </w:tr>
    </w:tbl>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*Management contract or compensatory plan or arrangement required to be filed as an exhibit to this Quarterly Report on Form 10-Q pursuant to Item 14(c).</w:t>
      </w:r>
    </w:p>
    <w:p>
      <w:pPr>
        <w:spacing w:after="0" w:line="167"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19" w:name="page20"/>
    <w:bookmarkEnd w:id="1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STEPHEN P. WOLFE</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Stephen P. Wolfe</w:t>
      </w:r>
    </w:p>
    <w:p>
      <w:pPr>
        <w:ind w:left="2900"/>
        <w:spacing w:after="0" w:line="237" w:lineRule="auto"/>
        <w:rPr>
          <w:sz w:val="20"/>
          <w:szCs w:val="20"/>
          <w:color w:val="auto"/>
        </w:rPr>
      </w:pPr>
      <w:r>
        <w:rPr>
          <w:rFonts w:ascii="Courier New" w:cs="Courier New" w:eastAsia="Courier New" w:hAnsi="Courier New"/>
          <w:sz w:val="15"/>
          <w:szCs w:val="15"/>
          <w:color w:val="auto"/>
        </w:rPr>
        <w:t>Vice President, Finance</w:t>
      </w:r>
    </w:p>
    <w:p>
      <w:pPr>
        <w:ind w:left="2900"/>
        <w:spacing w:after="0" w:line="238" w:lineRule="auto"/>
        <w:rPr>
          <w:sz w:val="20"/>
          <w:szCs w:val="20"/>
          <w:color w:val="auto"/>
        </w:rPr>
      </w:pPr>
      <w:r>
        <w:rPr>
          <w:rFonts w:ascii="Courier New" w:cs="Courier New" w:eastAsia="Courier New" w:hAnsi="Courier New"/>
          <w:sz w:val="15"/>
          <w:szCs w:val="15"/>
          <w:color w:val="auto"/>
        </w:rPr>
        <w:t>Chief Financial Officer</w:t>
      </w:r>
    </w:p>
    <w:p>
      <w:pPr>
        <w:ind w:left="290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June 12,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DIRECTORS STOCK PLAN</w:t>
      </w:r>
    </w:p>
    <w:p>
      <w:pPr>
        <w:spacing w:after="0" w:line="173" w:lineRule="exact"/>
        <w:rPr>
          <w:sz w:val="20"/>
          <w:szCs w:val="20"/>
          <w:color w:val="auto"/>
        </w:rPr>
      </w:pPr>
    </w:p>
    <w:p>
      <w:pPr>
        <w:ind w:left="360" w:right="3239" w:hanging="350"/>
        <w:spacing w:after="0" w:line="25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Directors Stock Plan ("Plan") is to enable The Toro Company (the "Company")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w:t>
      </w:r>
    </w:p>
    <w:p>
      <w:pPr>
        <w:spacing w:after="0" w:line="2" w:lineRule="exact"/>
        <w:rPr>
          <w:rFonts w:ascii="Courier New" w:cs="Courier New" w:eastAsia="Courier New" w:hAnsi="Courier New"/>
          <w:sz w:val="14"/>
          <w:szCs w:val="14"/>
          <w:color w:val="auto"/>
        </w:rPr>
      </w:pPr>
    </w:p>
    <w:p>
      <w:pPr>
        <w:ind w:left="360"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16b-3 under the Securities Exchange Act of 1934, as amended (the "Exchange Act"), to the extent applicable.</w:t>
      </w:r>
    </w:p>
    <w:p>
      <w:pPr>
        <w:spacing w:after="0" w:line="173" w:lineRule="exact"/>
        <w:rPr>
          <w:rFonts w:ascii="Courier New" w:cs="Courier New" w:eastAsia="Courier New" w:hAnsi="Courier New"/>
          <w:sz w:val="14"/>
          <w:szCs w:val="14"/>
          <w:color w:val="auto"/>
        </w:rPr>
      </w:pPr>
    </w:p>
    <w:p>
      <w:pPr>
        <w:ind w:left="360" w:right="3499"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All members of the Company's Board of Directors who are not current employees of the Company or any of its subsidiaries ("Nonemployee Directors") are eligible to participate in the Plan.</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AWARDS.</w:t>
      </w:r>
    </w:p>
    <w:p>
      <w:pPr>
        <w:spacing w:after="0" w:line="172" w:lineRule="exact"/>
        <w:rPr>
          <w:rFonts w:ascii="Courier New" w:cs="Courier New" w:eastAsia="Courier New" w:hAnsi="Courier New"/>
          <w:sz w:val="15"/>
          <w:szCs w:val="15"/>
          <w:color w:val="auto"/>
        </w:rPr>
      </w:pPr>
    </w:p>
    <w:p>
      <w:pPr>
        <w:ind w:left="700" w:right="3239" w:hanging="340"/>
        <w:spacing w:after="0" w:line="255" w:lineRule="auto"/>
        <w:tabs>
          <w:tab w:leader="none" w:pos="7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$10,000 divided by the fair market value of one share of Common Stock. The fair market value of one share of Common Stock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58" w:lineRule="exact"/>
        <w:rPr>
          <w:rFonts w:ascii="Courier New" w:cs="Courier New" w:eastAsia="Courier New" w:hAnsi="Courier New"/>
          <w:sz w:val="14"/>
          <w:szCs w:val="14"/>
          <w:color w:val="auto"/>
        </w:rPr>
      </w:pPr>
    </w:p>
    <w:p>
      <w:pPr>
        <w:ind w:left="700" w:hanging="340"/>
        <w:spacing w:after="0"/>
        <w:tabs>
          <w:tab w:leader="none" w:pos="7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w:t>
      </w:r>
    </w:p>
    <w:p>
      <w:pPr>
        <w:spacing w:after="0" w:line="172" w:lineRule="exact"/>
        <w:rPr>
          <w:rFonts w:ascii="Courier New" w:cs="Courier New" w:eastAsia="Courier New" w:hAnsi="Courier New"/>
          <w:sz w:val="15"/>
          <w:szCs w:val="15"/>
          <w:color w:val="auto"/>
        </w:rPr>
      </w:pPr>
    </w:p>
    <w:p>
      <w:pPr>
        <w:ind w:left="1060" w:right="3319" w:hanging="351"/>
        <w:spacing w:after="0" w:line="236" w:lineRule="auto"/>
        <w:tabs>
          <w:tab w:leader="none" w:pos="106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The fair market value of one share of Common Stock shall be the 4 p.m. Eastern Time closing price of the Common Stock as reported by the New York Stock Exchange for the first business day of the Company's fiscal year with respect to which the grant is made.</w:t>
      </w:r>
    </w:p>
    <w:p>
      <w:pPr>
        <w:spacing w:after="0" w:line="172" w:lineRule="exact"/>
        <w:rPr>
          <w:rFonts w:ascii="Courier New" w:cs="Courier New" w:eastAsia="Courier New" w:hAnsi="Courier New"/>
          <w:sz w:val="15"/>
          <w:szCs w:val="15"/>
          <w:color w:val="auto"/>
        </w:rPr>
      </w:pPr>
    </w:p>
    <w:p>
      <w:pPr>
        <w:ind w:left="1060" w:hanging="351"/>
        <w:spacing w:after="0"/>
        <w:tabs>
          <w:tab w:leader="none" w:pos="106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2" w:lineRule="exact"/>
        <w:rPr>
          <w:rFonts w:ascii="Courier New" w:cs="Courier New" w:eastAsia="Courier New" w:hAnsi="Courier New"/>
          <w:sz w:val="15"/>
          <w:szCs w:val="15"/>
          <w:color w:val="auto"/>
        </w:rPr>
      </w:pPr>
    </w:p>
    <w:p>
      <w:pPr>
        <w:ind w:left="1400" w:right="3499" w:hanging="341"/>
        <w:spacing w:after="0" w:line="235" w:lineRule="auto"/>
        <w:tabs>
          <w:tab w:leader="none" w:pos="1400"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 shall be exercisable in whole or in part commencing six months following the date of grant and shall remain exercisable for a term of five years after the date of grant.</w:t>
      </w:r>
    </w:p>
    <w:p>
      <w:pPr>
        <w:spacing w:after="0" w:line="175" w:lineRule="exact"/>
        <w:rPr>
          <w:rFonts w:ascii="Courier New" w:cs="Courier New" w:eastAsia="Courier New" w:hAnsi="Courier New"/>
          <w:sz w:val="15"/>
          <w:szCs w:val="15"/>
          <w:color w:val="auto"/>
        </w:rPr>
      </w:pPr>
    </w:p>
    <w:p>
      <w:pPr>
        <w:ind w:left="1400" w:right="3319" w:hanging="341"/>
        <w:spacing w:after="0" w:line="236" w:lineRule="auto"/>
        <w:tabs>
          <w:tab w:leader="none" w:pos="1400"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77" w:lineRule="exact"/>
        <w:rPr>
          <w:rFonts w:ascii="Courier New" w:cs="Courier New" w:eastAsia="Courier New" w:hAnsi="Courier New"/>
          <w:sz w:val="15"/>
          <w:szCs w:val="15"/>
          <w:color w:val="auto"/>
        </w:rPr>
      </w:pPr>
    </w:p>
    <w:p>
      <w:pPr>
        <w:ind w:left="1400" w:right="3239" w:hanging="341"/>
        <w:spacing w:after="0" w:line="237" w:lineRule="auto"/>
        <w:tabs>
          <w:tab w:leader="none" w:pos="1400"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ectPr>
          <w:pgSz w:w="11900" w:h="16838" w:orient="portrait"/>
          <w:cols w:equalWidth="0" w:num="1">
            <w:col w:w="10239"/>
          </w:cols>
          <w:pgMar w:left="220" w:top="471" w:right="1440" w:bottom="1440" w:gutter="0" w:footer="0" w:header="0"/>
        </w:sectPr>
      </w:pPr>
    </w:p>
    <w:bookmarkStart w:id="21" w:name="page22"/>
    <w:bookmarkEnd w:id="21"/>
    <w:p>
      <w:pPr>
        <w:ind w:left="1390" w:right="3239" w:hanging="341"/>
        <w:spacing w:after="0" w:line="235" w:lineRule="auto"/>
        <w:tabs>
          <w:tab w:leader="none" w:pos="139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exercise price may be made in cash, in shares of Common Stock valued at fair market value on the date of exercise or in a combination of cash and Common Stock.</w:t>
      </w:r>
    </w:p>
    <w:p>
      <w:pPr>
        <w:spacing w:after="0" w:line="173" w:lineRule="exact"/>
        <w:rPr>
          <w:rFonts w:ascii="Courier New" w:cs="Courier New" w:eastAsia="Courier New" w:hAnsi="Courier New"/>
          <w:sz w:val="15"/>
          <w:szCs w:val="15"/>
          <w:color w:val="auto"/>
        </w:rPr>
      </w:pPr>
    </w:p>
    <w:p>
      <w:pPr>
        <w:ind w:left="690" w:right="3239" w:hanging="340"/>
        <w:spacing w:after="0" w:line="255" w:lineRule="auto"/>
        <w:tabs>
          <w:tab w:leader="none" w:pos="69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63" w:lineRule="exact"/>
        <w:rPr>
          <w:rFonts w:ascii="Courier New" w:cs="Courier New" w:eastAsia="Courier New" w:hAnsi="Courier New"/>
          <w:sz w:val="14"/>
          <w:szCs w:val="14"/>
          <w:color w:val="auto"/>
        </w:rPr>
      </w:pPr>
    </w:p>
    <w:p>
      <w:pPr>
        <w:ind w:left="690" w:right="3239" w:hanging="340"/>
        <w:spacing w:after="0" w:line="236" w:lineRule="auto"/>
        <w:tabs>
          <w:tab w:leader="none" w:pos="6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BENEFIT. Directors Shares and Directors Options are a supplemental benefit and are not a component of the annual retainer and meeting fees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175" w:lineRule="exact"/>
        <w:rPr>
          <w:rFonts w:ascii="Courier New" w:cs="Courier New" w:eastAsia="Courier New" w:hAnsi="Courier New"/>
          <w:sz w:val="15"/>
          <w:szCs w:val="15"/>
          <w:color w:val="auto"/>
        </w:rPr>
      </w:pPr>
    </w:p>
    <w:p>
      <w:pPr>
        <w:ind w:left="350" w:right="3239" w:hanging="350"/>
        <w:spacing w:after="0" w:line="236"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IN LIEU OF FEES. A Nonemployee Director shall have the right to elect to receive shares of Common Stock in lieu of annual retainer and meeting fees otherwise payable in cash. The election to receive Common Stock shall be made prior to the first day of the calendar year in which the fees are to be earned. Fees that are earned shall be reserved through the year and shares shall be issued in December of that year. The number of shares to be issued shall be determined by dividing the amount of the cash that otherwise would have been paid by the market value of one share of Common Stock on the date that the shares are issued.</w:t>
      </w:r>
    </w:p>
    <w:p>
      <w:pPr>
        <w:spacing w:after="0" w:line="178" w:lineRule="exact"/>
        <w:rPr>
          <w:rFonts w:ascii="Courier New" w:cs="Courier New" w:eastAsia="Courier New" w:hAnsi="Courier New"/>
          <w:sz w:val="15"/>
          <w:szCs w:val="15"/>
          <w:color w:val="auto"/>
        </w:rPr>
      </w:pPr>
    </w:p>
    <w:p>
      <w:pPr>
        <w:ind w:left="350" w:right="3239" w:hanging="350"/>
        <w:spacing w:after="0" w:line="254"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in connection with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of adjustment in (a) the maximum number and kind of securities subject to the Plan as set forth in this paragraph;</w:t>
      </w:r>
    </w:p>
    <w:p>
      <w:pPr>
        <w:spacing w:after="0" w:line="7" w:lineRule="exact"/>
        <w:rPr>
          <w:rFonts w:ascii="Courier New" w:cs="Courier New" w:eastAsia="Courier New" w:hAnsi="Courier New"/>
          <w:sz w:val="14"/>
          <w:szCs w:val="14"/>
          <w:color w:val="auto"/>
        </w:rPr>
      </w:pPr>
    </w:p>
    <w:p>
      <w:pPr>
        <w:ind w:left="35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173" w:lineRule="exact"/>
        <w:rPr>
          <w:rFonts w:ascii="Courier New" w:cs="Courier New" w:eastAsia="Courier New" w:hAnsi="Courier New"/>
          <w:sz w:val="14"/>
          <w:szCs w:val="14"/>
          <w:color w:val="auto"/>
        </w:rPr>
      </w:pPr>
    </w:p>
    <w:p>
      <w:pPr>
        <w:ind w:left="350" w:right="3319" w:hanging="350"/>
        <w:spacing w:after="0" w:line="235"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of a Change of Control of the Company as hereinafter defined, all options shall fully vest, unless otherwise limited by the Committee at the time of the option grant, and</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22" w:name="page23"/>
    <w:bookmarkEnd w:id="22"/>
    <w:p>
      <w:pPr>
        <w:ind w:right="3239"/>
        <w:spacing w:after="0" w:line="235" w:lineRule="auto"/>
        <w:rPr>
          <w:sz w:val="20"/>
          <w:szCs w:val="20"/>
          <w:color w:val="auto"/>
        </w:rPr>
      </w:pPr>
      <w:r>
        <w:rPr>
          <w:rFonts w:ascii="Courier New" w:cs="Courier New" w:eastAsia="Courier New" w:hAnsi="Courier New"/>
          <w:sz w:val="15"/>
          <w:szCs w:val="15"/>
          <w:color w:val="auto"/>
        </w:rPr>
        <w:t>be exercisable in their entirety immediately, and notwithstanding any other provisions of the Plan, shall continue to be exercisable for three years following the Change of Control, but not later than ten years after the date of grant.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left="340" w:right="3239" w:hanging="340"/>
        <w:spacing w:after="0" w:line="255" w:lineRule="auto"/>
        <w:tabs>
          <w:tab w:leader="none" w:pos="3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331" w:lineRule="exact"/>
        <w:rPr>
          <w:rFonts w:ascii="Courier New" w:cs="Courier New" w:eastAsia="Courier New" w:hAnsi="Courier New"/>
          <w:sz w:val="14"/>
          <w:szCs w:val="14"/>
          <w:color w:val="auto"/>
        </w:rPr>
      </w:pPr>
    </w:p>
    <w:p>
      <w:pPr>
        <w:ind w:left="340" w:right="3239" w:hanging="340"/>
        <w:spacing w:after="0" w:line="237"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340" w:right="3239" w:hanging="340"/>
        <w:spacing w:after="0" w:line="254" w:lineRule="auto"/>
        <w:tabs>
          <w:tab w:leader="none" w:pos="3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30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80"/>
          </w:cols>
          <w:pgMar w:left="580" w:top="624" w:right="1440" w:bottom="1440" w:gutter="0" w:footer="0" w:header="0"/>
        </w:sectPr>
      </w:pPr>
    </w:p>
    <w:bookmarkStart w:id="23" w:name="page24"/>
    <w:bookmarkEnd w:id="23"/>
    <w:p>
      <w:pPr>
        <w:ind w:left="690" w:right="3239" w:hanging="340"/>
        <w:spacing w:after="0" w:line="234" w:lineRule="auto"/>
        <w:tabs>
          <w:tab w:leader="none" w:pos="69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left="350" w:right="3399" w:hanging="350"/>
        <w:spacing w:after="0" w:line="255"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65" w:lineRule="exact"/>
        <w:rPr>
          <w:rFonts w:ascii="Courier New" w:cs="Courier New" w:eastAsia="Courier New" w:hAnsi="Courier New"/>
          <w:sz w:val="14"/>
          <w:szCs w:val="14"/>
          <w:color w:val="auto"/>
        </w:rPr>
      </w:pPr>
    </w:p>
    <w:p>
      <w:pPr>
        <w:ind w:left="350" w:right="3579" w:hanging="350"/>
        <w:spacing w:after="0" w:line="261"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be perpetual, unless sooner terminated by action of the Board of Directors.</w:t>
      </w:r>
    </w:p>
    <w:p>
      <w:pPr>
        <w:spacing w:after="0" w:line="159" w:lineRule="exact"/>
        <w:rPr>
          <w:rFonts w:ascii="Courier New" w:cs="Courier New" w:eastAsia="Courier New" w:hAnsi="Courier New"/>
          <w:sz w:val="14"/>
          <w:szCs w:val="14"/>
          <w:color w:val="auto"/>
        </w:rPr>
      </w:pPr>
    </w:p>
    <w:p>
      <w:pPr>
        <w:ind w:left="350" w:right="3239" w:hanging="350"/>
        <w:spacing w:after="0" w:line="236"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effective date of any amendment to the Plan shall be the date of its adoption by the Board of Directors. No amendment of the Plan shall adversely affect in a material manner any right of any option holder with respect to any option theretofore granted without such option holder's written consent.</w:t>
      </w:r>
    </w:p>
    <w:p>
      <w:pPr>
        <w:spacing w:after="0" w:line="173" w:lineRule="exact"/>
        <w:rPr>
          <w:rFonts w:ascii="Courier New" w:cs="Courier New" w:eastAsia="Courier New" w:hAnsi="Courier New"/>
          <w:sz w:val="15"/>
          <w:szCs w:val="15"/>
          <w:color w:val="auto"/>
        </w:rPr>
      </w:pPr>
    </w:p>
    <w:p>
      <w:pPr>
        <w:ind w:left="350" w:right="3319" w:hanging="350"/>
        <w:spacing w:after="0" w:line="236"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options and awards granted under the Plan and agreements entered into under the Plan shall be construed, administered and 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33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24" w:name="page25"/>
    <w:bookmarkEnd w:id="24"/>
    <w:p>
      <w:pPr>
        <w:ind w:left="2790"/>
        <w:spacing w:after="0"/>
        <w:rPr>
          <w:sz w:val="20"/>
          <w:szCs w:val="20"/>
          <w:color w:val="auto"/>
        </w:rPr>
      </w:pPr>
      <w:r>
        <w:rPr>
          <w:rFonts w:ascii="Courier New" w:cs="Courier New" w:eastAsia="Courier New" w:hAnsi="Courier New"/>
          <w:sz w:val="15"/>
          <w:szCs w:val="15"/>
          <w:color w:val="auto"/>
        </w:rPr>
        <w:t>THE TORO COMPANY</w:t>
      </w:r>
    </w:p>
    <w:p>
      <w:pPr>
        <w:ind w:left="2010"/>
        <w:spacing w:after="0" w:line="237" w:lineRule="auto"/>
        <w:rPr>
          <w:sz w:val="20"/>
          <w:szCs w:val="20"/>
          <w:color w:val="auto"/>
        </w:rPr>
      </w:pPr>
      <w:r>
        <w:rPr>
          <w:rFonts w:ascii="Courier New" w:cs="Courier New" w:eastAsia="Courier New" w:hAnsi="Courier New"/>
          <w:sz w:val="15"/>
          <w:szCs w:val="15"/>
          <w:color w:val="auto"/>
        </w:rPr>
        <w:t>ANNUAL MANAGEMENT INCENTIVE PLAN II</w:t>
      </w:r>
    </w:p>
    <w:p>
      <w:pPr>
        <w:spacing w:after="0" w:line="173" w:lineRule="exact"/>
        <w:rPr>
          <w:sz w:val="20"/>
          <w:szCs w:val="20"/>
          <w:color w:val="auto"/>
        </w:rPr>
      </w:pPr>
    </w:p>
    <w:p>
      <w:pPr>
        <w:ind w:left="350" w:right="3239" w:hanging="350"/>
        <w:spacing w:after="0" w:line="25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II (the "Plan") is to enhance stockholder value of The Toro 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164" w:lineRule="exact"/>
        <w:rPr>
          <w:rFonts w:ascii="Courier New" w:cs="Courier New" w:eastAsia="Courier New" w:hAnsi="Courier New"/>
          <w:sz w:val="14"/>
          <w:szCs w:val="14"/>
          <w:color w:val="auto"/>
        </w:rPr>
      </w:pPr>
    </w:p>
    <w:p>
      <w:pPr>
        <w:ind w:left="350" w:right="3239" w:hanging="350"/>
        <w:spacing w:after="0" w:line="25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 all applicable conditions of Rule 16b-3 or its successor provisions under the Exchange Act. To the extent any provision of the Plan or action by the Committee fails to so comply, it shall be deemed null and void, to the extent permitted by law and deemed advisable by the Committee.</w:t>
      </w:r>
    </w:p>
    <w:p>
      <w:pPr>
        <w:spacing w:after="0" w:line="156"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AMOUNTS.</w:t>
      </w:r>
    </w:p>
    <w:p>
      <w:pPr>
        <w:spacing w:after="0" w:line="172" w:lineRule="exact"/>
        <w:rPr>
          <w:rFonts w:ascii="Courier New" w:cs="Courier New" w:eastAsia="Courier New" w:hAnsi="Courier New"/>
          <w:sz w:val="15"/>
          <w:szCs w:val="15"/>
          <w:color w:val="auto"/>
        </w:rPr>
      </w:pPr>
    </w:p>
    <w:p>
      <w:pPr>
        <w:ind w:left="690" w:right="3239" w:hanging="340"/>
        <w:spacing w:after="0" w:line="254" w:lineRule="auto"/>
        <w:tabs>
          <w:tab w:leader="none" w:pos="69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Committee and shall be based on a percentage of a Plan Participant's actual annual base salary at the time of grant ("Participation Factor"), within the range established by this subparagraph and subject to adjustment as provided in the last sentence of this subparagraph. The Participation Factors, which are intended to reflect a Plan Participant's level of responsibility, are up to 60% for the Chairman and Chief Executive Officer, up to 55% for the President and Chief Operating Officer if one should be elected, up to 50% for other elected officers and up to 45% for other officers.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than the Target Payout.</w:t>
      </w:r>
    </w:p>
    <w:p>
      <w:pPr>
        <w:spacing w:after="0" w:line="174" w:lineRule="exact"/>
        <w:rPr>
          <w:rFonts w:ascii="Courier New" w:cs="Courier New" w:eastAsia="Courier New" w:hAnsi="Courier New"/>
          <w:sz w:val="14"/>
          <w:szCs w:val="14"/>
          <w:color w:val="auto"/>
        </w:rPr>
      </w:pPr>
    </w:p>
    <w:p>
      <w:pPr>
        <w:ind w:left="690" w:right="3399" w:hanging="340"/>
        <w:spacing w:after="0" w:line="236" w:lineRule="auto"/>
        <w:tabs>
          <w:tab w:leader="none" w:pos="69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PAYOUT. The Committee may also establish a maximum potential payout amount (the "Maximum Payout") with respect to an Annual Performance Award of up to 200% of the Target Payout in the event Performance Goal targets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77" w:lineRule="exact"/>
        <w:rPr>
          <w:rFonts w:ascii="Courier New" w:cs="Courier New" w:eastAsia="Courier New" w:hAnsi="Courier New"/>
          <w:sz w:val="15"/>
          <w:szCs w:val="15"/>
          <w:color w:val="auto"/>
        </w:rPr>
      </w:pPr>
    </w:p>
    <w:p>
      <w:pPr>
        <w:ind w:left="690" w:right="3239" w:hanging="340"/>
        <w:spacing w:after="0" w:line="236" w:lineRule="auto"/>
        <w:tabs>
          <w:tab w:leader="none" w:pos="69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PAYOUT. At the time an Annual Performance Award is made, the Committee may establish supplemental division-specific Performance Goals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vice president or general manager based on the Committee's evaluation of the quality of division performance.</w:t>
      </w:r>
    </w:p>
    <w:p>
      <w:pPr>
        <w:sectPr>
          <w:pgSz w:w="11900" w:h="16838" w:orient="portrait"/>
          <w:cols w:equalWidth="0" w:num="1">
            <w:col w:w="10229"/>
          </w:cols>
          <w:pgMar w:left="230" w:top="471" w:right="1440" w:bottom="1440" w:gutter="0" w:footer="0" w:header="0"/>
        </w:sectPr>
      </w:pPr>
    </w:p>
    <w:bookmarkStart w:id="25" w:name="page26"/>
    <w:bookmarkEnd w:id="25"/>
    <w:p>
      <w:pPr>
        <w:ind w:left="690" w:right="3319" w:hanging="340"/>
        <w:spacing w:after="0" w:line="237" w:lineRule="auto"/>
        <w:tabs>
          <w:tab w:leader="none" w:pos="69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PERFORMANCE MEASURE PAYOUT. At the time an Annual Performance Award is made, the Committee may increase the Target Payout and the Maximum Payout (as either may be prorated in accordance with subparagraphs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73" w:lineRule="exact"/>
        <w:rPr>
          <w:rFonts w:ascii="Courier New" w:cs="Courier New" w:eastAsia="Courier New" w:hAnsi="Courier New"/>
          <w:sz w:val="15"/>
          <w:szCs w:val="15"/>
          <w:color w:val="auto"/>
        </w:rPr>
      </w:pPr>
    </w:p>
    <w:p>
      <w:pPr>
        <w:ind w:left="690" w:right="3239" w:hanging="340"/>
        <w:spacing w:after="0" w:line="255" w:lineRule="auto"/>
        <w:tabs>
          <w:tab w:leader="none" w:pos="69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MAXIMUM. With respect to any Plan Participant who is or may become a person referred to in Section 162(m), the maximum dollar amount that may be paid under an Annual Performance Award shall be set at the time the Committee grants the award and establishes Performance Goals under the award, and the Committee shall have the discretion to decrease an award payment, but may not under any circumstances increase such amount. Notwithstanding any other provision of this Plan, the maximum dollar amount a Plan Participant may be paid under an Annual Performance Award, whether in cash or Common Stock or Common Stock units, with respect to any fiscal year is $1,500,000. The Committee may, in its discretion, decrease this maximum, but may not, under any circumstances, increase this maximum.</w:t>
      </w:r>
    </w:p>
    <w:p>
      <w:pPr>
        <w:spacing w:after="0" w:line="15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w:t>
      </w:r>
    </w:p>
    <w:p>
      <w:pPr>
        <w:spacing w:after="0" w:line="172" w:lineRule="exact"/>
        <w:rPr>
          <w:rFonts w:ascii="Courier New" w:cs="Courier New" w:eastAsia="Courier New" w:hAnsi="Courier New"/>
          <w:sz w:val="15"/>
          <w:szCs w:val="15"/>
          <w:color w:val="auto"/>
        </w:rPr>
      </w:pPr>
    </w:p>
    <w:p>
      <w:pPr>
        <w:ind w:left="690" w:right="3239" w:hanging="340"/>
        <w:spacing w:after="0" w:line="255" w:lineRule="auto"/>
        <w:tabs>
          <w:tab w:leader="none" w:pos="69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An award payment under an Annual Performance Award shall be made to a Plan Participant only if the Company, a division 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5" w:lineRule="exact"/>
        <w:rPr>
          <w:rFonts w:ascii="Courier New" w:cs="Courier New" w:eastAsia="Courier New" w:hAnsi="Courier New"/>
          <w:sz w:val="14"/>
          <w:szCs w:val="14"/>
          <w:color w:val="auto"/>
        </w:rPr>
      </w:pPr>
    </w:p>
    <w:p>
      <w:pPr>
        <w:ind w:left="690" w:right="3239" w:hanging="340"/>
        <w:spacing w:after="0" w:line="254" w:lineRule="auto"/>
        <w:tabs>
          <w:tab w:leader="none" w:pos="69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revenue, revenue growth, cost of goods sold, earnings per share (EPS), earnings growth, return on average net assets (ROANA), return on average total assets, return on average current assets, return on equity,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that may be established under subparagraph 4.a. may be based on any of the foregoing and/or on division specific operating performance goals including sustained earnings, product warranty experience, product recalls or inventory levels. SPM Performance Goals that may be established under subparagraph 4.a.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in this paragraph. Each Performance Goal is to be specifically defined by the Committee on a Company, division or individual basis and/or in comparison with peer group performance.</w:t>
      </w:r>
    </w:p>
    <w:p>
      <w:pPr>
        <w:spacing w:after="0" w:line="200" w:lineRule="exact"/>
        <w:rPr>
          <w:sz w:val="20"/>
          <w:szCs w:val="20"/>
          <w:color w:val="auto"/>
        </w:rPr>
      </w:pPr>
    </w:p>
    <w:p>
      <w:pPr>
        <w:spacing w:after="0" w:line="30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26" w:name="page27"/>
    <w:bookmarkEnd w:id="26"/>
    <w:p>
      <w:pPr>
        <w:ind w:left="350" w:right="3319" w:hanging="350"/>
        <w:spacing w:after="0" w:line="255"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as reflected in the minutes,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58"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RETENTION PROVISIONS.</w:t>
      </w:r>
    </w:p>
    <w:p>
      <w:pPr>
        <w:spacing w:after="0" w:line="172" w:lineRule="exact"/>
        <w:rPr>
          <w:rFonts w:ascii="Courier New" w:cs="Courier New" w:eastAsia="Courier New" w:hAnsi="Courier New"/>
          <w:sz w:val="15"/>
          <w:szCs w:val="15"/>
          <w:color w:val="auto"/>
        </w:rPr>
      </w:pPr>
    </w:p>
    <w:p>
      <w:pPr>
        <w:ind w:left="690" w:right="3239" w:hanging="340"/>
        <w:spacing w:after="0" w:line="237" w:lineRule="auto"/>
        <w:tabs>
          <w:tab w:leader="none" w:pos="6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STOCK RETENTION AWARD. Subject to the terms and conditions of this paragraph 6 (the "Stock Retention Provisions"), at the time the Committee selects Plan Participants, the Committee may grant to selected Plan Participants ("Stock Participants") a right (a "Stock Retention Award") to elect (i) to convert to shares of Common Stock or (ii) to defer, through The Toro Company Deferred Compensation Plan for Officers (the "Officers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of the Base Cash Award, up to the 50% limit (the "Matching Shares" or "Matching Units"). The shares or units acquired upon conversion of the Base Cash Award shall be retained by the Company during the vesting periods for the Matching Shares or Units described in subparagraph 6.e. Shares of Common Stock issued under the Stock Retention Provisions shall be called "Retained Shares" and units of Common Stock deferred under the Officers Deferred Plan shall be called "Retained Units."</w:t>
      </w:r>
    </w:p>
    <w:p>
      <w:pPr>
        <w:spacing w:after="0" w:line="175" w:lineRule="exact"/>
        <w:rPr>
          <w:rFonts w:ascii="Courier New" w:cs="Courier New" w:eastAsia="Courier New" w:hAnsi="Courier New"/>
          <w:sz w:val="15"/>
          <w:szCs w:val="15"/>
          <w:color w:val="auto"/>
        </w:rPr>
      </w:pPr>
    </w:p>
    <w:p>
      <w:pPr>
        <w:ind w:left="690" w:right="3239" w:hanging="340"/>
        <w:spacing w:after="0" w:line="236" w:lineRule="auto"/>
        <w:tabs>
          <w:tab w:leader="none" w:pos="6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UNITS. The number of Retained Shares or Retained Units to be issued or credited upon conversion shall be equal to the dollar amount of the portion of the Base Cash Award subject to the election, divided by the fair market value of the Common Stock on the date that the Committee makes the certification required under paragraph 5 of this Plan. Fair market value shall be the 4 p.m. Eastern Time closing price of one share of Common Stock, as reported by the New York Stock Exchange. Retained Shares shall be issued in whole shares only and cash shall be paid for fractional shares.</w:t>
      </w:r>
    </w:p>
    <w:p>
      <w:pPr>
        <w:spacing w:after="0" w:line="171" w:lineRule="exact"/>
        <w:rPr>
          <w:rFonts w:ascii="Courier New" w:cs="Courier New" w:eastAsia="Courier New" w:hAnsi="Courier New"/>
          <w:sz w:val="15"/>
          <w:szCs w:val="15"/>
          <w:color w:val="auto"/>
        </w:rPr>
      </w:pPr>
    </w:p>
    <w:p>
      <w:pPr>
        <w:ind w:left="690" w:hanging="340"/>
        <w:spacing w:after="0"/>
        <w:tabs>
          <w:tab w:leader="none" w:pos="6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EXERCISE STOCK RETENTION AWARD.</w:t>
      </w:r>
    </w:p>
    <w:p>
      <w:pPr>
        <w:spacing w:after="0" w:line="341" w:lineRule="exact"/>
        <w:rPr>
          <w:rFonts w:ascii="Courier New" w:cs="Courier New" w:eastAsia="Courier New" w:hAnsi="Courier New"/>
          <w:sz w:val="15"/>
          <w:szCs w:val="15"/>
          <w:color w:val="auto"/>
        </w:rPr>
      </w:pPr>
    </w:p>
    <w:p>
      <w:pPr>
        <w:ind w:left="1050" w:right="3239" w:hanging="351"/>
        <w:spacing w:after="0" w:line="236" w:lineRule="auto"/>
        <w:tabs>
          <w:tab w:leader="none" w:pos="105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 Provisions and shall specify the percentage of the Base Cash Award to be converted, up to the 50% limit, except as otherwise provided in the Officers Deferred Plan with respect to any year in which that plan is materially amended or the first year in which a Stock Participant becomes eligible to participate in the Stock Retention Provisions.</w:t>
      </w:r>
    </w:p>
    <w:p>
      <w:pPr>
        <w:spacing w:after="0" w:line="180" w:lineRule="exact"/>
        <w:rPr>
          <w:rFonts w:ascii="Courier New" w:cs="Courier New" w:eastAsia="Courier New" w:hAnsi="Courier New"/>
          <w:sz w:val="15"/>
          <w:szCs w:val="15"/>
          <w:color w:val="auto"/>
        </w:rPr>
      </w:pPr>
    </w:p>
    <w:p>
      <w:pPr>
        <w:ind w:left="1050" w:right="3239" w:hanging="351"/>
        <w:spacing w:after="0" w:line="255" w:lineRule="auto"/>
        <w:tabs>
          <w:tab w:leader="none" w:pos="1050"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September 15 immediately prior to the last day of the fiscal year to which a Stock Retention Award relates, a Stock Participant who has not elected to convert the maximum permissible portion of the Base Cash Award into Retained Units and who wishes to convert the portion of the Base Cash Award not yet subject to an election under paragraph 6.c.i. into Retained Shares shall notify the Company in writing that he or she has elected to participate in the Stock Retention Provisions and shall specify the percentage of the Base Cash Award to be converted.</w:t>
      </w:r>
    </w:p>
    <w:p>
      <w:pPr>
        <w:spacing w:after="0" w:line="32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27" w:name="page28"/>
    <w:bookmarkEnd w:id="27"/>
    <w:p>
      <w:pPr>
        <w:ind w:left="700" w:right="3239" w:hanging="351"/>
        <w:spacing w:after="0" w:line="234" w:lineRule="auto"/>
        <w:tabs>
          <w:tab w:leader="none" w:pos="78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participate is effective only for the fiscal year to which the Stock Retention Award relates.</w:t>
      </w:r>
    </w:p>
    <w:p>
      <w:pPr>
        <w:spacing w:after="0" w:line="173" w:lineRule="exact"/>
        <w:rPr>
          <w:rFonts w:ascii="Courier New" w:cs="Courier New" w:eastAsia="Courier New" w:hAnsi="Courier New"/>
          <w:sz w:val="15"/>
          <w:szCs w:val="15"/>
          <w:color w:val="auto"/>
        </w:rPr>
      </w:pPr>
    </w:p>
    <w:p>
      <w:pPr>
        <w:ind w:left="700" w:right="3239" w:hanging="351"/>
        <w:spacing w:after="0" w:line="236" w:lineRule="auto"/>
        <w:tabs>
          <w:tab w:leader="none" w:pos="70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for that fiscal year, and any Stock Retention Award for that year and any election made by the Stock Participant shall be canceled automatically as of the date of any such event.</w:t>
      </w:r>
    </w:p>
    <w:p>
      <w:pPr>
        <w:spacing w:after="0" w:line="177" w:lineRule="exact"/>
        <w:rPr>
          <w:rFonts w:ascii="Courier New" w:cs="Courier New" w:eastAsia="Courier New" w:hAnsi="Courier New"/>
          <w:sz w:val="15"/>
          <w:szCs w:val="15"/>
          <w:color w:val="auto"/>
        </w:rPr>
      </w:pPr>
    </w:p>
    <w:p>
      <w:pPr>
        <w:ind w:left="340" w:right="3239" w:hanging="340"/>
        <w:spacing w:after="0" w:line="236"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SHARES OR UNITS. As soon as practical following the conversion of a Base Cash Award to Retained Shares or Retained Units, the Company shall issue one Matching Share or credit one Matching Unit for each two Retained Shares or Retained Units acquired upon conversion. Matching Shares shall be held by the Company for the Stock Participant's account. Matching Shares shall be issued in whole shares only and cash shall be paid for fractional shares.</w:t>
      </w:r>
    </w:p>
    <w:p>
      <w:pPr>
        <w:spacing w:after="0" w:line="169" w:lineRule="exact"/>
        <w:rPr>
          <w:rFonts w:ascii="Courier New" w:cs="Courier New" w:eastAsia="Courier New" w:hAnsi="Courier New"/>
          <w:sz w:val="15"/>
          <w:szCs w:val="15"/>
          <w:color w:val="auto"/>
        </w:rPr>
      </w:pPr>
    </w:p>
    <w:p>
      <w:pPr>
        <w:ind w:left="340" w:hanging="340"/>
        <w:spacing w:after="0"/>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DELIVERY AND DISTRIBUTION.</w:t>
      </w:r>
    </w:p>
    <w:p>
      <w:pPr>
        <w:spacing w:after="0" w:line="166" w:lineRule="exact"/>
        <w:rPr>
          <w:rFonts w:ascii="Courier New" w:cs="Courier New" w:eastAsia="Courier New" w:hAnsi="Courier New"/>
          <w:sz w:val="15"/>
          <w:szCs w:val="15"/>
          <w:color w:val="auto"/>
        </w:rPr>
      </w:pPr>
    </w:p>
    <w:p>
      <w:pPr>
        <w:ind w:left="700" w:hanging="351"/>
        <w:spacing w:after="0"/>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w:t>
      </w:r>
    </w:p>
    <w:p>
      <w:pPr>
        <w:spacing w:after="0" w:line="172" w:lineRule="exact"/>
        <w:rPr>
          <w:rFonts w:ascii="Courier New" w:cs="Courier New" w:eastAsia="Courier New" w:hAnsi="Courier New"/>
          <w:sz w:val="15"/>
          <w:szCs w:val="15"/>
          <w:color w:val="auto"/>
        </w:rPr>
      </w:pPr>
    </w:p>
    <w:p>
      <w:pPr>
        <w:ind w:left="1040" w:right="3319" w:hanging="341"/>
        <w:spacing w:after="0" w:line="234" w:lineRule="auto"/>
        <w:tabs>
          <w:tab w:leader="none" w:pos="104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Retained Units are fully vested at the time of issuance or crediting.</w:t>
      </w:r>
    </w:p>
    <w:p>
      <w:pPr>
        <w:spacing w:after="0" w:line="173" w:lineRule="exact"/>
        <w:rPr>
          <w:rFonts w:ascii="Courier New" w:cs="Courier New" w:eastAsia="Courier New" w:hAnsi="Courier New"/>
          <w:sz w:val="15"/>
          <w:szCs w:val="15"/>
          <w:color w:val="auto"/>
        </w:rPr>
      </w:pPr>
    </w:p>
    <w:p>
      <w:pPr>
        <w:ind w:left="1040" w:right="3239" w:hanging="341"/>
        <w:spacing w:after="0" w:line="236" w:lineRule="auto"/>
        <w:tabs>
          <w:tab w:leader="none" w:pos="104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Shares and Matching Units held or credited by the Company shall be forfeitable until they vest and shall vest in increments of 25% of the total number of such Matching Shares or Units at the end of each of the second, third, fourth and fifth years after the date such Matching Shares or Units are issued or credited, provided that such Matching Shares or Units shall vest only if the Stock Participant's Retained Shares or Units have been left on deposit with the Company through the requisite two, three, four and five year periods and all other requirements of the Plan have been met, except as may otherwise be provided in subparagraph 6.f.</w:t>
      </w:r>
    </w:p>
    <w:p>
      <w:pPr>
        <w:spacing w:after="0" w:line="173" w:lineRule="exact"/>
        <w:rPr>
          <w:rFonts w:ascii="Courier New" w:cs="Courier New" w:eastAsia="Courier New" w:hAnsi="Courier New"/>
          <w:sz w:val="15"/>
          <w:szCs w:val="15"/>
          <w:color w:val="auto"/>
        </w:rPr>
      </w:pPr>
    </w:p>
    <w:p>
      <w:pPr>
        <w:ind w:left="700" w:hanging="351"/>
        <w:spacing w:after="0"/>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w:t>
      </w:r>
    </w:p>
    <w:p>
      <w:pPr>
        <w:spacing w:after="0" w:line="172" w:lineRule="exact"/>
        <w:rPr>
          <w:rFonts w:ascii="Courier New" w:cs="Courier New" w:eastAsia="Courier New" w:hAnsi="Courier New"/>
          <w:sz w:val="15"/>
          <w:szCs w:val="15"/>
          <w:color w:val="auto"/>
        </w:rPr>
      </w:pPr>
    </w:p>
    <w:p>
      <w:pPr>
        <w:ind w:left="1040" w:right="3239" w:hanging="341"/>
        <w:spacing w:after="0" w:line="236" w:lineRule="auto"/>
        <w:tabs>
          <w:tab w:leader="none" w:pos="104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Matching Shares will be delivered as soon as possible after the applicable vesting requirements (including accelerated vesting under subparagraph 6.f.) have been fulfilled. In the event vesting requirements are not fulfilled, Retained Shares will be returned to a Stock Participant as soon as possible.</w:t>
      </w:r>
    </w:p>
    <w:p>
      <w:pPr>
        <w:spacing w:after="0" w:line="174" w:lineRule="exact"/>
        <w:rPr>
          <w:rFonts w:ascii="Courier New" w:cs="Courier New" w:eastAsia="Courier New" w:hAnsi="Courier New"/>
          <w:sz w:val="15"/>
          <w:szCs w:val="15"/>
          <w:color w:val="auto"/>
        </w:rPr>
      </w:pPr>
    </w:p>
    <w:p>
      <w:pPr>
        <w:ind w:left="1040" w:right="3319" w:hanging="341"/>
        <w:spacing w:after="0" w:line="235" w:lineRule="auto"/>
        <w:tabs>
          <w:tab w:leader="none" w:pos="104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Units and Matching Units that have vested will be distributed to a Stock Participant consistent with a Stock Participant's distribution election properly made in accordance with the provisions of the Officers Deferred Plan.</w:t>
      </w:r>
    </w:p>
    <w:p>
      <w:pPr>
        <w:spacing w:after="0" w:line="168" w:lineRule="exact"/>
        <w:rPr>
          <w:rFonts w:ascii="Courier New" w:cs="Courier New" w:eastAsia="Courier New" w:hAnsi="Courier New"/>
          <w:sz w:val="15"/>
          <w:szCs w:val="15"/>
          <w:color w:val="auto"/>
        </w:rPr>
      </w:pPr>
    </w:p>
    <w:p>
      <w:pPr>
        <w:ind w:left="340" w:hanging="340"/>
        <w:spacing w:after="0"/>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CANCELLATION UNDER SPECIAL CONDITIONS.</w:t>
      </w:r>
    </w:p>
    <w:p>
      <w:pPr>
        <w:spacing w:after="0" w:line="172" w:lineRule="exact"/>
        <w:rPr>
          <w:rFonts w:ascii="Courier New" w:cs="Courier New" w:eastAsia="Courier New" w:hAnsi="Courier New"/>
          <w:sz w:val="15"/>
          <w:szCs w:val="15"/>
          <w:color w:val="auto"/>
        </w:rPr>
      </w:pPr>
    </w:p>
    <w:p>
      <w:pPr>
        <w:ind w:left="700" w:right="3239" w:hanging="351"/>
        <w:spacing w:after="0" w:line="254" w:lineRule="auto"/>
        <w:tabs>
          <w:tab w:leader="none" w:pos="70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or Disability. Notwithstanding the foregoing, all Matching Shares or Units held in a Stock Participant's account shall vest in full if the participant retires on or after age 65 or becomes permanently disabled and unable to work. Notwithstanding the foregoing, if within one year after such retirement the Stock Participant (A) is employed or retained by or renders service to any organization that, directly or indirectly, competes with or becomes competitive with the Company, or if the rendering of such services is prejudicial or in conflict with the interests of the Company, or</w:t>
      </w:r>
    </w:p>
    <w:p>
      <w:pPr>
        <w:spacing w:after="0" w:line="3" w:lineRule="exact"/>
        <w:rPr>
          <w:rFonts w:ascii="Courier New" w:cs="Courier New" w:eastAsia="Courier New" w:hAnsi="Courier New"/>
          <w:sz w:val="14"/>
          <w:szCs w:val="14"/>
          <w:color w:val="auto"/>
        </w:rPr>
      </w:pPr>
    </w:p>
    <w:p>
      <w:pPr>
        <w:ind w:left="70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such early vesting or withhold or have the right to the return of the economic value of the Matching</w:t>
      </w:r>
    </w:p>
    <w:p>
      <w:pPr>
        <w:spacing w:after="0" w:line="33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80"/>
          </w:cols>
          <w:pgMar w:left="580" w:top="624" w:right="1440" w:bottom="1440" w:gutter="0" w:footer="0" w:header="0"/>
        </w:sectPr>
      </w:pPr>
    </w:p>
    <w:bookmarkStart w:id="28" w:name="page29"/>
    <w:bookmarkEnd w:id="28"/>
    <w:p>
      <w:pPr>
        <w:ind w:left="351" w:right="3499"/>
        <w:spacing w:after="0" w:line="235" w:lineRule="auto"/>
        <w:rPr>
          <w:sz w:val="20"/>
          <w:szCs w:val="20"/>
          <w:color w:val="auto"/>
        </w:rPr>
      </w:pPr>
      <w:r>
        <w:rPr>
          <w:rFonts w:ascii="Courier New" w:cs="Courier New" w:eastAsia="Courier New" w:hAnsi="Courier New"/>
          <w:sz w:val="15"/>
          <w:szCs w:val="15"/>
          <w:color w:val="auto"/>
        </w:rPr>
        <w:t>Shares or Units which vested early under this subparagraph; provided, however, that this provision shall not be applicable in the event of a Change of Control.</w:t>
      </w:r>
    </w:p>
    <w:p>
      <w:pPr>
        <w:spacing w:after="0" w:line="174" w:lineRule="exact"/>
        <w:rPr>
          <w:sz w:val="20"/>
          <w:szCs w:val="20"/>
          <w:color w:val="auto"/>
        </w:rPr>
      </w:pPr>
    </w:p>
    <w:p>
      <w:pPr>
        <w:ind w:left="351" w:right="3239" w:hanging="351"/>
        <w:spacing w:after="0" w:line="254" w:lineRule="auto"/>
        <w:tabs>
          <w:tab w:leader="none" w:pos="35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Matching Units held in the account of a Stock Participant who retires at or after age 55, but before age 65, shall vest or be forfeited in accordance with the provisions of the Officers Deferred Plan. A Stock Participant who retires at or after age 55, but before age 65, may elect at anytime to have Retained Shares then on deposit with the Company delivered and to forfeit Matching Shares that have not yet vested. If the Stock Participant does not make this election, Retained Shares and Matching Shares shall remain on deposit until the participant reaches age 65 or until the applicable vesting requirements of subparagraph 6.e. have been fulfilled, as the case may be, and Matching Shares shall vest upon the occurrence of the earlier of such event. Notwithstanding the foregoing, if within one year after such retirement the Stock Participant (A) is employed or retained by or renders service to any organization that, directly or indirectly, competes with or becomes competitive with the Company, or if the rendering of such services is prejudicial or in conflict with the interests of the Company, or</w:t>
      </w:r>
    </w:p>
    <w:p>
      <w:pPr>
        <w:spacing w:after="0" w:line="5" w:lineRule="exact"/>
        <w:rPr>
          <w:rFonts w:ascii="Courier New" w:cs="Courier New" w:eastAsia="Courier New" w:hAnsi="Courier New"/>
          <w:sz w:val="14"/>
          <w:szCs w:val="14"/>
          <w:color w:val="auto"/>
        </w:rPr>
      </w:pPr>
    </w:p>
    <w:p>
      <w:pPr>
        <w:ind w:left="351" w:right="3239" w:hanging="1"/>
        <w:spacing w:after="0" w:line="236" w:lineRule="auto"/>
        <w:tabs>
          <w:tab w:leader="none" w:pos="701"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such vesting or withhold or have the right to the return of the economic value of the Matching Shares or Units which vested after the date of early retirement under this subparagraph; provided, however, that this provision shall not be applicable in the event of a Change of Control.</w:t>
      </w:r>
    </w:p>
    <w:p>
      <w:pPr>
        <w:spacing w:after="0" w:line="179" w:lineRule="exact"/>
        <w:rPr>
          <w:rFonts w:ascii="Courier New" w:cs="Courier New" w:eastAsia="Courier New" w:hAnsi="Courier New"/>
          <w:sz w:val="15"/>
          <w:szCs w:val="15"/>
          <w:color w:val="auto"/>
        </w:rPr>
      </w:pPr>
    </w:p>
    <w:p>
      <w:pPr>
        <w:ind w:left="351" w:right="3319" w:hanging="351"/>
        <w:spacing w:after="0" w:line="256" w:lineRule="auto"/>
        <w:tabs>
          <w:tab w:leader="none" w:pos="43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Withdrawal. In the event that a Stock Participant elects to withdraw Retained Shares or Units from the account prior to age 65, but before the applicable vesting requirements have been fulfilled, Matching Shares or Units held in such participant's account that have not vested shall not vest and shall be forfeited.</w:t>
      </w:r>
    </w:p>
    <w:p>
      <w:pPr>
        <w:spacing w:after="0" w:line="163" w:lineRule="exact"/>
        <w:rPr>
          <w:rFonts w:ascii="Courier New" w:cs="Courier New" w:eastAsia="Courier New" w:hAnsi="Courier New"/>
          <w:sz w:val="14"/>
          <w:szCs w:val="14"/>
          <w:color w:val="auto"/>
        </w:rPr>
      </w:pPr>
    </w:p>
    <w:p>
      <w:pPr>
        <w:ind w:left="351" w:right="3399" w:hanging="351"/>
        <w:spacing w:after="0" w:line="235" w:lineRule="auto"/>
        <w:tabs>
          <w:tab w:leader="none" w:pos="35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of the death of a Stock Participant before the applicable vesting requirements have been fulfilled, the Matching Shares or Units shall vest in full.</w:t>
      </w:r>
    </w:p>
    <w:p>
      <w:pPr>
        <w:spacing w:after="0" w:line="173" w:lineRule="exact"/>
        <w:rPr>
          <w:rFonts w:ascii="Courier New" w:cs="Courier New" w:eastAsia="Courier New" w:hAnsi="Courier New"/>
          <w:sz w:val="15"/>
          <w:szCs w:val="15"/>
          <w:color w:val="auto"/>
        </w:rPr>
      </w:pPr>
    </w:p>
    <w:p>
      <w:pPr>
        <w:ind w:left="351" w:right="3239" w:hanging="351"/>
        <w:spacing w:after="0" w:line="236" w:lineRule="auto"/>
        <w:tabs>
          <w:tab w:leader="none" w:pos="35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In the event that a Stock Participant resigns voluntarily, Matching Shares or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74" w:lineRule="exact"/>
        <w:rPr>
          <w:rFonts w:ascii="Courier New" w:cs="Courier New" w:eastAsia="Courier New" w:hAnsi="Courier New"/>
          <w:sz w:val="15"/>
          <w:szCs w:val="15"/>
          <w:color w:val="auto"/>
        </w:rPr>
      </w:pPr>
    </w:p>
    <w:p>
      <w:pPr>
        <w:ind w:left="351" w:right="3239" w:hanging="351"/>
        <w:spacing w:after="0" w:line="234" w:lineRule="auto"/>
        <w:tabs>
          <w:tab w:leader="none" w:pos="35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All Matching Shares and Matching Units shall vest if there is a Change of Control of the Company.</w:t>
      </w:r>
    </w:p>
    <w:p>
      <w:pPr>
        <w:spacing w:after="0" w:line="166" w:lineRule="exact"/>
        <w:rPr>
          <w:rFonts w:ascii="Courier New" w:cs="Courier New" w:eastAsia="Courier New" w:hAnsi="Courier New"/>
          <w:sz w:val="15"/>
          <w:szCs w:val="15"/>
          <w:color w:val="auto"/>
        </w:rPr>
      </w:pPr>
    </w:p>
    <w:p>
      <w:pPr>
        <w:ind w:left="35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w:t>
      </w:r>
    </w:p>
    <w:p>
      <w:pPr>
        <w:spacing w:after="0" w:line="172" w:lineRule="exact"/>
        <w:rPr>
          <w:rFonts w:ascii="Courier New" w:cs="Courier New" w:eastAsia="Courier New" w:hAnsi="Courier New"/>
          <w:sz w:val="15"/>
          <w:szCs w:val="15"/>
          <w:color w:val="auto"/>
        </w:rPr>
      </w:pPr>
    </w:p>
    <w:p>
      <w:pPr>
        <w:ind w:left="351" w:right="3239" w:firstLine="349"/>
        <w:spacing w:after="0" w:line="254" w:lineRule="auto"/>
        <w:tabs>
          <w:tab w:leader="none" w:pos="1050"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subparagraph (C) of this subparagraph 8.f.vi.; or</w:t>
      </w:r>
    </w:p>
    <w:p>
      <w:pPr>
        <w:spacing w:after="0" w:line="336"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530"/>
          </w:cols>
          <w:pgMar w:left="929" w:top="624" w:right="1440" w:bottom="1440" w:gutter="0" w:footer="0" w:header="0"/>
        </w:sectPr>
      </w:pPr>
    </w:p>
    <w:bookmarkStart w:id="29" w:name="page30"/>
    <w:bookmarkEnd w:id="29"/>
    <w:p>
      <w:pPr>
        <w:ind w:left="700" w:right="3239" w:firstLine="349"/>
        <w:spacing w:after="0" w:line="237" w:lineRule="auto"/>
        <w:tabs>
          <w:tab w:leader="none" w:pos="140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700" w:right="3239" w:firstLine="349"/>
        <w:spacing w:after="0" w:line="254" w:lineRule="auto"/>
        <w:tabs>
          <w:tab w:leader="none" w:pos="140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7" w:lineRule="exact"/>
        <w:rPr>
          <w:rFonts w:ascii="Courier New" w:cs="Courier New" w:eastAsia="Courier New" w:hAnsi="Courier New"/>
          <w:sz w:val="14"/>
          <w:szCs w:val="14"/>
          <w:color w:val="auto"/>
        </w:rPr>
      </w:pPr>
    </w:p>
    <w:p>
      <w:pPr>
        <w:ind w:left="700" w:right="3499" w:firstLine="349"/>
        <w:spacing w:after="0" w:line="234" w:lineRule="auto"/>
        <w:tabs>
          <w:tab w:leader="none" w:pos="140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left="340" w:right="3319" w:hanging="340"/>
        <w:spacing w:after="0" w:line="236"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WITHDRAWAL FOR OPTION EXERCISE. A Stock Participant may temporarily withdraw all or a portion of Retained Shares held in the participant's account, but not Matching Shares or Retained or Matching Units, in order to exercise Company stock options, provided that an equal number of shares of Common Stock is promptly redeposited with the Company after such exercise.</w:t>
      </w:r>
    </w:p>
    <w:p>
      <w:pPr>
        <w:spacing w:after="0" w:line="174" w:lineRule="exact"/>
        <w:rPr>
          <w:rFonts w:ascii="Courier New" w:cs="Courier New" w:eastAsia="Courier New" w:hAnsi="Courier New"/>
          <w:sz w:val="15"/>
          <w:szCs w:val="15"/>
          <w:color w:val="auto"/>
        </w:rPr>
      </w:pPr>
    </w:p>
    <w:p>
      <w:pPr>
        <w:ind w:left="340" w:right="3239" w:hanging="340"/>
        <w:spacing w:after="0" w:line="236"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VOTING. Dividends on Retained and Matching Shares may at the election of the Stock Participant be paid to such participant or reinvested under the Company's dividend reinvestment plan as then in effect. Dividends on Retained and Matching Units shall be credited under the Officers Deferred Plan, in additional units based on the fair market value of one share of the Common Stock on the dividend payment date. A Stock Participant shall have the right to vote Retained and Matching Shares.</w:t>
      </w:r>
    </w:p>
    <w:p>
      <w:pPr>
        <w:spacing w:after="0" w:line="3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80"/>
          </w:cols>
          <w:pgMar w:left="580" w:top="624" w:right="1440" w:bottom="1440" w:gutter="0" w:footer="0" w:header="0"/>
        </w:sectPr>
      </w:pPr>
    </w:p>
    <w:bookmarkStart w:id="30" w:name="page31"/>
    <w:bookmarkEnd w:id="30"/>
    <w:p>
      <w:pPr>
        <w:ind w:left="690" w:right="3239" w:hanging="340"/>
        <w:spacing w:after="0" w:line="254" w:lineRule="auto"/>
        <w:tabs>
          <w:tab w:leader="none" w:pos="6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SHARES SUBJECT TO STOCK RETENTION AWARDS. Subject to the provisions of this subparagraph and paragraph 3.e.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Stock Retention Awards. Action by the Committee may include all or any of adjustment in</w:t>
      </w:r>
    </w:p>
    <w:p>
      <w:pPr>
        <w:spacing w:after="0" w:line="5" w:lineRule="exact"/>
        <w:rPr>
          <w:rFonts w:ascii="Courier New" w:cs="Courier New" w:eastAsia="Courier New" w:hAnsi="Courier New"/>
          <w:sz w:val="14"/>
          <w:szCs w:val="14"/>
          <w:color w:val="auto"/>
        </w:rPr>
      </w:pPr>
    </w:p>
    <w:p>
      <w:pPr>
        <w:ind w:left="690" w:right="3239" w:firstLine="9"/>
        <w:spacing w:after="0" w:line="236" w:lineRule="auto"/>
        <w:tabs>
          <w:tab w:leader="none" w:pos="1040"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and kind of securities subject to the Plan as set forth in this paragraph; (ii) the maximum number and kind of securities that may be made subject to Stock Retention Awards for any individual as set forth in paragraph 3.e.; (iii) the number and kind of securities subject to any outstanding Stock Retention Award; (iv) the conversion price of a Stock Retention Award, without any change in the aggregate price to be paid therefor; and (v) any other adjustments that the Committee determines to be equitable.</w:t>
      </w:r>
    </w:p>
    <w:p>
      <w:pPr>
        <w:spacing w:after="0" w:line="177" w:lineRule="exact"/>
        <w:rPr>
          <w:rFonts w:ascii="Courier New" w:cs="Courier New" w:eastAsia="Courier New" w:hAnsi="Courier New"/>
          <w:sz w:val="15"/>
          <w:szCs w:val="15"/>
          <w:color w:val="auto"/>
        </w:rPr>
      </w:pPr>
    </w:p>
    <w:p>
      <w:pPr>
        <w:ind w:left="690" w:right="3239" w:hanging="340"/>
        <w:spacing w:after="0" w:line="236" w:lineRule="auto"/>
        <w:tabs>
          <w:tab w:leader="none" w:pos="6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Company shall have the right to deduct from any settlement made under the Plan or to require the participant to 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80" w:lineRule="exact"/>
        <w:rPr>
          <w:rFonts w:ascii="Courier New" w:cs="Courier New" w:eastAsia="Courier New" w:hAnsi="Courier New"/>
          <w:sz w:val="15"/>
          <w:szCs w:val="15"/>
          <w:color w:val="auto"/>
        </w:rPr>
      </w:pPr>
    </w:p>
    <w:p>
      <w:pPr>
        <w:ind w:left="350" w:right="3239" w:hanging="350"/>
        <w:spacing w:after="0" w:line="255" w:lineRule="auto"/>
        <w:tabs>
          <w:tab w:leader="none" w:pos="3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Neither Annual Performance Awards, Stock Retention Awards, Retained Shares, Matching Shares, Retained Units, Matching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Matching Shares are held by the Company or the Retained and Matching Units have not been distributed in accordance with the Officers Deferred Plan, and any sale, pledge, assignment or other attempted transfer shall be null and void.</w:t>
      </w:r>
    </w:p>
    <w:p>
      <w:pPr>
        <w:spacing w:after="0" w:line="165" w:lineRule="exact"/>
        <w:rPr>
          <w:rFonts w:ascii="Courier New" w:cs="Courier New" w:eastAsia="Courier New" w:hAnsi="Courier New"/>
          <w:sz w:val="14"/>
          <w:szCs w:val="14"/>
          <w:color w:val="auto"/>
        </w:rPr>
      </w:pPr>
    </w:p>
    <w:p>
      <w:pPr>
        <w:ind w:left="350" w:right="3239" w:hanging="350"/>
        <w:spacing w:after="0" w:line="236"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Committee shall have the authority to administer the Plan; establish policies under the Plan; amend the Plan, subject to the provisions of paragraph 10;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Plan Participants and Stock Participants.</w:t>
      </w:r>
    </w:p>
    <w:p>
      <w:pPr>
        <w:spacing w:after="0" w:line="180" w:lineRule="exact"/>
        <w:rPr>
          <w:rFonts w:ascii="Courier New" w:cs="Courier New" w:eastAsia="Courier New" w:hAnsi="Courier New"/>
          <w:sz w:val="15"/>
          <w:szCs w:val="15"/>
          <w:color w:val="auto"/>
        </w:rPr>
      </w:pPr>
    </w:p>
    <w:p>
      <w:pPr>
        <w:ind w:left="350" w:right="3239" w:hanging="350"/>
        <w:spacing w:after="0" w:line="255" w:lineRule="auto"/>
        <w:tabs>
          <w:tab w:leader="none" w:pos="3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awards granted under the Plan, agreements entered into under the Plan, Retained or Matching Shares and Retained or Matching Units shall be construed, administered and governed in all respects under and by the applicable laws of the State of Delaware, excluding any conflicts or choice of law rule or principle that might otherwise refer construction or interpretation of the Plan or an award or agreement or shares or units to the substantive law of another jurisdiction.</w:t>
      </w:r>
    </w:p>
    <w:p>
      <w:pPr>
        <w:spacing w:after="0" w:line="32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31" w:name="page32"/>
    <w:bookmarkEnd w:id="31"/>
    <w:p>
      <w:pPr>
        <w:ind w:left="350" w:right="3239" w:hanging="350"/>
        <w:spacing w:after="0" w:line="254" w:lineRule="auto"/>
        <w:tabs>
          <w:tab w:leader="none" w:pos="3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w:t>
      </w:r>
    </w:p>
    <w:p>
      <w:pPr>
        <w:spacing w:after="0" w:line="1" w:lineRule="exact"/>
        <w:rPr>
          <w:rFonts w:ascii="Courier New" w:cs="Courier New" w:eastAsia="Courier New" w:hAnsi="Courier New"/>
          <w:sz w:val="14"/>
          <w:szCs w:val="14"/>
          <w:color w:val="auto"/>
        </w:rPr>
      </w:pPr>
    </w:p>
    <w:p>
      <w:pPr>
        <w:ind w:left="35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3.e.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79" w:lineRule="exact"/>
        <w:rPr>
          <w:rFonts w:ascii="Courier New" w:cs="Courier New" w:eastAsia="Courier New" w:hAnsi="Courier New"/>
          <w:sz w:val="14"/>
          <w:szCs w:val="14"/>
          <w:color w:val="auto"/>
        </w:rPr>
      </w:pPr>
    </w:p>
    <w:p>
      <w:pPr>
        <w:ind w:left="350" w:right="3399" w:hanging="350"/>
        <w:spacing w:after="0" w:line="235" w:lineRule="auto"/>
        <w:tabs>
          <w:tab w:leader="none" w:pos="3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10.</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4" w:right="1440" w:bottom="1440" w:gutter="0" w:footer="0" w:header="0"/>
        </w:sectPr>
      </w:pPr>
    </w:p>
    <w:bookmarkStart w:id="32" w:name="page33"/>
    <w:bookmarkEnd w:id="32"/>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2000 STOCK OPTION PLAN</w:t>
      </w:r>
    </w:p>
    <w:p>
      <w:pPr>
        <w:spacing w:after="0" w:line="173" w:lineRule="exact"/>
        <w:rPr>
          <w:sz w:val="20"/>
          <w:szCs w:val="20"/>
          <w:color w:val="auto"/>
        </w:rPr>
      </w:pPr>
    </w:p>
    <w:p>
      <w:pPr>
        <w:ind w:left="360" w:right="3239" w:hanging="350"/>
        <w:spacing w:after="0" w:line="255"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Toro Company 2000 Stock Option Plan (the "Plan") is to enhance stockholder value of The Toro Company (the "Company") 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165" w:lineRule="exact"/>
        <w:rPr>
          <w:rFonts w:ascii="Courier New" w:cs="Courier New" w:eastAsia="Courier New" w:hAnsi="Courier New"/>
          <w:sz w:val="14"/>
          <w:szCs w:val="14"/>
          <w:color w:val="auto"/>
        </w:rPr>
      </w:pPr>
    </w:p>
    <w:p>
      <w:pPr>
        <w:ind w:left="360" w:right="3399" w:hanging="350"/>
        <w:spacing w:after="0" w:line="255"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Any employee of the Company who is regularly employed in an executive, managerial, professional or technical position and any other 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334" w:lineRule="exact"/>
        <w:rPr>
          <w:rFonts w:ascii="Courier New" w:cs="Courier New" w:eastAsia="Courier New" w:hAnsi="Courier New"/>
          <w:sz w:val="14"/>
          <w:szCs w:val="14"/>
          <w:color w:val="auto"/>
        </w:rPr>
      </w:pPr>
    </w:p>
    <w:p>
      <w:pPr>
        <w:ind w:left="700" w:right="3399" w:hanging="340"/>
        <w:spacing w:after="0" w:line="236" w:lineRule="auto"/>
        <w:tabs>
          <w:tab w:leader="none" w:pos="7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73"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2" w:lineRule="exact"/>
        <w:rPr>
          <w:rFonts w:ascii="Courier New" w:cs="Courier New" w:eastAsia="Courier New" w:hAnsi="Courier New"/>
          <w:sz w:val="15"/>
          <w:szCs w:val="15"/>
          <w:color w:val="auto"/>
        </w:rPr>
      </w:pPr>
    </w:p>
    <w:p>
      <w:pPr>
        <w:ind w:left="700" w:right="3319" w:hanging="340"/>
        <w:spacing w:after="0" w:line="256" w:lineRule="auto"/>
        <w:tabs>
          <w:tab w:leader="none" w:pos="7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ISOS AND NONQUALIFIED OPTIONS. Options granted under the Plan may be either nonqualified stock options ("nonqualified options") or incentive stock options ("Incentive Stock Options") as defined in Section 422 of the Internal Revenue Code of 1986, as amended (the "Code").</w:t>
      </w:r>
    </w:p>
    <w:p>
      <w:pPr>
        <w:spacing w:after="0" w:line="164" w:lineRule="exact"/>
        <w:rPr>
          <w:rFonts w:ascii="Courier New" w:cs="Courier New" w:eastAsia="Courier New" w:hAnsi="Courier New"/>
          <w:sz w:val="14"/>
          <w:szCs w:val="14"/>
          <w:color w:val="auto"/>
        </w:rPr>
      </w:pPr>
    </w:p>
    <w:p>
      <w:pPr>
        <w:ind w:left="1060" w:right="3239" w:hanging="351"/>
        <w:spacing w:after="0" w:line="237" w:lineRule="auto"/>
        <w:tabs>
          <w:tab w:leader="none" w:pos="106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Incentive Stock Options shall meet the applicable requirements of, and contain or be deemed to contain all provisions 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74" w:lineRule="exact"/>
        <w:rPr>
          <w:rFonts w:ascii="Courier New" w:cs="Courier New" w:eastAsia="Courier New" w:hAnsi="Courier New"/>
          <w:sz w:val="15"/>
          <w:szCs w:val="15"/>
          <w:color w:val="auto"/>
        </w:rPr>
      </w:pPr>
    </w:p>
    <w:p>
      <w:pPr>
        <w:ind w:left="700" w:right="3239" w:hanging="340"/>
        <w:spacing w:after="0" w:line="235" w:lineRule="auto"/>
        <w:tabs>
          <w:tab w:leader="none" w:pos="7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Options shall be evidenced by stock option agreements in such form and not inconsistent with the Plan as the Compensation Committee (the "Committee") of the Board of Directors shall approve from time to time.</w:t>
      </w:r>
    </w:p>
    <w:p>
      <w:pPr>
        <w:spacing w:after="0" w:line="175" w:lineRule="exact"/>
        <w:rPr>
          <w:rFonts w:ascii="Courier New" w:cs="Courier New" w:eastAsia="Courier New" w:hAnsi="Courier New"/>
          <w:sz w:val="15"/>
          <w:szCs w:val="15"/>
          <w:color w:val="auto"/>
        </w:rPr>
      </w:pPr>
    </w:p>
    <w:p>
      <w:pPr>
        <w:ind w:left="700" w:right="3319" w:hanging="340"/>
        <w:spacing w:after="0" w:line="256" w:lineRule="auto"/>
        <w:tabs>
          <w:tab w:leader="none" w:pos="7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DATE OF GRANT AND TERM. An option agreement shall specify the number of shares of Common Stock to which it pertains; the date of grant, which shall be the date on which the Committee grants an option or any later date which the Committee specifically designates, and the term of the option, which shall not exceed ten years.</w:t>
      </w:r>
    </w:p>
    <w:p>
      <w:pPr>
        <w:sectPr>
          <w:pgSz w:w="11900" w:h="16838" w:orient="portrait"/>
          <w:cols w:equalWidth="0" w:num="1">
            <w:col w:w="10239"/>
          </w:cols>
          <w:pgMar w:left="220" w:top="471" w:right="1440" w:bottom="1440" w:gutter="0" w:footer="0" w:header="0"/>
        </w:sectPr>
      </w:pPr>
    </w:p>
    <w:bookmarkStart w:id="33" w:name="page34"/>
    <w:bookmarkEnd w:id="33"/>
    <w:p>
      <w:pPr>
        <w:ind w:left="340" w:right="3239" w:hanging="340"/>
        <w:spacing w:after="0" w:line="235" w:lineRule="auto"/>
        <w:tabs>
          <w:tab w:leader="none" w:pos="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an option shall be not less than 100% of fair market value of the Common Stock on the date of grant. Fair market value is the 4 p.m. Eastern Time closing price for the Common Stock as reported by the New York Stock Exchange.</w:t>
      </w:r>
    </w:p>
    <w:p>
      <w:pPr>
        <w:spacing w:after="0" w:line="168" w:lineRule="exact"/>
        <w:rPr>
          <w:rFonts w:ascii="Courier New" w:cs="Courier New" w:eastAsia="Courier New" w:hAnsi="Courier New"/>
          <w:sz w:val="15"/>
          <w:szCs w:val="15"/>
          <w:color w:val="auto"/>
        </w:rPr>
      </w:pPr>
    </w:p>
    <w:p>
      <w:pPr>
        <w:ind w:left="340" w:hanging="340"/>
        <w:spacing w:after="0"/>
        <w:tabs>
          <w:tab w:leader="none" w:pos="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TRANSFERABILITY AND EXERCISABILITY.</w:t>
      </w:r>
    </w:p>
    <w:p>
      <w:pPr>
        <w:spacing w:after="0" w:line="172" w:lineRule="exact"/>
        <w:rPr>
          <w:rFonts w:ascii="Courier New" w:cs="Courier New" w:eastAsia="Courier New" w:hAnsi="Courier New"/>
          <w:sz w:val="15"/>
          <w:szCs w:val="15"/>
          <w:color w:val="auto"/>
        </w:rPr>
      </w:pPr>
    </w:p>
    <w:p>
      <w:pPr>
        <w:jc w:val="both"/>
        <w:ind w:left="700" w:right="3239" w:hanging="351"/>
        <w:spacing w:after="0" w:line="235" w:lineRule="auto"/>
        <w:tabs>
          <w:tab w:leader="none" w:pos="7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The Committee shall have the authority to determine whether an option agreement shall specify periods after the date of grant of an option during which the option or any portion thereof may not yet be exercisable.</w:t>
      </w:r>
    </w:p>
    <w:p>
      <w:pPr>
        <w:spacing w:after="0" w:line="175" w:lineRule="exact"/>
        <w:rPr>
          <w:rFonts w:ascii="Courier New" w:cs="Courier New" w:eastAsia="Courier New" w:hAnsi="Courier New"/>
          <w:sz w:val="15"/>
          <w:szCs w:val="15"/>
          <w:color w:val="auto"/>
        </w:rPr>
      </w:pPr>
    </w:p>
    <w:p>
      <w:pPr>
        <w:ind w:left="700" w:right="3319" w:hanging="438"/>
        <w:spacing w:after="0" w:line="261" w:lineRule="auto"/>
        <w:tabs>
          <w:tab w:leader="none" w:pos="7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TRANSFER. Options shall not be transferable by the option holder except by will or applicable laws of descent and distribution.</w:t>
      </w:r>
    </w:p>
    <w:p>
      <w:pPr>
        <w:spacing w:after="0" w:line="159" w:lineRule="exact"/>
        <w:rPr>
          <w:rFonts w:ascii="Courier New" w:cs="Courier New" w:eastAsia="Courier New" w:hAnsi="Courier New"/>
          <w:sz w:val="14"/>
          <w:szCs w:val="14"/>
          <w:color w:val="auto"/>
        </w:rPr>
      </w:pPr>
    </w:p>
    <w:p>
      <w:pPr>
        <w:ind w:left="700" w:right="3499" w:hanging="526"/>
        <w:spacing w:after="0" w:line="236" w:lineRule="auto"/>
        <w:tabs>
          <w:tab w:leader="none" w:pos="7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During the lifetime of an option holder, options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346" w:lineRule="exact"/>
        <w:rPr>
          <w:rFonts w:ascii="Courier New" w:cs="Courier New" w:eastAsia="Courier New" w:hAnsi="Courier New"/>
          <w:sz w:val="15"/>
          <w:szCs w:val="15"/>
          <w:color w:val="auto"/>
        </w:rPr>
      </w:pPr>
    </w:p>
    <w:p>
      <w:pPr>
        <w:ind w:left="700" w:right="3239" w:firstLine="349"/>
        <w:spacing w:after="0" w:line="236" w:lineRule="auto"/>
        <w:tabs>
          <w:tab w:leader="none" w:pos="140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In the event of disability of an option holder, options may be exercised by such individual or his or her guardian or legal representative, not later than the earlier of the date the option expires or one year after the date such employment or performance of services ceases by reason of disability, but only with respect to an option exercisable at the time such employment or performance of services ceases.</w:t>
      </w:r>
    </w:p>
    <w:p>
      <w:pPr>
        <w:spacing w:after="0" w:line="175" w:lineRule="exact"/>
        <w:rPr>
          <w:rFonts w:ascii="Courier New" w:cs="Courier New" w:eastAsia="Courier New" w:hAnsi="Courier New"/>
          <w:sz w:val="15"/>
          <w:szCs w:val="15"/>
          <w:color w:val="auto"/>
        </w:rPr>
      </w:pPr>
    </w:p>
    <w:p>
      <w:pPr>
        <w:ind w:left="700" w:right="3239" w:firstLine="349"/>
        <w:spacing w:after="0" w:line="256" w:lineRule="auto"/>
        <w:tabs>
          <w:tab w:leader="none" w:pos="140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An option may be exercised after the death of an option holder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700" w:right="3319" w:firstLine="349"/>
        <w:spacing w:after="0" w:line="236" w:lineRule="auto"/>
        <w:tabs>
          <w:tab w:leader="none" w:pos="140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 nonqualified option may be exercised by an option holder after such individual ceases to be an employee by reason of retirement for up to four years after the date of retirement but not later than the date the option expires. "Retirement" shall have the meaning established by the Committee from time to time or, if no such meaning is established, shall mean termination of employment with the Company at an age and with a number of years of service to the Company which, when added together, equal at least 65.</w:t>
      </w:r>
    </w:p>
    <w:p>
      <w:pPr>
        <w:spacing w:after="0" w:line="178" w:lineRule="exact"/>
        <w:rPr>
          <w:rFonts w:ascii="Courier New" w:cs="Courier New" w:eastAsia="Courier New" w:hAnsi="Courier New"/>
          <w:sz w:val="15"/>
          <w:szCs w:val="15"/>
          <w:color w:val="auto"/>
        </w:rPr>
      </w:pPr>
    </w:p>
    <w:p>
      <w:pPr>
        <w:ind w:left="700" w:right="3319" w:firstLine="349"/>
        <w:spacing w:after="0" w:line="236" w:lineRule="auto"/>
        <w:tabs>
          <w:tab w:leader="none" w:pos="140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OF EMPLOYMENT. An option may be exercised by an option holder after such individual ceases to be an employee (for reasons other than disability, death or retirement) for up to three months after the date of termination of employment but not later than the date the option expires.</w:t>
      </w:r>
    </w:p>
    <w:p>
      <w:pPr>
        <w:spacing w:after="0" w:line="173" w:lineRule="exact"/>
        <w:rPr>
          <w:rFonts w:ascii="Courier New" w:cs="Courier New" w:eastAsia="Courier New" w:hAnsi="Courier New"/>
          <w:sz w:val="15"/>
          <w:szCs w:val="15"/>
          <w:color w:val="auto"/>
        </w:rPr>
      </w:pPr>
    </w:p>
    <w:p>
      <w:pPr>
        <w:ind w:left="700" w:right="3239" w:hanging="438"/>
        <w:spacing w:after="0" w:line="255" w:lineRule="auto"/>
        <w:tabs>
          <w:tab w:leader="none" w:pos="7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NON-COMPETE. Notwithstanding any other provision of paragraph 3.e., if within one year after the termination of employment with or 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w:t>
      </w:r>
    </w:p>
    <w:p>
      <w:pPr>
        <w:spacing w:after="0" w:line="32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80"/>
          </w:cols>
          <w:pgMar w:left="580" w:top="624" w:right="1440" w:bottom="1440" w:gutter="0" w:footer="0" w:header="0"/>
        </w:sectPr>
      </w:pPr>
    </w:p>
    <w:bookmarkStart w:id="34" w:name="page35"/>
    <w:bookmarkEnd w:id="34"/>
    <w:p>
      <w:pPr>
        <w:ind w:left="1050" w:right="3239"/>
        <w:spacing w:after="0" w:line="235" w:lineRule="auto"/>
        <w:rPr>
          <w:sz w:val="20"/>
          <w:szCs w:val="20"/>
          <w:color w:val="auto"/>
        </w:rPr>
      </w:pPr>
      <w:r>
        <w:rPr>
          <w:rFonts w:ascii="Courier New" w:cs="Courier New" w:eastAsia="Courier New" w:hAnsi="Courier New"/>
          <w:sz w:val="15"/>
          <w:szCs w:val="15"/>
          <w:color w:val="auto"/>
        </w:rPr>
        <w:t>beginning on the date which is twelve months prior to the date of termination to the date of the last exercise, provided however, that this provision shall not be applicable in the event of a Change of Control.</w:t>
      </w:r>
    </w:p>
    <w:p>
      <w:pPr>
        <w:spacing w:after="0" w:line="175" w:lineRule="exact"/>
        <w:rPr>
          <w:sz w:val="20"/>
          <w:szCs w:val="20"/>
          <w:color w:val="auto"/>
        </w:rPr>
      </w:pPr>
    </w:p>
    <w:p>
      <w:pPr>
        <w:ind w:left="1050" w:right="3239" w:hanging="351"/>
        <w:spacing w:after="0" w:line="256" w:lineRule="auto"/>
        <w:tabs>
          <w:tab w:leader="none" w:pos="1050"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INTERRUPTION IN SERVICE. Absence on leave from the Company, or other interruption in the performance of services, by an option holder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690" w:right="3239" w:hanging="340"/>
        <w:spacing w:after="0" w:line="254" w:lineRule="auto"/>
        <w:tabs>
          <w:tab w:leader="none" w:pos="69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AND PAYMENT OF EXERCISE PRICE.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w:t>
      </w:r>
    </w:p>
    <w:p>
      <w:pPr>
        <w:spacing w:after="0" w:line="345" w:lineRule="exact"/>
        <w:rPr>
          <w:rFonts w:ascii="Courier New" w:cs="Courier New" w:eastAsia="Courier New" w:hAnsi="Courier New"/>
          <w:sz w:val="14"/>
          <w:szCs w:val="14"/>
          <w:color w:val="auto"/>
        </w:rPr>
      </w:pPr>
    </w:p>
    <w:p>
      <w:pPr>
        <w:ind w:left="690"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shares of Common Stock shall be issued until full payment has been made.</w:t>
      </w:r>
    </w:p>
    <w:p>
      <w:pPr>
        <w:spacing w:after="0" w:line="173" w:lineRule="exact"/>
        <w:rPr>
          <w:rFonts w:ascii="Courier New" w:cs="Courier New" w:eastAsia="Courier New" w:hAnsi="Courier New"/>
          <w:sz w:val="14"/>
          <w:szCs w:val="14"/>
          <w:color w:val="auto"/>
        </w:rPr>
      </w:pPr>
    </w:p>
    <w:p>
      <w:pPr>
        <w:ind w:left="690" w:right="3239" w:hanging="340"/>
        <w:spacing w:after="0" w:line="255" w:lineRule="auto"/>
        <w:tabs>
          <w:tab w:leader="none" w:pos="69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63" w:lineRule="exact"/>
        <w:rPr>
          <w:rFonts w:ascii="Courier New" w:cs="Courier New" w:eastAsia="Courier New" w:hAnsi="Courier New"/>
          <w:sz w:val="14"/>
          <w:szCs w:val="14"/>
          <w:color w:val="auto"/>
        </w:rPr>
      </w:pPr>
    </w:p>
    <w:p>
      <w:pPr>
        <w:ind w:left="690" w:right="3239" w:hanging="340"/>
        <w:spacing w:after="0" w:line="236" w:lineRule="auto"/>
        <w:tabs>
          <w:tab w:leader="none" w:pos="6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 holder shall have no rights as a stockholder with respect to any Common Stock covered by an option until the option is exercised and shares of Common Stock are issued. Except as otherwise expressly provided in the Plan, no adjustments shall be made for dividends or other rights for which the record date is prior to issuance of the Common Stock.</w:t>
      </w:r>
    </w:p>
    <w:p>
      <w:pPr>
        <w:spacing w:after="0" w:line="174" w:lineRule="exact"/>
        <w:rPr>
          <w:rFonts w:ascii="Courier New" w:cs="Courier New" w:eastAsia="Courier New" w:hAnsi="Courier New"/>
          <w:sz w:val="15"/>
          <w:szCs w:val="15"/>
          <w:color w:val="auto"/>
        </w:rPr>
      </w:pPr>
    </w:p>
    <w:p>
      <w:pPr>
        <w:ind w:left="350" w:right="3239" w:hanging="350"/>
        <w:spacing w:after="0" w:line="236"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SUBJECT TO THE PLAN. Subject to adjustment to reflect corporate transactions provided for in paragraph 4.a. and subject to increase by amendment of the Plan, the total number of shares of Common Stock that is reserved and available for issuance pursuant to options granted under the Plan shall be 1,000,000. If any option granted under the Plan terminates, expires unexercised, is exchanged for other options without the issuance of shares of Common Stock or is exercised by the delivery or constructive delivery of shares of Common Stock already owned by the option holder, the shares of</w:t>
      </w:r>
    </w:p>
    <w:p>
      <w:pPr>
        <w:spacing w:after="0" w:line="3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35" w:name="page36"/>
    <w:bookmarkEnd w:id="35"/>
    <w:p>
      <w:pPr>
        <w:ind w:left="350" w:right="3239"/>
        <w:spacing w:after="0" w:line="255" w:lineRule="auto"/>
        <w:rPr>
          <w:sz w:val="20"/>
          <w:szCs w:val="20"/>
          <w:color w:val="auto"/>
        </w:rPr>
      </w:pPr>
      <w:r>
        <w:rPr>
          <w:rFonts w:ascii="Courier New" w:cs="Courier New" w:eastAsia="Courier New" w:hAnsi="Courier New"/>
          <w:sz w:val="14"/>
          <w:szCs w:val="14"/>
          <w:color w:val="auto"/>
        </w:rPr>
        <w:t>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w:t>
      </w:r>
    </w:p>
    <w:p>
      <w:pPr>
        <w:spacing w:after="0" w:line="334" w:lineRule="exact"/>
        <w:rPr>
          <w:sz w:val="20"/>
          <w:szCs w:val="20"/>
          <w:color w:val="auto"/>
        </w:rPr>
      </w:pPr>
    </w:p>
    <w:p>
      <w:pPr>
        <w:ind w:left="690" w:right="3239" w:hanging="340"/>
        <w:spacing w:after="0" w:line="254" w:lineRule="auto"/>
        <w:tabs>
          <w:tab w:leader="none" w:pos="69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FOR CORPORATE TRANSACTIONS. In the event of a corporate transaction involving the Company (including, without limitation, any 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 (i) 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344" w:lineRule="exact"/>
        <w:rPr>
          <w:rFonts w:ascii="Courier New" w:cs="Courier New" w:eastAsia="Courier New" w:hAnsi="Courier New"/>
          <w:sz w:val="14"/>
          <w:szCs w:val="14"/>
          <w:color w:val="auto"/>
        </w:rPr>
      </w:pPr>
    </w:p>
    <w:p>
      <w:pPr>
        <w:ind w:left="350" w:right="3239" w:hanging="350"/>
        <w:spacing w:after="0" w:line="237"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The Plan shall be administered by the Committee, provided that members of the Committee shall be "non-employee directors" as contemplated by Rule 16b-3 under the Exchange Act or any successor rule and shall qualify to administer the Plan as "outside directors" as contemplated by Section 162(m) of the Code and the regulations thereunder ("Section 162(m)"). The Committee may delegate administrative duties and all decisions not required to be exercised by it under Section 162(m) of the Code,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74" w:lineRule="exact"/>
        <w:rPr>
          <w:rFonts w:ascii="Courier New" w:cs="Courier New" w:eastAsia="Courier New" w:hAnsi="Courier New"/>
          <w:sz w:val="15"/>
          <w:szCs w:val="15"/>
          <w:color w:val="auto"/>
        </w:rPr>
      </w:pPr>
    </w:p>
    <w:p>
      <w:pPr>
        <w:ind w:left="3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173"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NATIONALS AND RESIDENTS OF CALIFORNIA.</w:t>
      </w:r>
    </w:p>
    <w:p>
      <w:pPr>
        <w:spacing w:after="0" w:line="172" w:lineRule="exact"/>
        <w:rPr>
          <w:rFonts w:ascii="Courier New" w:cs="Courier New" w:eastAsia="Courier New" w:hAnsi="Courier New"/>
          <w:sz w:val="15"/>
          <w:szCs w:val="15"/>
          <w:color w:val="auto"/>
        </w:rPr>
      </w:pPr>
    </w:p>
    <w:p>
      <w:pPr>
        <w:ind w:left="690" w:right="3239" w:hanging="340"/>
        <w:spacing w:after="0" w:line="256" w:lineRule="auto"/>
        <w:tabs>
          <w:tab w:leader="none" w:pos="69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options may be granted to individuals who are foreign nationals or are employed or otherwise performing services for the Company or any subsidiary outside the United States or both, on such terms and conditions different from those</w:t>
      </w:r>
    </w:p>
    <w:p>
      <w:pPr>
        <w:spacing w:after="0" w:line="32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36" w:name="page37"/>
    <w:bookmarkEnd w:id="36"/>
    <w:p>
      <w:pPr>
        <w:ind w:left="690" w:right="3759"/>
        <w:spacing w:after="0" w:line="234" w:lineRule="auto"/>
        <w:rPr>
          <w:sz w:val="20"/>
          <w:szCs w:val="20"/>
          <w:color w:val="auto"/>
        </w:rPr>
      </w:pPr>
      <w:r>
        <w:rPr>
          <w:rFonts w:ascii="Courier New" w:cs="Courier New" w:eastAsia="Courier New" w:hAnsi="Courier New"/>
          <w:sz w:val="15"/>
          <w:szCs w:val="15"/>
          <w:color w:val="auto"/>
        </w:rPr>
        <w:t>specified in the Plan as may, in the judgment of the Committee, be necessary or desirable to further the purposes of the Plan.</w:t>
      </w:r>
    </w:p>
    <w:p>
      <w:pPr>
        <w:spacing w:after="0" w:line="173" w:lineRule="exact"/>
        <w:rPr>
          <w:sz w:val="20"/>
          <w:szCs w:val="20"/>
          <w:color w:val="auto"/>
        </w:rPr>
      </w:pPr>
    </w:p>
    <w:p>
      <w:pPr>
        <w:ind w:left="690" w:right="3239" w:hanging="340"/>
        <w:spacing w:after="0" w:line="236" w:lineRule="auto"/>
        <w:tabs>
          <w:tab w:leader="none" w:pos="69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RESIDENTS. Without amending the Plan, and notwithstanding any provision of the Plan to the contrary, options granted to individuals who are residents of the State of California may contain such terms and conditions as may be required by applicable California statutes governing stock options.</w:t>
      </w:r>
    </w:p>
    <w:p>
      <w:pPr>
        <w:spacing w:after="0" w:line="173" w:lineRule="exact"/>
        <w:rPr>
          <w:rFonts w:ascii="Courier New" w:cs="Courier New" w:eastAsia="Courier New" w:hAnsi="Courier New"/>
          <w:sz w:val="15"/>
          <w:szCs w:val="15"/>
          <w:color w:val="auto"/>
        </w:rPr>
      </w:pPr>
    </w:p>
    <w:p>
      <w:pPr>
        <w:ind w:left="350" w:right="3239" w:hanging="350"/>
        <w:spacing w:after="0" w:line="236"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of a Change of Control of the Company as hereinafter defined, whether or not approved by the Board, all options 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75" w:lineRule="exact"/>
        <w:rPr>
          <w:rFonts w:ascii="Courier New" w:cs="Courier New" w:eastAsia="Courier New" w:hAnsi="Courier New"/>
          <w:sz w:val="15"/>
          <w:szCs w:val="15"/>
          <w:color w:val="auto"/>
        </w:rPr>
      </w:pPr>
    </w:p>
    <w:p>
      <w:pPr>
        <w:ind w:left="690" w:right="3399" w:hanging="340"/>
        <w:spacing w:after="0" w:line="234" w:lineRule="auto"/>
        <w:tabs>
          <w:tab w:leader="none" w:pos="6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For the purpose of this paragraph 7, a "Change of Control" shall mean:</w:t>
      </w:r>
    </w:p>
    <w:p>
      <w:pPr>
        <w:spacing w:after="0" w:line="173" w:lineRule="exact"/>
        <w:rPr>
          <w:rFonts w:ascii="Courier New" w:cs="Courier New" w:eastAsia="Courier New" w:hAnsi="Courier New"/>
          <w:sz w:val="15"/>
          <w:szCs w:val="15"/>
          <w:color w:val="auto"/>
        </w:rPr>
      </w:pPr>
    </w:p>
    <w:p>
      <w:pPr>
        <w:ind w:left="1050" w:right="3239" w:hanging="351"/>
        <w:spacing w:after="0" w:line="254" w:lineRule="auto"/>
        <w:tabs>
          <w:tab w:leader="none" w:pos="105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w:t>
      </w:r>
    </w:p>
    <w:p>
      <w:pPr>
        <w:spacing w:after="0" w:line="3" w:lineRule="exact"/>
        <w:rPr>
          <w:rFonts w:ascii="Courier New" w:cs="Courier New" w:eastAsia="Courier New" w:hAnsi="Courier New"/>
          <w:sz w:val="14"/>
          <w:szCs w:val="14"/>
          <w:color w:val="auto"/>
        </w:rPr>
      </w:pPr>
    </w:p>
    <w:p>
      <w:pPr>
        <w:ind w:left="1050" w:right="3239" w:hanging="1"/>
        <w:spacing w:after="0" w:line="236" w:lineRule="auto"/>
        <w:tabs>
          <w:tab w:leader="none" w:pos="1400" w:val="left"/>
        </w:tabs>
        <w:numPr>
          <w:ilvl w:val="3"/>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74" w:lineRule="exact"/>
        <w:rPr>
          <w:rFonts w:ascii="Courier New" w:cs="Courier New" w:eastAsia="Courier New" w:hAnsi="Courier New"/>
          <w:sz w:val="15"/>
          <w:szCs w:val="15"/>
          <w:color w:val="auto"/>
        </w:rPr>
      </w:pPr>
    </w:p>
    <w:p>
      <w:pPr>
        <w:ind w:left="1050" w:right="3319" w:hanging="438"/>
        <w:spacing w:after="0" w:line="237" w:lineRule="auto"/>
        <w:tabs>
          <w:tab w:leader="none" w:pos="105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1050" w:right="3239" w:hanging="526"/>
        <w:spacing w:after="0" w:line="254" w:lineRule="auto"/>
        <w:tabs>
          <w:tab w:leader="none" w:pos="105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37" w:name="page38"/>
    <w:bookmarkEnd w:id="37"/>
    <w:p>
      <w:pPr>
        <w:ind w:left="1050" w:right="3239"/>
        <w:spacing w:after="0" w:line="255" w:lineRule="auto"/>
        <w:rPr>
          <w:sz w:val="20"/>
          <w:szCs w:val="20"/>
          <w:color w:val="auto"/>
        </w:rPr>
      </w:pPr>
      <w:r>
        <w:rPr>
          <w:rFonts w:ascii="Courier New" w:cs="Courier New" w:eastAsia="Courier New" w:hAnsi="Courier New"/>
          <w:sz w:val="14"/>
          <w:szCs w:val="14"/>
          <w:color w:val="auto"/>
        </w:rPr>
        <w:t>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63" w:lineRule="exact"/>
        <w:rPr>
          <w:sz w:val="20"/>
          <w:szCs w:val="20"/>
          <w:color w:val="auto"/>
        </w:rPr>
      </w:pPr>
    </w:p>
    <w:p>
      <w:pPr>
        <w:ind w:left="1050" w:right="4199" w:hanging="438"/>
        <w:spacing w:after="0" w:line="234" w:lineRule="auto"/>
        <w:tabs>
          <w:tab w:leader="none" w:pos="105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left="350" w:right="3239" w:hanging="350"/>
        <w:spacing w:after="0" w:line="236"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Company shall have the right to deduct from any settlement made under the Plan, including the exercise of an option or the 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80" w:lineRule="exact"/>
        <w:rPr>
          <w:rFonts w:ascii="Courier New" w:cs="Courier New" w:eastAsia="Courier New" w:hAnsi="Courier New"/>
          <w:sz w:val="15"/>
          <w:szCs w:val="15"/>
          <w:color w:val="auto"/>
        </w:rPr>
      </w:pPr>
    </w:p>
    <w:p>
      <w:pPr>
        <w:ind w:left="350" w:right="3239" w:hanging="350"/>
        <w:spacing w:after="0" w:line="236"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options granted under the Plan and agreements entered into under the Plan shall be construed, administered and governed in 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74" w:lineRule="exact"/>
        <w:rPr>
          <w:rFonts w:ascii="Courier New" w:cs="Courier New" w:eastAsia="Courier New" w:hAnsi="Courier New"/>
          <w:sz w:val="15"/>
          <w:szCs w:val="15"/>
          <w:color w:val="auto"/>
        </w:rPr>
      </w:pPr>
    </w:p>
    <w:p>
      <w:pPr>
        <w:ind w:left="350" w:right="3239" w:hanging="350"/>
        <w:spacing w:after="0" w:line="237"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AMENDMENT AND TERMINATION. The Board may amend, suspend or terminate the Plan at any time, with or without advance notice to option holders, including an amendment to increase the number of shares of Common Stock with respect to which options may be granted; provided however that no amendment that would increase the maximum number of shares that may be subjected to options or that may be granted to any person referred to in Section 162(m) of the Code or that would modify requirements as to eligibility for participation in the Plan shall be effective unless the stockholders of the Company shall have approved the amendment in accordance with applicable provisions of the Code. No amendment, modification or termination of the Plan may adversely affect in a material manner any right of any option holder with respect to any option theretofore granted without such option holder's written consent.</w:t>
      </w:r>
    </w:p>
    <w:p>
      <w:pPr>
        <w:spacing w:after="0" w:line="173" w:lineRule="exact"/>
        <w:rPr>
          <w:rFonts w:ascii="Courier New" w:cs="Courier New" w:eastAsia="Courier New" w:hAnsi="Courier New"/>
          <w:sz w:val="15"/>
          <w:szCs w:val="15"/>
          <w:color w:val="auto"/>
        </w:rPr>
      </w:pPr>
    </w:p>
    <w:p>
      <w:pPr>
        <w:ind w:left="350" w:right="3239" w:hanging="350"/>
        <w:spacing w:after="0" w:line="255" w:lineRule="auto"/>
        <w:tabs>
          <w:tab w:leader="none" w:pos="3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DURATION OF THE PLAN. The effective date of the Plan shall be March 29, 2000 subject to approval by stockholders. Any amendment to the Plan shall be effective on the date 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32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4" w:right="1440" w:bottom="1440" w:gutter="0" w:footer="0" w:header="0"/>
        </w:sectPr>
      </w:pPr>
    </w:p>
    <w:bookmarkStart w:id="38" w:name="page39"/>
    <w:bookmarkEnd w:id="38"/>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PERFORMANCE SHARE PLAN</w:t>
      </w:r>
    </w:p>
    <w:p>
      <w:pPr>
        <w:spacing w:after="0" w:line="173" w:lineRule="exact"/>
        <w:rPr>
          <w:sz w:val="20"/>
          <w:szCs w:val="20"/>
          <w:color w:val="auto"/>
        </w:rPr>
      </w:pPr>
    </w:p>
    <w:p>
      <w:pPr>
        <w:ind w:left="360" w:right="3239" w:hanging="350"/>
        <w:spacing w:after="0" w:line="236"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Toro Company Performance Share Plan (the "Plan") is to enhance long-term stockholder value of The Toro Company (the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79"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 Key employees of the Company who, through their position or performance, can have a significant, positive impact 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subparagraph 3.c.(ii), if applicable.</w:t>
      </w:r>
    </w:p>
    <w:p>
      <w:pPr>
        <w:spacing w:after="0" w:line="169"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AWARDS.</w:t>
      </w:r>
    </w:p>
    <w:p>
      <w:pPr>
        <w:spacing w:after="0" w:line="172" w:lineRule="exact"/>
        <w:rPr>
          <w:rFonts w:ascii="Courier New" w:cs="Courier New" w:eastAsia="Courier New" w:hAnsi="Courier New"/>
          <w:sz w:val="15"/>
          <w:szCs w:val="15"/>
          <w:color w:val="auto"/>
        </w:rPr>
      </w:pPr>
    </w:p>
    <w:p>
      <w:pPr>
        <w:ind w:left="700" w:right="3239" w:hanging="340"/>
        <w:spacing w:after="0" w:line="236" w:lineRule="auto"/>
        <w:tabs>
          <w:tab w:leader="none" w:pos="7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DEFINED. A Performance Share is a right to receive shares of Common Stock or Common Stock units, contingent on the achievement of performance goals of the Company during a three year period, except that a shorter period may be established for new participants and for awards granted at the time the Plan is adopted (the "Award Term"). A Performance Share Award shall be subject to such conditions, restrictions and contingencies as the Committee shall determine.</w:t>
      </w:r>
    </w:p>
    <w:p>
      <w:pPr>
        <w:spacing w:after="0" w:line="177" w:lineRule="exact"/>
        <w:rPr>
          <w:rFonts w:ascii="Courier New" w:cs="Courier New" w:eastAsia="Courier New" w:hAnsi="Courier New"/>
          <w:sz w:val="15"/>
          <w:szCs w:val="15"/>
          <w:color w:val="auto"/>
        </w:rPr>
      </w:pPr>
    </w:p>
    <w:p>
      <w:pPr>
        <w:ind w:left="700" w:right="3319" w:hanging="340"/>
        <w:spacing w:after="0" w:line="256" w:lineRule="auto"/>
        <w:tabs>
          <w:tab w:leader="none" w:pos="7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Performance Shares shall be subject to forfeiture until they vest and shall vest only after the conclusion of the Award Term, and only if the Committee makes the certification required by subparagraph 3.c.(iv), except as may otherwise be provided in subparagraph 3.c.(iv).</w:t>
      </w:r>
    </w:p>
    <w:p>
      <w:pPr>
        <w:spacing w:after="0" w:line="164" w:lineRule="exact"/>
        <w:rPr>
          <w:rFonts w:ascii="Courier New" w:cs="Courier New" w:eastAsia="Courier New" w:hAnsi="Courier New"/>
          <w:sz w:val="14"/>
          <w:szCs w:val="14"/>
          <w:color w:val="auto"/>
        </w:rPr>
      </w:pPr>
    </w:p>
    <w:p>
      <w:pPr>
        <w:ind w:left="700" w:right="3239" w:hanging="340"/>
        <w:spacing w:after="0" w:line="235" w:lineRule="auto"/>
        <w:tabs>
          <w:tab w:leader="none" w:pos="7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162(m) CONDITIONS. Performance Share Awards may be designated as "performance-based compensation" as that term is used in Section 162(m) of the Internal Revenue Code of 1986, as amended (the "Code").</w:t>
      </w:r>
    </w:p>
    <w:p>
      <w:pPr>
        <w:spacing w:after="0" w:line="173" w:lineRule="exact"/>
        <w:rPr>
          <w:rFonts w:ascii="Courier New" w:cs="Courier New" w:eastAsia="Courier New" w:hAnsi="Courier New"/>
          <w:sz w:val="15"/>
          <w:szCs w:val="15"/>
          <w:color w:val="auto"/>
        </w:rPr>
      </w:pPr>
    </w:p>
    <w:p>
      <w:pPr>
        <w:ind w:left="1060" w:right="3239" w:hanging="351"/>
        <w:spacing w:after="0" w:line="255" w:lineRule="auto"/>
        <w:tabs>
          <w:tab w:leader="none" w:pos="1060"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The Performance Goal criteria ("Performance Goals") that may be used by the Committee for Performance Shares 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165" w:lineRule="exact"/>
        <w:rPr>
          <w:rFonts w:ascii="Courier New" w:cs="Courier New" w:eastAsia="Courier New" w:hAnsi="Courier New"/>
          <w:sz w:val="14"/>
          <w:szCs w:val="14"/>
          <w:color w:val="auto"/>
        </w:rPr>
      </w:pPr>
    </w:p>
    <w:p>
      <w:pPr>
        <w:ind w:left="1060" w:right="3239" w:hanging="438"/>
        <w:spacing w:after="0" w:line="255" w:lineRule="auto"/>
        <w:tabs>
          <w:tab w:leader="none" w:pos="1060"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PERFORMANCE GOALS. Performance Share Awards designated "performance-based compensation" shall be granted, and 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4" w:lineRule="exact"/>
        <w:rPr>
          <w:rFonts w:ascii="Courier New" w:cs="Courier New" w:eastAsia="Courier New" w:hAnsi="Courier New"/>
          <w:sz w:val="14"/>
          <w:szCs w:val="14"/>
          <w:color w:val="auto"/>
        </w:rPr>
      </w:pPr>
    </w:p>
    <w:p>
      <w:pPr>
        <w:ind w:left="1060" w:right="3319" w:hanging="526"/>
        <w:spacing w:after="0" w:line="236" w:lineRule="auto"/>
        <w:tabs>
          <w:tab w:leader="none" w:pos="106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162(m) MAXIMUM AWARD PAYMENT. With respect to a Performance Share Award that is designated "performance-based compensation" for purposes of Section 162(m), the maximum number of shares that may be issued under the award shall be set at the time the Committee grants the award and establishes Performance Goals under the award. Notwithstanding any other provision of this Plan, the maximum number of Performance Shares that</w:t>
      </w:r>
    </w:p>
    <w:p>
      <w:pPr>
        <w:sectPr>
          <w:pgSz w:w="11900" w:h="16838" w:orient="portrait"/>
          <w:cols w:equalWidth="0" w:num="1">
            <w:col w:w="10239"/>
          </w:cols>
          <w:pgMar w:left="220" w:top="471" w:right="1440" w:bottom="1440" w:gutter="0" w:footer="0" w:header="0"/>
        </w:sectPr>
      </w:pPr>
    </w:p>
    <w:bookmarkStart w:id="39" w:name="page40"/>
    <w:bookmarkEnd w:id="39"/>
    <w:p>
      <w:pPr>
        <w:ind w:left="700" w:right="3319"/>
        <w:spacing w:after="0" w:line="261" w:lineRule="auto"/>
        <w:rPr>
          <w:sz w:val="20"/>
          <w:szCs w:val="20"/>
          <w:color w:val="auto"/>
        </w:rPr>
      </w:pPr>
      <w:r>
        <w:rPr>
          <w:rFonts w:ascii="Courier New" w:cs="Courier New" w:eastAsia="Courier New" w:hAnsi="Courier New"/>
          <w:sz w:val="14"/>
          <w:szCs w:val="14"/>
          <w:color w:val="auto"/>
        </w:rPr>
        <w:t>may be granted to a Plan Participant with respect to any Award Term is 100,000, subject to adjustment as provided in paragraph 4.</w:t>
      </w:r>
    </w:p>
    <w:p>
      <w:pPr>
        <w:spacing w:after="0" w:line="160" w:lineRule="exact"/>
        <w:rPr>
          <w:sz w:val="20"/>
          <w:szCs w:val="20"/>
          <w:color w:val="auto"/>
        </w:rPr>
      </w:pPr>
    </w:p>
    <w:p>
      <w:pPr>
        <w:ind w:left="700" w:right="3239" w:hanging="438"/>
        <w:spacing w:after="0" w:line="237" w:lineRule="auto"/>
        <w:tabs>
          <w:tab w:leader="none" w:pos="70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OF PAYMENT. Before any payment or delivery of shares of Common Stock is made under the Plan to any Participant who is a person referred to in Section 162(m), the Committee must certify in writing, as reflected in the minutes, that the Performance Goals established with respect to a Performance Share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175" w:lineRule="exact"/>
        <w:rPr>
          <w:rFonts w:ascii="Courier New" w:cs="Courier New" w:eastAsia="Courier New" w:hAnsi="Courier New"/>
          <w:sz w:val="15"/>
          <w:szCs w:val="15"/>
          <w:color w:val="auto"/>
        </w:rPr>
      </w:pPr>
    </w:p>
    <w:p>
      <w:pPr>
        <w:ind w:left="340" w:right="3239" w:hanging="340"/>
        <w:spacing w:after="0" w:line="255" w:lineRule="auto"/>
        <w:tabs>
          <w:tab w:leader="none" w:pos="3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Certificates for shares of Common Stock in the number of Performance Shares that vest under an award will be delivered as soon as possible after the applicable vesting requirements (including accelerated vesting under subparagraph 3.e.)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Performance Shares shall be canceled and have no value.</w:t>
      </w:r>
    </w:p>
    <w:p>
      <w:pPr>
        <w:spacing w:after="0" w:line="158" w:lineRule="exact"/>
        <w:rPr>
          <w:rFonts w:ascii="Courier New" w:cs="Courier New" w:eastAsia="Courier New" w:hAnsi="Courier New"/>
          <w:sz w:val="14"/>
          <w:szCs w:val="14"/>
          <w:color w:val="auto"/>
        </w:rPr>
      </w:pPr>
    </w:p>
    <w:p>
      <w:pPr>
        <w:ind w:left="340" w:hanging="340"/>
        <w:spacing w:after="0"/>
        <w:tabs>
          <w:tab w:leader="none" w:pos="3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CANCELLATION UNDER SPECIAL CIRCUMSTANCES.</w:t>
      </w:r>
    </w:p>
    <w:p>
      <w:pPr>
        <w:spacing w:after="0" w:line="172" w:lineRule="exact"/>
        <w:rPr>
          <w:rFonts w:ascii="Courier New" w:cs="Courier New" w:eastAsia="Courier New" w:hAnsi="Courier New"/>
          <w:sz w:val="15"/>
          <w:szCs w:val="15"/>
          <w:color w:val="auto"/>
        </w:rPr>
      </w:pPr>
    </w:p>
    <w:p>
      <w:pPr>
        <w:ind w:left="700" w:right="3239" w:hanging="351"/>
        <w:spacing w:after="0" w:line="255" w:lineRule="auto"/>
        <w:tabs>
          <w:tab w:leader="none" w:pos="70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DEATH OR DISABILITY. If a Plan Participant retires on or after age 65 or dies or becomes permanently disabled and unable to work, shares of Common Stock shall be delivered with respect to the participant's Performance Share Award only if otherwise earned and only with respect to the portion of the applicable Award Term completed at the date of such event (based on a 360 day year and expressed as a percentage). Such shares shall be delivered only after the conclusion of the Award Term in accordance with the provisions of subparagraphs 3.b., 3.c. and 3.d. of the Plan.</w:t>
      </w:r>
    </w:p>
    <w:p>
      <w:pPr>
        <w:spacing w:after="0" w:line="165" w:lineRule="exact"/>
        <w:rPr>
          <w:rFonts w:ascii="Courier New" w:cs="Courier New" w:eastAsia="Courier New" w:hAnsi="Courier New"/>
          <w:sz w:val="14"/>
          <w:szCs w:val="14"/>
          <w:color w:val="auto"/>
        </w:rPr>
      </w:pPr>
    </w:p>
    <w:p>
      <w:pPr>
        <w:ind w:left="700" w:right="3679" w:hanging="438"/>
        <w:spacing w:after="0" w:line="235" w:lineRule="auto"/>
        <w:tabs>
          <w:tab w:leader="none" w:pos="70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AND EARLY RETIREMENT. In the event that a Participant resigns voluntarily or retires before age 65, Performance Shares in such participant's name that have not yet vested shall not vest and shall be canceled.</w:t>
      </w:r>
    </w:p>
    <w:p>
      <w:pPr>
        <w:spacing w:after="0" w:line="175" w:lineRule="exact"/>
        <w:rPr>
          <w:rFonts w:ascii="Courier New" w:cs="Courier New" w:eastAsia="Courier New" w:hAnsi="Courier New"/>
          <w:sz w:val="15"/>
          <w:szCs w:val="15"/>
          <w:color w:val="auto"/>
        </w:rPr>
      </w:pPr>
    </w:p>
    <w:p>
      <w:pPr>
        <w:ind w:left="700" w:right="3239" w:hanging="526"/>
        <w:spacing w:after="0" w:line="235" w:lineRule="auto"/>
        <w:tabs>
          <w:tab w:leader="none" w:pos="70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Notwithstanding the provisions of subparagraphs 3.b. and 3.c., all Performance Shares that have not yet vested shall vest and become immediately payable if there is a change of control of the Company.</w:t>
      </w:r>
    </w:p>
    <w:p>
      <w:pPr>
        <w:spacing w:after="0" w:line="168"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w:t>
      </w:r>
    </w:p>
    <w:p>
      <w:pPr>
        <w:spacing w:after="0" w:line="172" w:lineRule="exact"/>
        <w:rPr>
          <w:rFonts w:ascii="Courier New" w:cs="Courier New" w:eastAsia="Courier New" w:hAnsi="Courier New"/>
          <w:sz w:val="15"/>
          <w:szCs w:val="15"/>
          <w:color w:val="auto"/>
        </w:rPr>
      </w:pPr>
    </w:p>
    <w:p>
      <w:pPr>
        <w:ind w:left="700" w:right="3239" w:firstLine="349"/>
        <w:spacing w:after="0" w:line="237" w:lineRule="auto"/>
        <w:tabs>
          <w:tab w:leader="none" w:pos="140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subparagraph (A), the following acquisitions shall not constitute a Change of Control: (a) any acquisition directly from the Company, (b) any acquisition by the Company, (c) any acquisition by any employee benefit plan (or related trust) sponsored or maintained by the Company or any</w:t>
      </w:r>
    </w:p>
    <w:p>
      <w:pPr>
        <w:spacing w:after="0" w:line="33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80"/>
          </w:cols>
          <w:pgMar w:left="580" w:top="624" w:right="1440" w:bottom="1440" w:gutter="0" w:footer="0" w:header="0"/>
        </w:sectPr>
      </w:pPr>
    </w:p>
    <w:bookmarkStart w:id="40" w:name="page41"/>
    <w:bookmarkEnd w:id="40"/>
    <w:p>
      <w:pPr>
        <w:ind w:left="700" w:right="3239"/>
        <w:spacing w:after="0" w:line="235" w:lineRule="auto"/>
        <w:rPr>
          <w:sz w:val="20"/>
          <w:szCs w:val="20"/>
          <w:color w:val="auto"/>
        </w:rPr>
      </w:pPr>
      <w:r>
        <w:rPr>
          <w:rFonts w:ascii="Courier New" w:cs="Courier New" w:eastAsia="Courier New" w:hAnsi="Courier New"/>
          <w:sz w:val="15"/>
          <w:szCs w:val="15"/>
          <w:color w:val="auto"/>
        </w:rPr>
        <w:t>corporation controlled by the Company, or (d) any acquisition by any corporation pursuant to a transaction that complies with clauses (a), (b) and (c) of subparagraph (C) of this subparagraph 3.e.(iii); or</w:t>
      </w:r>
    </w:p>
    <w:p>
      <w:pPr>
        <w:spacing w:after="0" w:line="175" w:lineRule="exact"/>
        <w:rPr>
          <w:sz w:val="20"/>
          <w:szCs w:val="20"/>
          <w:color w:val="auto"/>
        </w:rPr>
      </w:pPr>
    </w:p>
    <w:p>
      <w:pPr>
        <w:ind w:left="700" w:right="3239" w:firstLine="349"/>
        <w:spacing w:after="0" w:line="237" w:lineRule="auto"/>
        <w:tabs>
          <w:tab w:leader="none" w:pos="140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700" w:right="3239" w:firstLine="349"/>
        <w:spacing w:after="0" w:line="254" w:lineRule="auto"/>
        <w:tabs>
          <w:tab w:leader="none" w:pos="140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7" w:lineRule="exact"/>
        <w:rPr>
          <w:rFonts w:ascii="Courier New" w:cs="Courier New" w:eastAsia="Courier New" w:hAnsi="Courier New"/>
          <w:sz w:val="14"/>
          <w:szCs w:val="14"/>
          <w:color w:val="auto"/>
        </w:rPr>
      </w:pPr>
    </w:p>
    <w:p>
      <w:pPr>
        <w:ind w:left="700" w:right="3499" w:firstLine="349"/>
        <w:spacing w:after="0" w:line="234" w:lineRule="auto"/>
        <w:tabs>
          <w:tab w:leader="none" w:pos="140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left="340" w:right="3399" w:hanging="340"/>
        <w:spacing w:after="0" w:line="258" w:lineRule="auto"/>
        <w:tabs>
          <w:tab w:leader="none" w:pos="3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VOTING. A Plan Participant shall have no rights as a stockholder with respect to Performance Shares unless and until Common Stock or Common Stock units are issued in settlement of the award.</w:t>
      </w:r>
    </w:p>
    <w:p>
      <w:pPr>
        <w:spacing w:after="0" w:line="161" w:lineRule="exact"/>
        <w:rPr>
          <w:rFonts w:ascii="Courier New" w:cs="Courier New" w:eastAsia="Courier New" w:hAnsi="Courier New"/>
          <w:sz w:val="14"/>
          <w:szCs w:val="14"/>
          <w:color w:val="auto"/>
        </w:rPr>
      </w:pPr>
    </w:p>
    <w:p>
      <w:pPr>
        <w:ind w:left="340" w:right="3239" w:hanging="340"/>
        <w:spacing w:after="0" w:line="255" w:lineRule="auto"/>
        <w:tabs>
          <w:tab w:leader="none" w:pos="3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Neither Performance Shares nor Performance Share Awards nor any interest in any one of such awards or shares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w:t>
      </w:r>
    </w:p>
    <w:p>
      <w:pPr>
        <w:spacing w:after="0" w:line="32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80"/>
          </w:cols>
          <w:pgMar w:left="580" w:top="624" w:right="1440" w:bottom="1440" w:gutter="0" w:footer="0" w:header="0"/>
        </w:sectPr>
      </w:pPr>
    </w:p>
    <w:bookmarkStart w:id="41" w:name="page42"/>
    <w:bookmarkEnd w:id="41"/>
    <w:p>
      <w:pPr>
        <w:ind w:left="690" w:right="3319"/>
        <w:spacing w:after="0" w:line="236" w:lineRule="auto"/>
        <w:rPr>
          <w:sz w:val="20"/>
          <w:szCs w:val="20"/>
          <w:color w:val="auto"/>
        </w:rPr>
      </w:pPr>
      <w:r>
        <w:rPr>
          <w:rFonts w:ascii="Courier New" w:cs="Courier New" w:eastAsia="Courier New" w:hAnsi="Courier New"/>
          <w:sz w:val="15"/>
          <w:szCs w:val="15"/>
          <w:color w:val="auto"/>
        </w:rPr>
        <w:t>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subparagraph 3.e.</w:t>
      </w:r>
    </w:p>
    <w:p>
      <w:pPr>
        <w:spacing w:after="0" w:line="174" w:lineRule="exact"/>
        <w:rPr>
          <w:sz w:val="20"/>
          <w:szCs w:val="20"/>
          <w:color w:val="auto"/>
        </w:rPr>
      </w:pPr>
    </w:p>
    <w:p>
      <w:pPr>
        <w:ind w:left="350" w:right="3319" w:hanging="350"/>
        <w:spacing w:after="0" w:line="236"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SHARES SUBJECT TO PERFORMANCE SHARE AWARDS. Subject to the provisions of subparagraph 4.a., the number of shares of Common Stock reserved and available for issuance pursuant to Performance Share Awards under the Plan is 500,000. Shares of Common Stock that may be issued hereunder may be authorized but unissued shares, reacquired or treasury shares or outstanding shares acquired in the market or from private sources or a combination thereof.</w:t>
      </w:r>
    </w:p>
    <w:p>
      <w:pPr>
        <w:spacing w:after="0" w:line="175" w:lineRule="exact"/>
        <w:rPr>
          <w:rFonts w:ascii="Courier New" w:cs="Courier New" w:eastAsia="Courier New" w:hAnsi="Courier New"/>
          <w:sz w:val="15"/>
          <w:szCs w:val="15"/>
          <w:color w:val="auto"/>
        </w:rPr>
      </w:pPr>
    </w:p>
    <w:p>
      <w:pPr>
        <w:ind w:left="690" w:right="3239" w:hanging="340"/>
        <w:spacing w:after="0" w:line="255" w:lineRule="auto"/>
        <w:tabs>
          <w:tab w:leader="none" w:pos="69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 made subject to Performance Share Awards for any individual as set forth in paragraph 3.c. (iii); (iii) the number and kind of securities subject to any outstanding Award; and (iv) any other adjustments that the Committee determines to be equitable.</w:t>
      </w:r>
    </w:p>
    <w:p>
      <w:pPr>
        <w:spacing w:after="0" w:line="163" w:lineRule="exact"/>
        <w:rPr>
          <w:rFonts w:ascii="Courier New" w:cs="Courier New" w:eastAsia="Courier New" w:hAnsi="Courier New"/>
          <w:sz w:val="14"/>
          <w:szCs w:val="14"/>
          <w:color w:val="auto"/>
        </w:rPr>
      </w:pPr>
    </w:p>
    <w:p>
      <w:pPr>
        <w:ind w:left="350" w:right="3239" w:hanging="350"/>
        <w:spacing w:after="0" w:line="236"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 The Committee shall have the authority to administer the Plan; establish 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180" w:lineRule="exact"/>
        <w:rPr>
          <w:rFonts w:ascii="Courier New" w:cs="Courier New" w:eastAsia="Courier New" w:hAnsi="Courier New"/>
          <w:sz w:val="15"/>
          <w:szCs w:val="15"/>
          <w:color w:val="auto"/>
        </w:rPr>
      </w:pPr>
    </w:p>
    <w:p>
      <w:pPr>
        <w:ind w:left="350" w:right="3319" w:hanging="350"/>
        <w:spacing w:after="0" w:line="255"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The Company shall have the right to deduct from any settlement made under the Plan or to require the Participant to 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65" w:lineRule="exact"/>
        <w:rPr>
          <w:rFonts w:ascii="Courier New" w:cs="Courier New" w:eastAsia="Courier New" w:hAnsi="Courier New"/>
          <w:sz w:val="14"/>
          <w:szCs w:val="14"/>
          <w:color w:val="auto"/>
        </w:rPr>
      </w:pPr>
    </w:p>
    <w:p>
      <w:pPr>
        <w:ind w:left="350" w:right="3239" w:hanging="350"/>
        <w:spacing w:after="0" w:line="236"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awards granted under the Plan, agreements entered into under the Plan and Performance Shares shall be construed, 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175" w:lineRule="exact"/>
        <w:rPr>
          <w:rFonts w:ascii="Courier New" w:cs="Courier New" w:eastAsia="Courier New" w:hAnsi="Courier New"/>
          <w:sz w:val="15"/>
          <w:szCs w:val="15"/>
          <w:color w:val="auto"/>
        </w:rPr>
      </w:pPr>
    </w:p>
    <w:p>
      <w:pPr>
        <w:ind w:left="350" w:right="3239" w:hanging="350"/>
        <w:spacing w:after="0" w:line="255"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number of Performance Shares that may be granted under subparagraph 3.c.(iii) to a Participant who is a person referred to in Section 162(m); that would change the Performance Goal criteria applicable to a Participant who is a person referred to in Section 162(m) for payment of awards as set forth in subparagraph 3.c.(i); or</w:t>
      </w:r>
    </w:p>
    <w:p>
      <w:pPr>
        <w:spacing w:after="0" w:line="32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42" w:name="page43"/>
    <w:bookmarkEnd w:id="42"/>
    <w:p>
      <w:pPr>
        <w:ind w:left="350" w:right="3239"/>
        <w:spacing w:after="0" w:line="255" w:lineRule="auto"/>
        <w:rPr>
          <w:sz w:val="20"/>
          <w:szCs w:val="20"/>
          <w:color w:val="auto"/>
        </w:rPr>
      </w:pPr>
      <w:r>
        <w:rPr>
          <w:rFonts w:ascii="Courier New" w:cs="Courier New" w:eastAsia="Courier New" w:hAnsi="Courier New"/>
          <w:sz w:val="14"/>
          <w:szCs w:val="14"/>
          <w:color w:val="auto"/>
        </w:rPr>
        <w:t>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66" w:lineRule="exact"/>
        <w:rPr>
          <w:sz w:val="20"/>
          <w:szCs w:val="20"/>
          <w:color w:val="auto"/>
        </w:rPr>
      </w:pPr>
    </w:p>
    <w:p>
      <w:pPr>
        <w:ind w:left="350" w:right="3399" w:hanging="350"/>
        <w:spacing w:after="0" w:line="23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November 18, 1998. Any amendment to the Plan shall be effective on the date established by the Committee, subject to stockholder approval, if required under the provisions of paragraph 8.</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43" w:name="page44"/>
    <w:bookmarkEnd w:id="43"/>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CHIEF EXECUTIVE OFFICER INCENTIVE AWARD AGREEMENT</w:t>
      </w:r>
    </w:p>
    <w:p>
      <w:pPr>
        <w:spacing w:after="0" w:line="342"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AGREEMENT ("Agreement") dated as of July 31, 1995, as amended July 31, 1997 and as amended and restated July 31, 1998, by and between The Toro Company, a Delaware corporation (the "Company"), and Kendrick B. Melrose, its Chief Executive Officer ("Mr. Melrose").</w:t>
      </w:r>
    </w:p>
    <w:p>
      <w:pPr>
        <w:spacing w:after="0" w:line="175" w:lineRule="exact"/>
        <w:rPr>
          <w:sz w:val="20"/>
          <w:szCs w:val="20"/>
          <w:color w:val="auto"/>
        </w:rPr>
      </w:pPr>
    </w:p>
    <w:p>
      <w:pPr>
        <w:ind w:right="3239" w:firstLine="10"/>
        <w:spacing w:after="0" w:line="236" w:lineRule="auto"/>
        <w:tabs>
          <w:tab w:leader="none" w:pos="2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AWARD.</w:t>
      </w:r>
    </w:p>
    <w:p>
      <w:pPr>
        <w:spacing w:after="0" w:line="172"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Subsection 3.a.i(A)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4" w:lineRule="exact"/>
        <w:rPr>
          <w:rFonts w:ascii="Courier New" w:cs="Courier New" w:eastAsia="Courier New" w:hAnsi="Courier New"/>
          <w:sz w:val="14"/>
          <w:szCs w:val="14"/>
          <w:color w:val="auto"/>
        </w:rPr>
      </w:pPr>
    </w:p>
    <w:p>
      <w:pPr>
        <w:ind w:right="3319" w:firstLine="797"/>
        <w:spacing w:after="0" w:line="254" w:lineRule="auto"/>
        <w:tabs>
          <w:tab w:leader="none" w:pos="104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Subsection 3.a.i(A)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Subsections 2.c. and 3.b. hereof.</w:t>
      </w:r>
    </w:p>
    <w:p>
      <w:pPr>
        <w:sectPr>
          <w:pgSz w:w="11900" w:h="16838" w:orient="portrait"/>
          <w:cols w:equalWidth="0" w:num="1">
            <w:col w:w="10239"/>
          </w:cols>
          <w:pgMar w:left="220" w:top="471" w:right="1440" w:bottom="1440" w:gutter="0" w:footer="0" w:header="0"/>
        </w:sectPr>
      </w:pPr>
    </w:p>
    <w:bookmarkStart w:id="44" w:name="page45"/>
    <w:bookmarkEnd w:id="44"/>
    <w:p>
      <w:pPr>
        <w:ind w:right="3239" w:firstLine="787"/>
        <w:spacing w:after="0" w:line="236" w:lineRule="auto"/>
        <w:rPr>
          <w:sz w:val="20"/>
          <w:szCs w:val="20"/>
          <w:color w:val="auto"/>
        </w:rPr>
      </w:pPr>
      <w:r>
        <w:rPr>
          <w:rFonts w:ascii="Courier New" w:cs="Courier New" w:eastAsia="Courier New" w:hAnsi="Courier New"/>
          <w:sz w:val="15"/>
          <w:szCs w:val="15"/>
          <w:color w:val="auto"/>
        </w:rPr>
        <w:t>c. 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71" w:lineRule="exact"/>
        <w:rPr>
          <w:sz w:val="20"/>
          <w:szCs w:val="20"/>
          <w:color w:val="auto"/>
        </w:rPr>
      </w:pPr>
    </w:p>
    <w:p>
      <w:pPr>
        <w:ind w:left="800" w:hanging="790"/>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RESTRICTIONS.</w:t>
      </w:r>
    </w:p>
    <w:p>
      <w:pPr>
        <w:spacing w:after="0" w:line="172" w:lineRule="exact"/>
        <w:rPr>
          <w:rFonts w:ascii="Courier New" w:cs="Courier New" w:eastAsia="Courier New" w:hAnsi="Courier New"/>
          <w:sz w:val="15"/>
          <w:szCs w:val="15"/>
          <w:color w:val="auto"/>
        </w:rPr>
      </w:pPr>
    </w:p>
    <w:p>
      <w:pPr>
        <w:ind w:right="3239" w:firstLine="787"/>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Subsection 3.a.</w:t>
      </w:r>
    </w:p>
    <w:p>
      <w:pPr>
        <w:spacing w:after="0" w:line="163" w:lineRule="exact"/>
        <w:rPr>
          <w:rFonts w:ascii="Courier New" w:cs="Courier New" w:eastAsia="Courier New" w:hAnsi="Courier New"/>
          <w:sz w:val="15"/>
          <w:szCs w:val="15"/>
          <w:color w:val="auto"/>
        </w:rPr>
      </w:pPr>
    </w:p>
    <w:p>
      <w:pPr>
        <w:ind w:right="3239" w:firstLine="1584"/>
        <w:spacing w:after="0" w:line="254" w:lineRule="auto"/>
        <w:tabs>
          <w:tab w:leader="none" w:pos="1837"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Subsection 3.a.i. and to the achievement by Mr. Melrose of the Performance Goals set forth in Subsection 3.a.i.(A)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Subsections 2.c and 3.b.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5" w:name="page46"/>
    <w:bookmarkEnd w:id="45"/>
    <w:p>
      <w:pPr>
        <w:ind w:left="2720" w:right="520" w:hanging="349"/>
        <w:spacing w:after="0" w:line="256" w:lineRule="auto"/>
        <w:tabs>
          <w:tab w:leader="none" w:pos="27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Performance Goal</w:t>
            </w:r>
          </w:p>
        </w:tc>
        <w:tc>
          <w:tcPr>
            <w:tcW w:w="2540" w:type="dxa"/>
            <w:vAlign w:val="bottom"/>
          </w:tcPr>
          <w:p>
            <w:pPr>
              <w:ind w:left="660"/>
              <w:spacing w:after="0"/>
              <w:rPr>
                <w:sz w:val="20"/>
                <w:szCs w:val="20"/>
                <w:color w:val="auto"/>
              </w:rPr>
            </w:pPr>
            <w:r>
              <w:rPr>
                <w:rFonts w:ascii="Courier New" w:cs="Courier New" w:eastAsia="Courier New" w:hAnsi="Courier New"/>
                <w:sz w:val="15"/>
                <w:szCs w:val="15"/>
                <w:color w:val="auto"/>
              </w:rPr>
              <w:t>Restricted Period</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Portion of</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 be Achieved</w:t>
            </w: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(July 31, 1995</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Shares of Re-</w:t>
            </w:r>
          </w:p>
        </w:tc>
      </w:tr>
      <w:tr>
        <w:trPr>
          <w:trHeight w:val="168"/>
        </w:trPr>
        <w:tc>
          <w:tcPr>
            <w:tcW w:w="3200" w:type="dxa"/>
            <w:vAlign w:val="bottom"/>
          </w:tcPr>
          <w:p>
            <w:pPr>
              <w:spacing w:after="0"/>
              <w:rPr>
                <w:sz w:val="14"/>
                <w:szCs w:val="14"/>
                <w:color w:val="auto"/>
              </w:rPr>
            </w:pP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through earlier of</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stricted Stock</w:t>
            </w:r>
          </w:p>
        </w:tc>
      </w:tr>
      <w:tr>
        <w:trPr>
          <w:trHeight w:val="168"/>
        </w:trPr>
        <w:tc>
          <w:tcPr>
            <w:tcW w:w="3200" w:type="dxa"/>
            <w:vAlign w:val="bottom"/>
          </w:tcPr>
          <w:p>
            <w:pPr>
              <w:spacing w:after="0"/>
              <w:rPr>
                <w:sz w:val="14"/>
                <w:szCs w:val="14"/>
                <w:color w:val="auto"/>
              </w:rPr>
            </w:pP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date shown or</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Vest Upon</w:t>
            </w:r>
          </w:p>
        </w:tc>
      </w:tr>
      <w:tr>
        <w:trPr>
          <w:trHeight w:val="168"/>
        </w:trPr>
        <w:tc>
          <w:tcPr>
            <w:tcW w:w="3200" w:type="dxa"/>
            <w:vAlign w:val="bottom"/>
          </w:tcPr>
          <w:p>
            <w:pPr>
              <w:spacing w:after="0"/>
              <w:rPr>
                <w:sz w:val="14"/>
                <w:szCs w:val="14"/>
                <w:color w:val="auto"/>
              </w:rPr>
            </w:pP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Goal Achievement)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Achievement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Goal 1:</w:t>
            </w: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CEO and senior management</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succession plan developed</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progress towards fulfill-</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 of the plan, approved</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by Board of Directors</w:t>
            </w: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October 31, 1999</w:t>
            </w:r>
          </w:p>
        </w:tc>
        <w:tc>
          <w:tcPr>
            <w:tcW w:w="15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Goal 2:</w:t>
            </w: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CEO successor</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identified with approval</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of Board of Directors</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continued development</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of senior management team</w:t>
            </w: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October 31, 2000</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Goal 3:</w:t>
            </w: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CEO successor who was</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identified and developed</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by Mr. Melrose is elected</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as CEO by Board of</w:t>
            </w: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25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October 31, 2003</w:t>
            </w:r>
          </w:p>
        </w:tc>
        <w:tc>
          <w:tcPr>
            <w:tcW w:w="15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70%</w:t>
            </w:r>
          </w:p>
        </w:tc>
      </w:tr>
    </w:tbl>
    <w:p>
      <w:pPr>
        <w:spacing w:after="0" w:line="341" w:lineRule="exact"/>
        <w:rPr>
          <w:sz w:val="20"/>
          <w:szCs w:val="20"/>
          <w:color w:val="auto"/>
        </w:rPr>
      </w:pPr>
    </w:p>
    <w:p>
      <w:pPr>
        <w:jc w:val="both"/>
        <w:ind w:left="2720" w:right="600" w:hanging="349"/>
        <w:spacing w:after="0" w:line="254" w:lineRule="auto"/>
        <w:tabs>
          <w:tab w:leader="none" w:pos="27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w:t>
      </w:r>
    </w:p>
    <w:p>
      <w:pPr>
        <w:spacing w:after="0" w:line="1" w:lineRule="exact"/>
        <w:rPr>
          <w:rFonts w:ascii="Courier New" w:cs="Courier New" w:eastAsia="Courier New" w:hAnsi="Courier New"/>
          <w:sz w:val="14"/>
          <w:szCs w:val="14"/>
          <w:color w:val="auto"/>
        </w:rPr>
      </w:pPr>
    </w:p>
    <w:p>
      <w:pPr>
        <w:ind w:left="2720" w:right="52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Portion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Performance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Units to</w:t>
      </w:r>
    </w:p>
    <w:p>
      <w:pPr>
        <w:ind w:left="180"/>
        <w:spacing w:after="0" w:line="237" w:lineRule="auto"/>
        <w:rPr>
          <w:sz w:val="20"/>
          <w:szCs w:val="20"/>
          <w:color w:val="auto"/>
        </w:rPr>
      </w:pPr>
      <w:r>
        <w:rPr>
          <w:rFonts w:ascii="Courier New" w:cs="Courier New" w:eastAsia="Courier New" w:hAnsi="Courier New"/>
          <w:sz w:val="15"/>
          <w:szCs w:val="15"/>
          <w:color w:val="auto"/>
        </w:rPr>
        <w:t>Vest Upon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2">
            <w:col w:w="7260" w:space="440"/>
            <w:col w:w="2539"/>
          </w:cols>
          <w:pgMar w:left="220" w:top="624" w:right="1440" w:bottom="1440" w:gutter="0" w:footer="0" w:header="0"/>
        </w:sectPr>
      </w:pPr>
    </w:p>
    <w:bookmarkStart w:id="46" w:name="page47"/>
    <w:bookmarkEnd w:id="46"/>
    <w:p>
      <w:pPr>
        <w:ind w:left="1923"/>
        <w:spacing w:after="0"/>
        <w:rPr>
          <w:sz w:val="20"/>
          <w:szCs w:val="20"/>
          <w:color w:val="auto"/>
        </w:rPr>
      </w:pPr>
      <w:r>
        <w:rPr>
          <w:rFonts w:ascii="Courier New" w:cs="Courier New" w:eastAsia="Courier New" w:hAnsi="Courier New"/>
          <w:sz w:val="15"/>
          <w:szCs w:val="15"/>
          <w:color w:val="auto"/>
        </w:rPr>
        <w:t>and conditions of a noncompetition agreement</w:t>
      </w:r>
    </w:p>
    <w:p>
      <w:pPr>
        <w:ind w:left="1923"/>
        <w:spacing w:after="0" w:line="237" w:lineRule="auto"/>
        <w:rPr>
          <w:sz w:val="20"/>
          <w:szCs w:val="20"/>
          <w:color w:val="auto"/>
        </w:rPr>
      </w:pPr>
      <w:r>
        <w:rPr>
          <w:rFonts w:ascii="Courier New" w:cs="Courier New" w:eastAsia="Courier New" w:hAnsi="Courier New"/>
          <w:sz w:val="15"/>
          <w:szCs w:val="15"/>
          <w:color w:val="auto"/>
        </w:rPr>
        <w:t>in accordance with Subsection 3.b.</w:t>
      </w:r>
    </w:p>
    <w:p>
      <w:pPr>
        <w:spacing w:after="0" w:line="173" w:lineRule="exact"/>
        <w:rPr>
          <w:sz w:val="20"/>
          <w:szCs w:val="20"/>
          <w:color w:val="auto"/>
        </w:rPr>
      </w:pPr>
    </w:p>
    <w:p>
      <w:pPr>
        <w:ind w:left="1923" w:right="3499" w:hanging="349"/>
        <w:spacing w:after="0" w:line="255" w:lineRule="auto"/>
        <w:tabs>
          <w:tab w:leader="none" w:pos="1923"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165" w:lineRule="exact"/>
        <w:rPr>
          <w:rFonts w:ascii="Courier New" w:cs="Courier New" w:eastAsia="Courier New" w:hAnsi="Courier New"/>
          <w:sz w:val="14"/>
          <w:szCs w:val="14"/>
          <w:color w:val="auto"/>
        </w:rPr>
      </w:pPr>
    </w:p>
    <w:p>
      <w:pPr>
        <w:ind w:left="1923" w:right="3679" w:hanging="349"/>
        <w:spacing w:after="0" w:line="236" w:lineRule="auto"/>
        <w:tabs>
          <w:tab w:leader="none" w:pos="1923"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Agreement are not intended to, and do not, impose on Mr. Melrose a mandatory retirement date not otherwise applicable to employees of the Company generally, and Mr. Melrose shall not be obligated to retire as an officer of the Company in order to obtain the benefits of this Agreement.</w:t>
      </w:r>
    </w:p>
    <w:p>
      <w:pPr>
        <w:spacing w:after="0" w:line="177" w:lineRule="exact"/>
        <w:rPr>
          <w:rFonts w:ascii="Courier New" w:cs="Courier New" w:eastAsia="Courier New" w:hAnsi="Courier New"/>
          <w:sz w:val="15"/>
          <w:szCs w:val="15"/>
          <w:color w:val="auto"/>
        </w:rPr>
      </w:pPr>
    </w:p>
    <w:p>
      <w:pPr>
        <w:ind w:left="-797" w:right="3499" w:firstLine="1584"/>
        <w:spacing w:after="0" w:line="255" w:lineRule="auto"/>
        <w:tabs>
          <w:tab w:leader="none" w:pos="1127"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Subsection 3.a.i.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Subsection 2.b. hereof.</w:t>
      </w:r>
    </w:p>
    <w:p>
      <w:pPr>
        <w:spacing w:after="0" w:line="166" w:lineRule="exact"/>
        <w:rPr>
          <w:rFonts w:ascii="Courier New" w:cs="Courier New" w:eastAsia="Courier New" w:hAnsi="Courier New"/>
          <w:sz w:val="14"/>
          <w:szCs w:val="14"/>
          <w:color w:val="auto"/>
        </w:rPr>
      </w:pPr>
    </w:p>
    <w:p>
      <w:pPr>
        <w:ind w:left="-797" w:right="3499" w:firstLine="1584"/>
        <w:spacing w:after="0" w:line="255" w:lineRule="auto"/>
        <w:tabs>
          <w:tab w:leader="none" w:pos="1215"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Subsection 3.c.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Subsections 2.c. and 3.b., and shall become nonforfeitable in the fiscal year following the year of the date of such event, and on the first day that such vesting would not cause the compensation to be deemed compensation with respect to the prior fiscal year.</w:t>
      </w:r>
    </w:p>
    <w:p>
      <w:pPr>
        <w:spacing w:after="0" w:line="332" w:lineRule="exact"/>
        <w:rPr>
          <w:rFonts w:ascii="Courier New" w:cs="Courier New" w:eastAsia="Courier New" w:hAnsi="Courier New"/>
          <w:sz w:val="14"/>
          <w:szCs w:val="14"/>
          <w:color w:val="auto"/>
        </w:rPr>
      </w:pPr>
    </w:p>
    <w:p>
      <w:pPr>
        <w:ind w:left="-797" w:right="3239" w:firstLine="797"/>
        <w:spacing w:after="0" w:line="237" w:lineRule="auto"/>
        <w:tabs>
          <w:tab w:leader="none" w:pos="25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Subsection 2.b.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Subsection 2.c. not then expended for Mr. Melrose's benefit shall be paid to Mr. Melrose over the remainder of the five year period. Mr. Melrose shall not have any right to receive payments pursuant to Subsection 2.c. or this Subsection 3.b. until and unless he shall have executed an agreement not to compete with the Company and delivered a fully executed copy thereof to the Company, and otherwise complied with the then applicable terms and conditions of the Plan, except as provided in Subsection 3.a.iii.</w:t>
      </w:r>
    </w:p>
    <w:p>
      <w:pPr>
        <w:spacing w:after="0" w:line="177" w:lineRule="exact"/>
        <w:rPr>
          <w:rFonts w:ascii="Courier New" w:cs="Courier New" w:eastAsia="Courier New" w:hAnsi="Courier New"/>
          <w:sz w:val="15"/>
          <w:szCs w:val="15"/>
          <w:color w:val="auto"/>
        </w:rPr>
      </w:pPr>
    </w:p>
    <w:p>
      <w:pPr>
        <w:ind w:left="-797" w:right="3499" w:firstLine="797"/>
        <w:spacing w:after="0" w:line="255" w:lineRule="auto"/>
        <w:tabs>
          <w:tab w:leader="none" w:pos="25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Subsection 3.a.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w:t>
      </w:r>
    </w:p>
    <w:p>
      <w:pPr>
        <w:spacing w:after="0" w:line="328"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42"/>
          </w:cols>
          <w:pgMar w:left="1017" w:top="617" w:right="1440" w:bottom="1440" w:gutter="0" w:footer="0" w:header="0"/>
        </w:sectPr>
      </w:pPr>
    </w:p>
    <w:bookmarkStart w:id="47" w:name="page48"/>
    <w:bookmarkEnd w:id="47"/>
    <w:p>
      <w:pPr>
        <w:ind w:right="3579"/>
        <w:spacing w:after="0" w:line="236" w:lineRule="auto"/>
        <w:rPr>
          <w:sz w:val="20"/>
          <w:szCs w:val="20"/>
          <w:color w:val="auto"/>
        </w:rPr>
      </w:pPr>
      <w:r>
        <w:rPr>
          <w:rFonts w:ascii="Courier New" w:cs="Courier New" w:eastAsia="Courier New" w:hAnsi="Courier New"/>
          <w:sz w:val="15"/>
          <w:szCs w:val="15"/>
          <w:color w:val="auto"/>
        </w:rPr>
        <w:t>reacquired by the Company. For purposes of this Agreement, "Cause" shall mean: (i) 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 (ii) the willful engaging by Mr. Melrose in illegal conduct or gross misconduct which is materially and demonstrably injurious to the Company.</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Subsection 3.c.(i) or (ii) above, and specifying the particulars thereof in detail.</w:t>
      </w:r>
    </w:p>
    <w:p>
      <w:pPr>
        <w:spacing w:after="0" w:line="325" w:lineRule="exact"/>
        <w:rPr>
          <w:sz w:val="20"/>
          <w:szCs w:val="20"/>
          <w:color w:val="auto"/>
        </w:rPr>
      </w:pPr>
    </w:p>
    <w:p>
      <w:pPr>
        <w:ind w:left="1580" w:hanging="783"/>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w:t>
      </w:r>
    </w:p>
    <w:p>
      <w:pPr>
        <w:spacing w:after="0" w:line="172" w:lineRule="exact"/>
        <w:rPr>
          <w:rFonts w:ascii="Courier New" w:cs="Courier New" w:eastAsia="Courier New" w:hAnsi="Courier New"/>
          <w:sz w:val="15"/>
          <w:szCs w:val="15"/>
          <w:color w:val="auto"/>
        </w:rPr>
      </w:pPr>
    </w:p>
    <w:p>
      <w:pPr>
        <w:ind w:right="3239" w:firstLine="1574"/>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ISSUANCE. The Company shall issue a stock certificate or 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74" w:lineRule="exact"/>
        <w:rPr>
          <w:sz w:val="20"/>
          <w:szCs w:val="20"/>
          <w:color w:val="auto"/>
        </w:rPr>
      </w:pPr>
    </w:p>
    <w:p>
      <w:pPr>
        <w:ind w:left="1580" w:right="3239"/>
        <w:spacing w:after="0" w:line="236" w:lineRule="auto"/>
        <w:rPr>
          <w:sz w:val="20"/>
          <w:szCs w:val="20"/>
          <w:color w:val="auto"/>
        </w:rPr>
      </w:pPr>
      <w:r>
        <w:rPr>
          <w:rFonts w:ascii="Courier New" w:cs="Courier New" w:eastAsia="Courier New" w:hAnsi="Courier New"/>
          <w:sz w:val="15"/>
          <w:szCs w:val="15"/>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177" w:lineRule="exact"/>
        <w:rPr>
          <w:sz w:val="20"/>
          <w:szCs w:val="20"/>
          <w:color w:val="auto"/>
        </w:rPr>
      </w:pPr>
    </w:p>
    <w:p>
      <w:pPr>
        <w:jc w:val="both"/>
        <w:ind w:right="3579" w:firstLine="1584"/>
        <w:spacing w:after="0" w:line="254" w:lineRule="auto"/>
        <w:tabs>
          <w:tab w:leader="none" w:pos="192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w:t>
      </w:r>
    </w:p>
    <w:p>
      <w:pPr>
        <w:spacing w:after="0" w:line="1"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Melrose shall have delivered a stock power, endorsed in blank, with respect to any shares of the Restricted Stock. Upon the achievement of the Performance Goals with respect to any shares of Restricted Stock, as certified to by the Committee, the Company shall cause the certificate representing such shares of Restricted Stock to be removed from escrow and delivered to the Company for reissuance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48" w:name="page49"/>
    <w:bookmarkEnd w:id="48"/>
    <w:p>
      <w:pPr>
        <w:ind w:right="3239"/>
        <w:spacing w:after="0" w:line="235" w:lineRule="auto"/>
        <w:rPr>
          <w:sz w:val="20"/>
          <w:szCs w:val="20"/>
          <w:color w:val="auto"/>
        </w:rPr>
      </w:pPr>
      <w:r>
        <w:rPr>
          <w:rFonts w:ascii="Courier New" w:cs="Courier New" w:eastAsia="Courier New" w:hAnsi="Courier New"/>
          <w:sz w:val="15"/>
          <w:szCs w:val="15"/>
          <w:color w:val="auto"/>
        </w:rPr>
        <w:t>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175" w:lineRule="exact"/>
        <w:rPr>
          <w:sz w:val="20"/>
          <w:szCs w:val="20"/>
          <w:color w:val="auto"/>
        </w:rPr>
      </w:pPr>
    </w:p>
    <w:p>
      <w:pPr>
        <w:ind w:right="3239" w:firstLine="1584"/>
        <w:spacing w:after="0" w:line="255" w:lineRule="auto"/>
        <w:tabs>
          <w:tab w:leader="none" w:pos="2012"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Subsection 3.a.i.(A)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Subsection 3.d.i. hereof. The number of shares of Common Stock to be released shall be the same number as to which the Performance Goals have been achieved in accordance with Subsection 3.a.i.(A).</w:t>
      </w:r>
    </w:p>
    <w:p>
      <w:pPr>
        <w:spacing w:after="0" w:line="159" w:lineRule="exact"/>
        <w:rPr>
          <w:rFonts w:ascii="Courier New" w:cs="Courier New" w:eastAsia="Courier New" w:hAnsi="Courier New"/>
          <w:sz w:val="14"/>
          <w:szCs w:val="14"/>
          <w:color w:val="auto"/>
        </w:rPr>
      </w:pPr>
    </w:p>
    <w:p>
      <w:pPr>
        <w:ind w:left="1580" w:hanging="783"/>
        <w:spacing w:after="0"/>
        <w:tabs>
          <w:tab w:leader="none" w:pos="1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STOCKHOLDER.</w:t>
      </w:r>
    </w:p>
    <w:p>
      <w:pPr>
        <w:spacing w:after="0" w:line="172" w:lineRule="exact"/>
        <w:rPr>
          <w:rFonts w:ascii="Courier New" w:cs="Courier New" w:eastAsia="Courier New" w:hAnsi="Courier New"/>
          <w:sz w:val="15"/>
          <w:szCs w:val="15"/>
          <w:color w:val="auto"/>
        </w:rPr>
      </w:pPr>
    </w:p>
    <w:p>
      <w:pPr>
        <w:ind w:right="3319" w:firstLine="1584"/>
        <w:spacing w:after="0" w:line="236" w:lineRule="auto"/>
        <w:tabs>
          <w:tab w:leader="none" w:pos="183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VOTE AND DIVIDENDS. Except as provided in Section 2 and this Section 3, Mr. Melrose shall have, with respect to the shares of Restricted Stock, all of the rights of a stockholder of the Company, including the right to vote the shares and the right to receive cash dividends with respect to the shares.</w:t>
      </w:r>
    </w:p>
    <w:p>
      <w:pPr>
        <w:spacing w:after="0" w:line="174" w:lineRule="exact"/>
        <w:rPr>
          <w:sz w:val="20"/>
          <w:szCs w:val="20"/>
          <w:color w:val="auto"/>
        </w:rPr>
      </w:pPr>
    </w:p>
    <w:p>
      <w:pPr>
        <w:ind w:right="3319" w:firstLine="1584"/>
        <w:spacing w:after="0" w:line="255" w:lineRule="auto"/>
        <w:tabs>
          <w:tab w:leader="none" w:pos="1924"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5" w:lineRule="exact"/>
        <w:rPr>
          <w:rFonts w:ascii="Courier New" w:cs="Courier New" w:eastAsia="Courier New" w:hAnsi="Courier New"/>
          <w:sz w:val="14"/>
          <w:szCs w:val="14"/>
          <w:color w:val="auto"/>
        </w:rPr>
      </w:pPr>
    </w:p>
    <w:p>
      <w:pPr>
        <w:ind w:right="3499" w:firstLine="797"/>
        <w:spacing w:after="0" w:line="235" w:lineRule="auto"/>
        <w:tabs>
          <w:tab w:leader="none" w:pos="10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of a Change of Control of the Company as hereinafter defined, whether or not approved by the Board of Directors, all shares of Restricted Stock shall immediately fully vest and be freely transferable.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i. 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49" w:name="page50"/>
    <w:bookmarkEnd w:id="49"/>
    <w:p>
      <w:pPr>
        <w:jc w:val="both"/>
        <w:ind w:right="3239"/>
        <w:spacing w:after="0" w:line="235" w:lineRule="auto"/>
        <w:rPr>
          <w:sz w:val="20"/>
          <w:szCs w:val="20"/>
          <w:color w:val="auto"/>
        </w:rPr>
      </w:pPr>
      <w:r>
        <w:rPr>
          <w:rFonts w:ascii="Courier New" w:cs="Courier New" w:eastAsia="Courier New" w:hAnsi="Courier New"/>
          <w:sz w:val="15"/>
          <w:szCs w:val="15"/>
          <w:color w:val="auto"/>
        </w:rPr>
        <w:t>controlled by the Company, or (D) any acquisition by any corporation pursuant to a transaction that complies with clauses (A), (B) and (C) of subsection iii. of this Subsection 3.f.; or</w:t>
      </w:r>
    </w:p>
    <w:p>
      <w:pPr>
        <w:spacing w:after="0" w:line="174" w:lineRule="exact"/>
        <w:rPr>
          <w:sz w:val="20"/>
          <w:szCs w:val="20"/>
          <w:color w:val="auto"/>
        </w:rPr>
      </w:pPr>
    </w:p>
    <w:p>
      <w:pPr>
        <w:ind w:right="3239" w:firstLine="1584"/>
        <w:spacing w:after="0" w:line="237" w:lineRule="auto"/>
        <w:tabs>
          <w:tab w:leader="none" w:pos="19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right="3239" w:firstLine="1584"/>
        <w:spacing w:after="0" w:line="254" w:lineRule="auto"/>
        <w:tabs>
          <w:tab w:leader="none" w:pos="2012"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6" w:lineRule="exact"/>
        <w:rPr>
          <w:rFonts w:ascii="Courier New" w:cs="Courier New" w:eastAsia="Courier New" w:hAnsi="Courier New"/>
          <w:sz w:val="14"/>
          <w:szCs w:val="14"/>
          <w:color w:val="auto"/>
        </w:rPr>
      </w:pPr>
    </w:p>
    <w:p>
      <w:pPr>
        <w:ind w:right="3319" w:firstLine="1584"/>
        <w:spacing w:after="0" w:line="234" w:lineRule="auto"/>
        <w:tabs>
          <w:tab w:leader="none" w:pos="19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right="3499" w:firstLine="10"/>
        <w:spacing w:after="0" w:line="235" w:lineRule="auto"/>
        <w:tabs>
          <w:tab w:leader="none" w:pos="2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any federal, state or local taxes of any kind, including FICA and related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50" w:name="page51"/>
    <w:bookmarkEnd w:id="50"/>
    <w:p>
      <w:pPr>
        <w:ind w:right="3239"/>
        <w:spacing w:after="0" w:line="236" w:lineRule="auto"/>
        <w:rPr>
          <w:sz w:val="20"/>
          <w:szCs w:val="20"/>
          <w:color w:val="auto"/>
        </w:rPr>
      </w:pPr>
      <w:r>
        <w:rPr>
          <w:rFonts w:ascii="Courier New" w:cs="Courier New" w:eastAsia="Courier New" w:hAnsi="Courier New"/>
          <w:sz w:val="15"/>
          <w:szCs w:val="15"/>
          <w:color w:val="auto"/>
        </w:rPr>
        <w:t>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69" w:lineRule="exact"/>
        <w:rPr>
          <w:sz w:val="20"/>
          <w:szCs w:val="20"/>
          <w:color w:val="auto"/>
        </w:rPr>
      </w:pPr>
    </w:p>
    <w:p>
      <w:pPr>
        <w:ind w:left="280" w:hanging="270"/>
        <w:spacing w:after="0"/>
        <w:tabs>
          <w:tab w:leader="none" w:pos="2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Mr. Melrose shall have the right to require that the</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5" w:lineRule="exact"/>
        <w:rPr>
          <w:rFonts w:ascii="Courier New" w:cs="Courier New" w:eastAsia="Courier New" w:hAnsi="Courier New"/>
          <w:sz w:val="15"/>
          <w:szCs w:val="15"/>
          <w:color w:val="auto"/>
        </w:rPr>
      </w:pPr>
    </w:p>
    <w:p>
      <w:pPr>
        <w:ind w:right="3239" w:firstLine="10"/>
        <w:spacing w:after="0" w:line="255" w:lineRule="auto"/>
        <w:tabs>
          <w:tab w:leader="none" w:pos="26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158"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Nothing in the Plan or this Agreement shall interfere with or</w:t>
      </w:r>
    </w:p>
    <w:p>
      <w:pPr>
        <w:spacing w:after="0" w:line="4" w:lineRule="exact"/>
        <w:rPr>
          <w:rFonts w:ascii="Courier New" w:cs="Courier New" w:eastAsia="Courier New" w:hAnsi="Courier New"/>
          <w:sz w:val="15"/>
          <w:szCs w:val="15"/>
          <w:color w:val="auto"/>
        </w:rPr>
      </w:pPr>
    </w:p>
    <w:p>
      <w:pPr>
        <w:jc w:val="both"/>
        <w:ind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limit in any way the right of the Company to terminate Mr. Melrose's employment at any time, with the Company or any subsidiary of the Company, or shall confer upon Mr. Melrose any right to continue in the employ of the Company.</w:t>
      </w:r>
    </w:p>
    <w:p>
      <w:pPr>
        <w:spacing w:after="0" w:line="161" w:lineRule="exact"/>
        <w:rPr>
          <w:rFonts w:ascii="Courier New" w:cs="Courier New" w:eastAsia="Courier New" w:hAnsi="Courier New"/>
          <w:sz w:val="15"/>
          <w:szCs w:val="15"/>
          <w:color w:val="auto"/>
        </w:rPr>
      </w:pPr>
    </w:p>
    <w:p>
      <w:pPr>
        <w:ind w:right="3239" w:firstLine="10"/>
        <w:spacing w:after="0" w:line="236" w:lineRule="auto"/>
        <w:tabs>
          <w:tab w:leader="none" w:pos="26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w:t>
      </w:r>
    </w:p>
    <w:p>
      <w:pPr>
        <w:spacing w:after="0" w:line="1"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Melrose as either may deem desirable.</w:t>
      </w:r>
    </w:p>
    <w:p>
      <w:pPr>
        <w:spacing w:after="0" w:line="173" w:lineRule="exact"/>
        <w:rPr>
          <w:rFonts w:ascii="Courier New" w:cs="Courier New" w:eastAsia="Courier New" w:hAnsi="Courier New"/>
          <w:sz w:val="15"/>
          <w:szCs w:val="15"/>
          <w:color w:val="auto"/>
        </w:rPr>
      </w:pPr>
    </w:p>
    <w:p>
      <w:pPr>
        <w:ind w:right="3579" w:firstLine="10"/>
        <w:spacing w:after="0" w:line="235" w:lineRule="auto"/>
        <w:tabs>
          <w:tab w:leader="none" w:pos="26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FROM PENSION, PROFIT SHARING AND OTHER BENEFIT CALCULATIONS. By acceptance of the award made by this Agreement, Mr. Melrose agrees that the award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51" w:name="page52"/>
    <w:bookmarkEnd w:id="51"/>
    <w:p>
      <w:pPr>
        <w:ind w:right="3239"/>
        <w:spacing w:after="0" w:line="255" w:lineRule="auto"/>
        <w:rPr>
          <w:sz w:val="20"/>
          <w:szCs w:val="20"/>
          <w:color w:val="auto"/>
        </w:rPr>
      </w:pPr>
      <w:r>
        <w:rPr>
          <w:rFonts w:ascii="Courier New" w:cs="Courier New" w:eastAsia="Courier New" w:hAnsi="Courier New"/>
          <w:sz w:val="14"/>
          <w:szCs w:val="14"/>
          <w:color w:val="auto"/>
        </w:rPr>
        <w:t>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66" w:lineRule="exact"/>
        <w:rPr>
          <w:sz w:val="20"/>
          <w:szCs w:val="20"/>
          <w:color w:val="auto"/>
        </w:rPr>
      </w:pPr>
    </w:p>
    <w:p>
      <w:pPr>
        <w:ind w:right="3239" w:firstLine="10"/>
        <w:spacing w:after="0" w:line="255"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64"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awards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175" w:lineRule="exact"/>
        <w:rPr>
          <w:rFonts w:ascii="Courier New" w:cs="Courier New" w:eastAsia="Courier New" w:hAnsi="Courier New"/>
          <w:sz w:val="15"/>
          <w:szCs w:val="15"/>
          <w:color w:val="auto"/>
        </w:rPr>
      </w:pPr>
    </w:p>
    <w:p>
      <w:pPr>
        <w:ind w:right="3319" w:firstLine="10"/>
        <w:spacing w:after="0" w:line="235"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Except as otherwise provided in the Plan or this Agreement, the Plan and this Agreement shall be binding upon and inure to the benefit of the Company, its successors and assigns and Mr. Melrose, his beneficiaries, heirs, executors, administrators and legal representatives.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52" w:name="page53"/>
    <w:bookmarkEnd w:id="52"/>
    <w:p>
      <w:pPr>
        <w:ind w:right="3499" w:firstLine="787"/>
        <w:spacing w:after="0" w:line="234" w:lineRule="auto"/>
        <w:rPr>
          <w:sz w:val="20"/>
          <w:szCs w:val="20"/>
          <w:color w:val="auto"/>
        </w:rPr>
      </w:pPr>
      <w:r>
        <w:rPr>
          <w:rFonts w:ascii="Courier New" w:cs="Courier New" w:eastAsia="Courier New" w:hAnsi="Courier New"/>
          <w:sz w:val="15"/>
          <w:szCs w:val="15"/>
          <w:color w:val="auto"/>
        </w:rPr>
        <w:t>IN WITNESS WHEREOF, the Agreement has been executed and delivered by the Company as of the date first above set forth.</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30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Title: Vice President &amp; Secretary</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I hereby agree to the terms and conditions of this Restricted Stock and Performance Unit Award grant made to me as of July 31, 1995, as amended July 31, 1997 and as amended and restated July 31, 1998 and as amended 5/13/99.</w:t>
      </w:r>
    </w:p>
    <w:p>
      <w:pPr>
        <w:spacing w:after="0" w:line="15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KENDRICK B. MELROSE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9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STATEMENTS OF EARNINGS AND CONDENSED CONSOLIDATED BALANCE SHEETS AND IS QUALIFIED IN ITS ENTIRETY BY REFERENCE TO SUCH FINANCIAL STATEMENTS.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ind w:left="2280"/>
        <w:spacing w:after="0" w:line="237" w:lineRule="auto"/>
        <w:rPr>
          <w:sz w:val="20"/>
          <w:szCs w:val="20"/>
          <w:color w:val="auto"/>
        </w:rPr>
      </w:pPr>
      <w:r>
        <w:rPr>
          <w:rFonts w:ascii="Courier New" w:cs="Courier New" w:eastAsia="Courier New" w:hAnsi="Courier New"/>
          <w:sz w:val="15"/>
          <w:szCs w:val="15"/>
          <w:color w:val="auto"/>
        </w:rPr>
        <w:t>OCT-31-2000</w:t>
      </w:r>
    </w:p>
    <w:p>
      <w:pPr>
        <w:ind w:left="2540"/>
        <w:spacing w:after="0" w:line="238" w:lineRule="auto"/>
        <w:rPr>
          <w:sz w:val="20"/>
          <w:szCs w:val="20"/>
          <w:color w:val="auto"/>
        </w:rPr>
      </w:pPr>
      <w:r>
        <w:rPr>
          <w:rFonts w:ascii="Courier New" w:cs="Courier New" w:eastAsia="Courier New" w:hAnsi="Courier New"/>
          <w:sz w:val="15"/>
          <w:szCs w:val="15"/>
          <w:color w:val="auto"/>
        </w:rPr>
        <w:t>NOV-01-1999</w:t>
      </w:r>
    </w:p>
    <w:p>
      <w:pPr>
        <w:ind w:left="2720"/>
        <w:spacing w:after="0" w:line="237" w:lineRule="auto"/>
        <w:rPr>
          <w:sz w:val="20"/>
          <w:szCs w:val="20"/>
          <w:color w:val="auto"/>
        </w:rPr>
      </w:pPr>
      <w:r>
        <w:rPr>
          <w:rFonts w:ascii="Courier New" w:cs="Courier New" w:eastAsia="Courier New" w:hAnsi="Courier New"/>
          <w:sz w:val="15"/>
          <w:szCs w:val="15"/>
          <w:color w:val="auto"/>
        </w:rPr>
        <w:t>APR-28-2000</w:t>
      </w:r>
    </w:p>
    <w:p>
      <w:pPr>
        <w:ind w:left="3940"/>
        <w:spacing w:after="0" w:line="238" w:lineRule="auto"/>
        <w:rPr>
          <w:sz w:val="20"/>
          <w:szCs w:val="20"/>
          <w:color w:val="auto"/>
        </w:rPr>
      </w:pPr>
      <w:r>
        <w:rPr>
          <w:rFonts w:ascii="Courier New" w:cs="Courier New" w:eastAsia="Courier New" w:hAnsi="Courier New"/>
          <w:sz w:val="15"/>
          <w:szCs w:val="15"/>
          <w:color w:val="auto"/>
        </w:rPr>
        <w:t>902</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456,665</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241,924</w:t>
      </w:r>
    </w:p>
    <w:p>
      <w:pPr>
        <w:ind w:left="2720"/>
        <w:spacing w:after="0" w:line="238" w:lineRule="auto"/>
        <w:rPr>
          <w:sz w:val="20"/>
          <w:szCs w:val="20"/>
          <w:color w:val="auto"/>
        </w:rPr>
      </w:pPr>
      <w:r>
        <w:rPr>
          <w:rFonts w:ascii="Courier New" w:cs="Courier New" w:eastAsia="Courier New" w:hAnsi="Courier New"/>
          <w:sz w:val="15"/>
          <w:szCs w:val="15"/>
          <w:color w:val="auto"/>
        </w:rPr>
        <w:t>749,293</w:t>
      </w:r>
    </w:p>
    <w:p>
      <w:pPr>
        <w:ind w:left="3600"/>
        <w:spacing w:after="0" w:line="237" w:lineRule="auto"/>
        <w:rPr>
          <w:sz w:val="20"/>
          <w:szCs w:val="20"/>
          <w:color w:val="auto"/>
        </w:rPr>
      </w:pPr>
      <w:r>
        <w:rPr>
          <w:rFonts w:ascii="Courier New" w:cs="Courier New" w:eastAsia="Courier New" w:hAnsi="Courier New"/>
          <w:sz w:val="15"/>
          <w:szCs w:val="15"/>
          <w:color w:val="auto"/>
        </w:rPr>
        <w:t>365,219</w:t>
      </w:r>
    </w:p>
    <w:p>
      <w:pPr>
        <w:ind w:left="2900"/>
        <w:spacing w:after="0" w:line="238" w:lineRule="auto"/>
        <w:rPr>
          <w:sz w:val="20"/>
          <w:szCs w:val="20"/>
          <w:color w:val="auto"/>
        </w:rPr>
      </w:pPr>
      <w:r>
        <w:rPr>
          <w:rFonts w:ascii="Courier New" w:cs="Courier New" w:eastAsia="Courier New" w:hAnsi="Courier New"/>
          <w:sz w:val="15"/>
          <w:szCs w:val="15"/>
          <w:color w:val="auto"/>
        </w:rPr>
        <w:t>237,069</w:t>
      </w:r>
    </w:p>
    <w:p>
      <w:pPr>
        <w:ind w:left="2720"/>
        <w:spacing w:after="0" w:line="237" w:lineRule="auto"/>
        <w:rPr>
          <w:sz w:val="20"/>
          <w:szCs w:val="20"/>
          <w:color w:val="auto"/>
        </w:rPr>
      </w:pPr>
      <w:r>
        <w:rPr>
          <w:rFonts w:ascii="Courier New" w:cs="Courier New" w:eastAsia="Courier New" w:hAnsi="Courier New"/>
          <w:sz w:val="15"/>
          <w:szCs w:val="15"/>
          <w:color w:val="auto"/>
        </w:rPr>
        <w:t>1,016,031</w:t>
      </w:r>
    </w:p>
    <w:p>
      <w:pPr>
        <w:ind w:left="2280"/>
        <w:spacing w:after="0" w:line="238" w:lineRule="auto"/>
        <w:rPr>
          <w:sz w:val="20"/>
          <w:szCs w:val="20"/>
          <w:color w:val="auto"/>
        </w:rPr>
      </w:pPr>
      <w:r>
        <w:rPr>
          <w:rFonts w:ascii="Courier New" w:cs="Courier New" w:eastAsia="Courier New" w:hAnsi="Courier New"/>
          <w:sz w:val="15"/>
          <w:szCs w:val="15"/>
          <w:color w:val="auto"/>
        </w:rPr>
        <w:t>507,223</w:t>
      </w:r>
    </w:p>
    <w:p>
      <w:pPr>
        <w:ind w:left="3500"/>
        <w:spacing w:after="0" w:line="237" w:lineRule="auto"/>
        <w:rPr>
          <w:sz w:val="20"/>
          <w:szCs w:val="20"/>
          <w:color w:val="auto"/>
        </w:rPr>
      </w:pPr>
      <w:r>
        <w:rPr>
          <w:rFonts w:ascii="Courier New" w:cs="Courier New" w:eastAsia="Courier New" w:hAnsi="Courier New"/>
          <w:sz w:val="15"/>
          <w:szCs w:val="15"/>
          <w:color w:val="auto"/>
        </w:rPr>
        <w:t>196,074</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12,643</w:t>
      </w:r>
    </w:p>
    <w:p>
      <w:pPr>
        <w:ind w:left="3240"/>
        <w:spacing w:after="0" w:line="238" w:lineRule="auto"/>
        <w:rPr>
          <w:sz w:val="20"/>
          <w:szCs w:val="20"/>
          <w:color w:val="auto"/>
        </w:rPr>
      </w:pPr>
      <w:r>
        <w:rPr>
          <w:rFonts w:ascii="Courier New" w:cs="Courier New" w:eastAsia="Courier New" w:hAnsi="Courier New"/>
          <w:sz w:val="15"/>
          <w:szCs w:val="15"/>
          <w:color w:val="auto"/>
        </w:rPr>
        <w:t>293,987</w:t>
      </w:r>
    </w:p>
    <w:p>
      <w:pPr>
        <w:ind w:left="1500"/>
        <w:spacing w:after="0" w:line="237" w:lineRule="auto"/>
        <w:rPr>
          <w:sz w:val="20"/>
          <w:szCs w:val="20"/>
          <w:color w:val="auto"/>
        </w:rPr>
      </w:pPr>
      <w:r>
        <w:rPr>
          <w:rFonts w:ascii="Courier New" w:cs="Courier New" w:eastAsia="Courier New" w:hAnsi="Courier New"/>
          <w:sz w:val="15"/>
          <w:szCs w:val="15"/>
          <w:color w:val="auto"/>
        </w:rPr>
        <w:t>1,016,031</w:t>
      </w:r>
    </w:p>
    <w:p>
      <w:pPr>
        <w:ind w:left="3500"/>
        <w:spacing w:after="0" w:line="238" w:lineRule="auto"/>
        <w:rPr>
          <w:sz w:val="20"/>
          <w:szCs w:val="20"/>
          <w:color w:val="auto"/>
        </w:rPr>
      </w:pPr>
      <w:r>
        <w:rPr>
          <w:rFonts w:ascii="Courier New" w:cs="Courier New" w:eastAsia="Courier New" w:hAnsi="Courier New"/>
          <w:sz w:val="15"/>
          <w:szCs w:val="15"/>
          <w:color w:val="auto"/>
        </w:rPr>
        <w:t>722,038</w:t>
      </w:r>
    </w:p>
    <w:p>
      <w:pPr>
        <w:ind w:left="2720"/>
        <w:spacing w:after="0" w:line="237" w:lineRule="auto"/>
        <w:rPr>
          <w:sz w:val="20"/>
          <w:szCs w:val="20"/>
          <w:color w:val="auto"/>
        </w:rPr>
      </w:pPr>
      <w:r>
        <w:rPr>
          <w:rFonts w:ascii="Courier New" w:cs="Courier New" w:eastAsia="Courier New" w:hAnsi="Courier New"/>
          <w:sz w:val="15"/>
          <w:szCs w:val="15"/>
          <w:color w:val="auto"/>
        </w:rPr>
        <w:t>722,038</w:t>
      </w:r>
    </w:p>
    <w:p>
      <w:pPr>
        <w:ind w:left="3680"/>
        <w:spacing w:after="0" w:line="238" w:lineRule="auto"/>
        <w:rPr>
          <w:sz w:val="20"/>
          <w:szCs w:val="20"/>
          <w:color w:val="auto"/>
        </w:rPr>
      </w:pPr>
      <w:r>
        <w:rPr>
          <w:rFonts w:ascii="Courier New" w:cs="Courier New" w:eastAsia="Courier New" w:hAnsi="Courier New"/>
          <w:sz w:val="15"/>
          <w:szCs w:val="15"/>
          <w:color w:val="auto"/>
        </w:rPr>
        <w:t>460,150</w:t>
      </w:r>
    </w:p>
    <w:p>
      <w:pPr>
        <w:ind w:left="2980"/>
        <w:spacing w:after="0" w:line="238" w:lineRule="auto"/>
        <w:rPr>
          <w:sz w:val="20"/>
          <w:szCs w:val="20"/>
          <w:color w:val="auto"/>
        </w:rPr>
      </w:pPr>
      <w:r>
        <w:rPr>
          <w:rFonts w:ascii="Courier New" w:cs="Courier New" w:eastAsia="Courier New" w:hAnsi="Courier New"/>
          <w:sz w:val="15"/>
          <w:szCs w:val="15"/>
          <w:color w:val="auto"/>
        </w:rPr>
        <w:t>202,718</w:t>
      </w:r>
    </w:p>
    <w:p>
      <w:pPr>
        <w:ind w:left="2900"/>
        <w:spacing w:after="0" w:line="237" w:lineRule="auto"/>
        <w:rPr>
          <w:sz w:val="20"/>
          <w:szCs w:val="20"/>
          <w:color w:val="auto"/>
        </w:rPr>
      </w:pPr>
      <w:r>
        <w:rPr>
          <w:rFonts w:ascii="Courier New" w:cs="Courier New" w:eastAsia="Courier New" w:hAnsi="Courier New"/>
          <w:sz w:val="15"/>
          <w:szCs w:val="15"/>
          <w:color w:val="auto"/>
        </w:rPr>
        <w:t>1,581</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7" w:lineRule="auto"/>
        <w:rPr>
          <w:sz w:val="20"/>
          <w:szCs w:val="20"/>
          <w:color w:val="auto"/>
        </w:rPr>
      </w:pPr>
      <w:r>
        <w:rPr>
          <w:rFonts w:ascii="Courier New" w:cs="Courier New" w:eastAsia="Courier New" w:hAnsi="Courier New"/>
          <w:sz w:val="15"/>
          <w:szCs w:val="15"/>
          <w:color w:val="auto"/>
        </w:rPr>
        <w:t>13,409</w:t>
      </w:r>
    </w:p>
    <w:p>
      <w:pPr>
        <w:ind w:left="2900"/>
        <w:spacing w:after="0" w:line="238" w:lineRule="auto"/>
        <w:rPr>
          <w:sz w:val="20"/>
          <w:szCs w:val="20"/>
          <w:color w:val="auto"/>
        </w:rPr>
      </w:pPr>
      <w:r>
        <w:rPr>
          <w:rFonts w:ascii="Courier New" w:cs="Courier New" w:eastAsia="Courier New" w:hAnsi="Courier New"/>
          <w:sz w:val="15"/>
          <w:szCs w:val="15"/>
          <w:color w:val="auto"/>
        </w:rPr>
        <w:t>44,180</w:t>
      </w:r>
    </w:p>
    <w:p>
      <w:pPr>
        <w:ind w:left="3160"/>
        <w:spacing w:after="0" w:line="237" w:lineRule="auto"/>
        <w:rPr>
          <w:sz w:val="20"/>
          <w:szCs w:val="20"/>
          <w:color w:val="auto"/>
        </w:rPr>
      </w:pPr>
      <w:r>
        <w:rPr>
          <w:rFonts w:ascii="Courier New" w:cs="Courier New" w:eastAsia="Courier New" w:hAnsi="Courier New"/>
          <w:sz w:val="15"/>
          <w:szCs w:val="15"/>
          <w:color w:val="auto"/>
        </w:rPr>
        <w:t>16,347</w:t>
      </w:r>
    </w:p>
    <w:p>
      <w:pPr>
        <w:ind w:left="2540"/>
        <w:spacing w:after="0" w:line="238" w:lineRule="auto"/>
        <w:rPr>
          <w:sz w:val="20"/>
          <w:szCs w:val="20"/>
          <w:color w:val="auto"/>
        </w:rPr>
      </w:pPr>
      <w:r>
        <w:rPr>
          <w:rFonts w:ascii="Courier New" w:cs="Courier New" w:eastAsia="Courier New" w:hAnsi="Courier New"/>
          <w:sz w:val="15"/>
          <w:szCs w:val="15"/>
          <w:color w:val="auto"/>
        </w:rPr>
        <w:t>27,833</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386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27,833</w:t>
      </w:r>
    </w:p>
    <w:p>
      <w:pPr>
        <w:ind w:left="3420"/>
        <w:spacing w:after="0" w:line="238" w:lineRule="auto"/>
        <w:rPr>
          <w:sz w:val="20"/>
          <w:szCs w:val="20"/>
          <w:color w:val="auto"/>
        </w:rPr>
      </w:pPr>
      <w:r>
        <w:rPr>
          <w:rFonts w:ascii="Courier New" w:cs="Courier New" w:eastAsia="Courier New" w:hAnsi="Courier New"/>
          <w:sz w:val="15"/>
          <w:szCs w:val="15"/>
          <w:color w:val="auto"/>
        </w:rPr>
        <w:t>2.17</w:t>
      </w:r>
    </w:p>
    <w:p>
      <w:pPr>
        <w:ind w:left="3240"/>
        <w:spacing w:after="0" w:line="237" w:lineRule="auto"/>
        <w:rPr>
          <w:sz w:val="20"/>
          <w:szCs w:val="20"/>
          <w:color w:val="auto"/>
        </w:rPr>
      </w:pPr>
      <w:r>
        <w:rPr>
          <w:rFonts w:ascii="Courier New" w:cs="Courier New" w:eastAsia="Courier New" w:hAnsi="Courier New"/>
          <w:sz w:val="15"/>
          <w:szCs w:val="15"/>
          <w:color w:val="auto"/>
        </w:rPr>
        <w:t>2.13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long-term debt</w:t>
      </w:r>
    </w:p>
    <w:p>
      <w:pPr>
        <w:spacing w:after="0" w:line="237" w:lineRule="auto"/>
        <w:rPr>
          <w:sz w:val="20"/>
          <w:szCs w:val="20"/>
          <w:color w:val="auto"/>
        </w:rPr>
      </w:pPr>
      <w:r>
        <w:rPr>
          <w:rFonts w:ascii="Courier New" w:cs="Courier New" w:eastAsia="Courier New" w:hAnsi="Courier New"/>
          <w:sz w:val="15"/>
          <w:szCs w:val="15"/>
          <w:color w:val="auto"/>
        </w:rPr>
        <w:t>Does not include additional paid-in-capital</w:t>
      </w:r>
    </w:p>
    <w:p>
      <w:pPr>
        <w:spacing w:after="0" w:line="238" w:lineRule="auto"/>
        <w:rPr>
          <w:sz w:val="20"/>
          <w:szCs w:val="20"/>
          <w:color w:val="auto"/>
        </w:rPr>
      </w:pPr>
      <w:r>
        <w:rPr>
          <w:rFonts w:ascii="Courier New" w:cs="Courier New" w:eastAsia="Courier New" w:hAnsi="Courier New"/>
          <w:sz w:val="15"/>
          <w:szCs w:val="15"/>
          <w:color w:val="auto"/>
        </w:rPr>
        <w:t>Other expense, net</w:t>
      </w:r>
    </w:p>
    <w:p>
      <w:pPr>
        <w:spacing w:after="0" w:line="237" w:lineRule="auto"/>
        <w:rPr>
          <w:sz w:val="20"/>
          <w:szCs w:val="20"/>
          <w:color w:val="auto"/>
        </w:rPr>
      </w:pPr>
      <w:r>
        <w:rPr>
          <w:rFonts w:ascii="Courier New" w:cs="Courier New" w:eastAsia="Courier New" w:hAnsi="Courier New"/>
          <w:sz w:val="15"/>
          <w:szCs w:val="15"/>
          <w:color w:val="auto"/>
        </w:rPr>
        <w:t>Not included in quarterly financial information</w:t>
      </w:r>
    </w:p>
    <w:p>
      <w:pPr>
        <w:spacing w:after="0" w:line="238" w:lineRule="auto"/>
        <w:rPr>
          <w:sz w:val="20"/>
          <w:szCs w:val="20"/>
          <w:color w:val="auto"/>
        </w:rPr>
      </w:pPr>
      <w:r>
        <w:rPr>
          <w:rFonts w:ascii="Courier New" w:cs="Courier New" w:eastAsia="Courier New" w:hAnsi="Courier New"/>
          <w:sz w:val="15"/>
          <w:szCs w:val="15"/>
          <w:color w:val="auto"/>
        </w:rPr>
        <w:t>Total net receivables</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lowerLetter"/>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1."/>
      <w:numFmt w:val="decimal"/>
      <w:start w:val="4"/>
    </w:lvl>
  </w:abstractNum>
  <w:abstractNum w:abstractNumId="5">
    <w:nsid w:val="614FD4A1"/>
    <w:multiLevelType w:val="hybridMultilevel"/>
    <w:lvl w:ilvl="0">
      <w:lvlJc w:val="left"/>
      <w:lvlText w:val="%1."/>
      <w:numFmt w:val="decimal"/>
      <w:start w:val="5"/>
    </w:lvl>
  </w:abstractNum>
  <w:abstractNum w:abstractNumId="6">
    <w:nsid w:val="419AC241"/>
    <w:multiLevelType w:val="hybridMultilevel"/>
    <w:lvl w:ilvl="0">
      <w:lvlJc w:val="left"/>
      <w:lvlText w:val="%1."/>
      <w:numFmt w:val="decimal"/>
      <w:start w:val="4"/>
    </w:lvl>
  </w:abstractNum>
  <w:abstractNum w:abstractNumId="7">
    <w:nsid w:val="5577F8E1"/>
    <w:multiLevelType w:val="hybridMultilevel"/>
    <w:lvl w:ilvl="0">
      <w:lvlJc w:val="left"/>
      <w:lvlText w:val="(%1)"/>
      <w:numFmt w:val="lowerLetter"/>
      <w:start w:val="2"/>
    </w:lvl>
  </w:abstractNum>
  <w:abstractNum w:abstractNumId="8">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9">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0">
    <w:nsid w:val="3804823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
    <w:nsid w:val="77465F0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decimal"/>
      <w:start w:val="1"/>
    </w:lvl>
    <w:lvl w:ilvl="1">
      <w:lvlJc w:val="left"/>
      <w:lvlText w:val="%2."/>
      <w:numFmt w:val="lowerLetter"/>
      <w:start w:val="4"/>
    </w:lvl>
  </w:abstractNum>
  <w:abstractNum w:abstractNumId="14">
    <w:nsid w:val="2463B9EA"/>
    <w:multiLevelType w:val="hybridMultilevel"/>
    <w:lvl w:ilvl="0">
      <w:lvlJc w:val="left"/>
      <w:lvlText w:val="%1."/>
      <w:numFmt w:val="decimal"/>
      <w:start w:val="7"/>
    </w:lvl>
    <w:lvl w:ilvl="1">
      <w:lvlJc w:val="left"/>
      <w:lvlText w:val="%2"/>
      <w:numFmt w:val="lowerLetter"/>
      <w:start w:val="1"/>
    </w:lvl>
  </w:abstractNum>
  <w:abstractNum w:abstractNumId="15">
    <w:nsid w:val="5E884ADC"/>
    <w:multiLevelType w:val="hybridMultilevel"/>
    <w:lvl w:ilvl="0">
      <w:lvlJc w:val="left"/>
      <w:lvlText w:val="%1."/>
      <w:numFmt w:val="decimal"/>
      <w:start w:val="1"/>
    </w:lvl>
    <w:lvl w:ilvl="1">
      <w:lvlJc w:val="left"/>
      <w:lvlText w:val="%2."/>
      <w:numFmt w:val="lowerLetter"/>
      <w:start w:val="1"/>
    </w:lvl>
  </w:abstractNum>
  <w:abstractNum w:abstractNumId="16">
    <w:nsid w:val="51EAD36B"/>
    <w:multiLevelType w:val="hybridMultilevel"/>
    <w:lvl w:ilvl="0">
      <w:lvlJc w:val="left"/>
      <w:lvlText w:val="%1"/>
      <w:numFmt w:val="decimal"/>
      <w:start w:val="1"/>
    </w:lvl>
    <w:lvl w:ilvl="1">
      <w:lvlJc w:val="left"/>
      <w:lvlText w:val="%2."/>
      <w:numFmt w:val="lowerLetter"/>
      <w:start w:val="4"/>
    </w:lvl>
  </w:abstractNum>
  <w:abstractNum w:abstractNumId="17">
    <w:nsid w:val="2D517796"/>
    <w:multiLevelType w:val="hybridMultilevel"/>
    <w:lvl w:ilvl="0">
      <w:lvlJc w:val="left"/>
      <w:lvlText w:val="%1."/>
      <w:numFmt w:val="decimal"/>
      <w:start w:val="4"/>
    </w:lvl>
    <w:lvl w:ilvl="1">
      <w:lvlJc w:val="left"/>
      <w:lvlText w:val="%2."/>
      <w:numFmt w:val="lowerLetter"/>
      <w:start w:val="1"/>
    </w:lvl>
  </w:abstractNum>
  <w:abstractNum w:abstractNumId="18">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153EA43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0">
    <w:nsid w:val="3855585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
    <w:nsid w:val="70A64E2A"/>
    <w:multiLevelType w:val="hybridMultilevel"/>
    <w:lvl w:ilvl="0">
      <w:lvlJc w:val="left"/>
      <w:lvlText w:val="%1."/>
      <w:numFmt w:val="lowerRoman"/>
      <w:start w:val="2"/>
    </w:lvl>
    <w:lvl w:ilvl="1">
      <w:lvlJc w:val="left"/>
      <w:lvlText w:val="(%2)"/>
      <w:numFmt w:val="upperLetter"/>
      <w:start w:val="2"/>
    </w:lvl>
    <w:lvl w:ilvl="2">
      <w:lvlJc w:val="left"/>
      <w:lvlText w:val="(%3)"/>
      <w:numFmt w:val="upperLetter"/>
      <w:start w:val="1"/>
    </w:lvl>
  </w:abstractNum>
  <w:abstractNum w:abstractNumId="22">
    <w:nsid w:val="6A2342EC"/>
    <w:multiLevelType w:val="hybridMultilevel"/>
    <w:lvl w:ilvl="0">
      <w:lvlJc w:val="left"/>
      <w:lvlText w:val="%1"/>
      <w:numFmt w:val="lowerLetter"/>
      <w:start w:val="1"/>
    </w:lvl>
    <w:lvl w:ilvl="1">
      <w:lvlJc w:val="left"/>
      <w:lvlText w:val="(%2)"/>
      <w:numFmt w:val="upperLetter"/>
      <w:start w:val="2"/>
    </w:lvl>
  </w:abstractNum>
  <w:abstractNum w:abstractNumId="23">
    <w:nsid w:val="2A487CB0"/>
    <w:multiLevelType w:val="hybridMultilevel"/>
    <w:lvl w:ilvl="0">
      <w:lvlJc w:val="left"/>
      <w:lvlText w:val="%1."/>
      <w:numFmt w:val="lowerLetter"/>
      <w:start w:val="7"/>
    </w:lvl>
    <w:lvl w:ilvl="1">
      <w:lvlJc w:val="left"/>
      <w:lvlText w:val="%2"/>
      <w:numFmt w:val="upperLetter"/>
      <w:start w:val="1"/>
    </w:lvl>
  </w:abstractNum>
  <w:abstractNum w:abstractNumId="24">
    <w:nsid w:val="1D4ED43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5">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
    <w:nsid w:val="2CD89A32"/>
    <w:multiLevelType w:val="hybridMultilevel"/>
    <w:lvl w:ilvl="0">
      <w:lvlJc w:val="left"/>
      <w:lvlText w:val="%1."/>
      <w:numFmt w:val="decimal"/>
      <w:start w:val="10"/>
    </w:lvl>
  </w:abstractNum>
  <w:abstractNum w:abstractNumId="27">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7A6D8D3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29">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0">
    <w:nsid w:val="542289E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1">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38437FDB"/>
    <w:multiLevelType w:val="hybridMultilevel"/>
    <w:lvl w:ilvl="0">
      <w:lvlJc w:val="left"/>
      <w:lvlText w:val="%1"/>
      <w:numFmt w:val="decimal"/>
      <w:start w:val="1"/>
    </w:lvl>
    <w:lvl w:ilvl="1">
      <w:lvlJc w:val="left"/>
      <w:lvlText w:val="%2."/>
      <w:numFmt w:val="lowerLetter"/>
      <w:start w:val="1"/>
    </w:lvl>
  </w:abstractNum>
  <w:abstractNum w:abstractNumId="33">
    <w:nsid w:val="7644A45C"/>
    <w:multiLevelType w:val="hybridMultilevel"/>
    <w:lvl w:ilvl="0">
      <w:lvlJc w:val="left"/>
      <w:lvlText w:val="%1."/>
      <w:numFmt w:val="decimal"/>
      <w:start w:val="5"/>
    </w:lvl>
    <w:lvl w:ilvl="1">
      <w:lvlJc w:val="left"/>
      <w:lvlText w:val="%2."/>
      <w:numFmt w:val="lowerLetter"/>
      <w:start w:val="1"/>
    </w:lvl>
  </w:abstractNum>
  <w:abstractNum w:abstractNumId="34">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5">
    <w:nsid w:val="684A48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6">
    <w:nsid w:val="579478FE"/>
    <w:multiLevelType w:val="hybridMultilevel"/>
    <w:lvl w:ilvl="0">
      <w:lvlJc w:val="left"/>
      <w:lvlText w:val="%1"/>
      <w:numFmt w:val="decimal"/>
      <w:start w:val="1"/>
    </w:lvl>
    <w:lvl w:ilvl="1">
      <w:lvlJc w:val="left"/>
      <w:lvlText w:val="(%2)"/>
      <w:numFmt w:val="lowerRoman"/>
      <w:start w:val="4"/>
    </w:lvl>
  </w:abstractNum>
  <w:abstractNum w:abstractNumId="37">
    <w:nsid w:val="749ABB43"/>
    <w:multiLevelType w:val="hybridMultilevel"/>
    <w:lvl w:ilvl="0">
      <w:lvlJc w:val="left"/>
      <w:lvlText w:val="%1."/>
      <w:numFmt w:val="decimal"/>
      <w:start w:val="8"/>
    </w:lvl>
    <w:lvl w:ilvl="1">
      <w:lvlJc w:val="left"/>
      <w:lvlText w:val="%2"/>
      <w:numFmt w:val="lowerRoman"/>
      <w:start w:val="1"/>
    </w:lvl>
  </w:abstractNum>
  <w:abstractNum w:abstractNumId="38">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1BA026F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0">
    <w:nsid w:val="79A1DEA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1">
    <w:nsid w:val="75C6C33A"/>
    <w:multiLevelType w:val="hybridMultilevel"/>
    <w:lvl w:ilvl="0">
      <w:lvlJc w:val="left"/>
      <w:lvlText w:val="%1"/>
      <w:numFmt w:val="lowerLetter"/>
      <w:start w:val="1"/>
    </w:lvl>
    <w:lvl w:ilvl="1">
      <w:lvlJc w:val="left"/>
      <w:lvlText w:val="(%2)"/>
      <w:numFmt w:val="upperLetter"/>
      <w:start w:val="2"/>
    </w:lvl>
  </w:abstractNum>
  <w:abstractNum w:abstractNumId="42">
    <w:nsid w:val="12E685FB"/>
    <w:multiLevelType w:val="hybridMultilevel"/>
    <w:lvl w:ilvl="0">
      <w:lvlJc w:val="left"/>
      <w:lvlText w:val="%1."/>
      <w:numFmt w:val="lowerLetter"/>
      <w:start w:val="6"/>
    </w:lvl>
    <w:lvl w:ilvl="1">
      <w:lvlJc w:val="left"/>
      <w:lvlText w:val="%2"/>
      <w:numFmt w:val="upperLetter"/>
      <w:start w:val="1"/>
    </w:lvl>
  </w:abstractNum>
  <w:abstractNum w:abstractNumId="43">
    <w:nsid w:val="70C6A529"/>
    <w:multiLevelType w:val="hybridMultilevel"/>
    <w:lvl w:ilvl="0">
      <w:lvlJc w:val="left"/>
      <w:lvlText w:val="%1."/>
      <w:numFmt w:val="decimal"/>
      <w:start w:val="4"/>
    </w:lvl>
    <w:lvl w:ilvl="1">
      <w:lvlJc w:val="left"/>
      <w:lvlText w:val="%2."/>
      <w:numFmt w:val="lowerLetter"/>
      <w:start w:val="1"/>
    </w:lvl>
  </w:abstractNum>
  <w:abstractNum w:abstractNumId="44">
    <w:nsid w:val="520EEDD1"/>
    <w:multiLevelType w:val="hybridMultilevel"/>
    <w:lvl w:ilvl="0">
      <w:lvlJc w:val="left"/>
      <w:lvlText w:val="%1."/>
      <w:numFmt w:val="decimal"/>
      <w:start w:val="9"/>
    </w:lvl>
  </w:abstractNum>
  <w:abstractNum w:abstractNumId="45">
    <w:nsid w:val="374A3FE6"/>
    <w:multiLevelType w:val="hybridMultilevel"/>
    <w:lvl w:ilvl="0">
      <w:lvlJc w:val="left"/>
      <w:lvlText w:val="%1."/>
      <w:numFmt w:val="decimal"/>
      <w:start w:val="1"/>
    </w:lvl>
    <w:lvl w:ilvl="1">
      <w:lvlJc w:val="left"/>
      <w:lvlText w:val="%2."/>
      <w:numFmt w:val="lowerLetter"/>
      <w:start w:val="1"/>
    </w:lvl>
  </w:abstractNum>
  <w:abstractNum w:abstractNumId="46">
    <w:nsid w:val="4F4EF0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7">
    <w:nsid w:val="23F9C13C"/>
    <w:multiLevelType w:val="hybridMultilevel"/>
    <w:lvl w:ilvl="0">
      <w:lvlJc w:val="left"/>
      <w:lvlText w:val="(%1)"/>
      <w:numFmt w:val="upperLetter"/>
      <w:start w:val="1"/>
    </w:lvl>
  </w:abstractNum>
  <w:abstractNum w:abstractNumId="48">
    <w:nsid w:val="649BB77C"/>
    <w:multiLevelType w:val="hybridMultilevel"/>
    <w:lvl w:ilvl="0">
      <w:lvlJc w:val="left"/>
      <w:lvlText w:val="(%1)"/>
      <w:numFmt w:val="upperLetter"/>
      <w:start w:val="2"/>
    </w:lvl>
  </w:abstractNum>
  <w:abstractNum w:abstractNumId="49">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50">
    <w:nsid w:val="3938657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1">
    <w:nsid w:val="1CF10FD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2">
    <w:nsid w:val="180115BE"/>
    <w:multiLevelType w:val="hybridMultilevel"/>
    <w:lvl w:ilvl="0">
      <w:lvlJc w:val="left"/>
      <w:lvlText w:val="%1."/>
      <w:numFmt w:val="lowerLetter"/>
      <w:start w:val="4"/>
    </w:lvl>
    <w:lvl w:ilvl="1">
      <w:lvlJc w:val="left"/>
      <w:lvlText w:val="%2"/>
      <w:numFmt w:val="lowerLetter"/>
      <w:start w:val="1"/>
    </w:lvl>
  </w:abstractNum>
  <w:abstractNum w:abstractNumId="53">
    <w:nsid w:val="235BA861"/>
    <w:multiLevelType w:val="hybridMultilevel"/>
    <w:lvl w:ilvl="0">
      <w:lvlJc w:val="left"/>
      <w:lvlText w:val="%1."/>
      <w:numFmt w:val="lowerRoman"/>
      <w:start w:val="2"/>
    </w:lvl>
  </w:abstractNum>
  <w:abstractNum w:abstractNumId="54">
    <w:nsid w:val="47398C89"/>
    <w:multiLevelType w:val="hybridMultilevel"/>
    <w:lvl w:ilvl="0">
      <w:lvlJc w:val="left"/>
      <w:lvlText w:val="%1"/>
      <w:numFmt w:val="lowerLetter"/>
      <w:start w:val="1"/>
    </w:lvl>
    <w:lvl w:ilvl="1">
      <w:lvlJc w:val="left"/>
      <w:lvlText w:val="%2."/>
      <w:numFmt w:val="lowerLetter"/>
      <w:start w:val="61"/>
    </w:lvl>
  </w:abstractNum>
  <w:abstractNum w:abstractNumId="55">
    <w:nsid w:val="354FE9F9"/>
    <w:multiLevelType w:val="hybridMultilevel"/>
    <w:lvl w:ilvl="0">
      <w:lvlJc w:val="left"/>
      <w:lvlText w:val="%1."/>
      <w:numFmt w:val="lowerLetter"/>
      <w:start w:val="5"/>
    </w:lvl>
    <w:lvl w:ilvl="1">
      <w:lvlJc w:val="left"/>
      <w:lvlText w:val="%2."/>
      <w:numFmt w:val="lowerLetter"/>
      <w:start w:val="9"/>
    </w:lvl>
  </w:abstractNum>
  <w:abstractNum w:abstractNumId="56">
    <w:nsid w:val="15B5AF5C"/>
    <w:multiLevelType w:val="hybridMultilevel"/>
    <w:lvl w:ilvl="0">
      <w:lvlJc w:val="left"/>
      <w:lvlText w:val="%1"/>
      <w:numFmt w:val="lowerLetter"/>
      <w:start w:val="1"/>
    </w:lvl>
    <w:lvl w:ilvl="1">
      <w:lvlJc w:val="left"/>
      <w:lvlText w:val="%2."/>
      <w:numFmt w:val="lowerLetter"/>
      <w:start w:val="35"/>
    </w:lvl>
  </w:abstractNum>
  <w:abstractNum w:abstractNumId="57">
    <w:nsid w:val="741226BB"/>
    <w:multiLevelType w:val="hybridMultilevel"/>
    <w:lvl w:ilvl="0">
      <w:lvlJc w:val="left"/>
      <w:lvlText w:val="%1."/>
      <w:numFmt w:val="lowerLetter"/>
      <w:start w:val="6"/>
    </w:lvl>
    <w:lvl w:ilvl="1">
      <w:lvlJc w:val="left"/>
      <w:lvlText w:val="%2"/>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Roman"/>
      <w:start w:val="2"/>
    </w:lvl>
  </w:abstractNum>
  <w:abstractNum w:abstractNumId="59">
    <w:nsid w:val="10233C99"/>
    <w:multiLevelType w:val="hybridMultilevel"/>
    <w:lvl w:ilvl="0">
      <w:lvlJc w:val="left"/>
      <w:lvlText w:val="%1."/>
      <w:numFmt w:val="decimal"/>
      <w:start w:val="4"/>
    </w:lvl>
    <w:lvl w:ilvl="1">
      <w:lvlJc w:val="left"/>
      <w:lvlText w:val="%2"/>
      <w:numFmt w:val="lowerRoman"/>
      <w:start w:val="1"/>
    </w:lvl>
  </w:abstractNum>
  <w:abstractNum w:abstractNumId="60">
    <w:nsid w:val="3F6AB60F"/>
    <w:multiLevelType w:val="hybridMultilevel"/>
    <w:lvl w:ilvl="0">
      <w:lvlJc w:val="left"/>
      <w:lvlText w:val="%1."/>
      <w:numFmt w:val="decimal"/>
      <w:start w:val="5"/>
    </w:lvl>
  </w:abstractNum>
  <w:abstractNum w:abstractNumId="61">
    <w:nsid w:val="61574095"/>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2019-12-13T13:51:33Z</dcterms:created>
  <dcterms:modified xsi:type="dcterms:W3CDTF">2019-12-13T13:51:33Z</dcterms:modified>
</cp:coreProperties>
</file>