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3, 2015</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208"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44" w:right="199" w:bottom="208"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208"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On December 3, 2015, The Toro Company announced its earnings for the three and twelve months ended October 31, 2015.</w:t>
      </w:r>
    </w:p>
    <w:p>
      <w:pPr>
        <w:spacing w:after="0" w:line="225" w:lineRule="exact"/>
        <w:rPr>
          <w:sz w:val="24"/>
          <w:szCs w:val="24"/>
          <w:color w:val="auto"/>
        </w:rPr>
      </w:pPr>
    </w:p>
    <w:p>
      <w:pPr>
        <w:ind w:left="660" w:right="6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ind w:left="1320" w:hanging="502"/>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100" w:type="dxa"/>
            <w:vAlign w:val="bottom"/>
            <w:gridSpan w:val="2"/>
          </w:tcPr>
          <w:p>
            <w:pPr>
              <w:ind w:left="1000"/>
              <w:spacing w:after="0"/>
              <w:rPr>
                <w:sz w:val="20"/>
                <w:szCs w:val="20"/>
                <w:color w:val="auto"/>
              </w:rPr>
            </w:pPr>
            <w:r>
              <w:rPr>
                <w:rFonts w:ascii="Arial" w:cs="Arial" w:eastAsia="Arial" w:hAnsi="Arial"/>
                <w:sz w:val="14"/>
                <w:szCs w:val="14"/>
                <w:b w:val="1"/>
                <w:bCs w:val="1"/>
                <w:color w:val="auto"/>
              </w:rPr>
              <w:t>Exhibit No.</w:t>
            </w:r>
          </w:p>
        </w:tc>
        <w:tc>
          <w:tcPr>
            <w:tcW w:w="380" w:type="dxa"/>
            <w:vAlign w:val="bottom"/>
          </w:tcPr>
          <w:p>
            <w:pPr>
              <w:spacing w:after="0"/>
              <w:rPr>
                <w:sz w:val="14"/>
                <w:szCs w:val="14"/>
                <w:color w:val="auto"/>
              </w:rPr>
            </w:pPr>
          </w:p>
        </w:tc>
        <w:tc>
          <w:tcPr>
            <w:tcW w:w="8360" w:type="dxa"/>
            <w:vAlign w:val="bottom"/>
          </w:tcPr>
          <w:p>
            <w:pPr>
              <w:jc w:val="right"/>
              <w:ind w:right="3739"/>
              <w:spacing w:after="0"/>
              <w:rPr>
                <w:sz w:val="20"/>
                <w:szCs w:val="20"/>
                <w:color w:val="auto"/>
              </w:rPr>
            </w:pPr>
            <w:r>
              <w:rPr>
                <w:rFonts w:ascii="Arial" w:cs="Arial" w:eastAsia="Arial" w:hAnsi="Arial"/>
                <w:sz w:val="14"/>
                <w:szCs w:val="14"/>
                <w:b w:val="1"/>
                <w:bCs w:val="1"/>
                <w:color w:val="auto"/>
              </w:rPr>
              <w:t>Description</w:t>
            </w:r>
          </w:p>
        </w:tc>
        <w:tc>
          <w:tcPr>
            <w:tcW w:w="620" w:type="dxa"/>
            <w:vAlign w:val="bottom"/>
          </w:tcPr>
          <w:p>
            <w:pPr>
              <w:spacing w:after="0"/>
              <w:rPr>
                <w:sz w:val="14"/>
                <w:szCs w:val="14"/>
                <w:color w:val="auto"/>
              </w:rPr>
            </w:pPr>
          </w:p>
        </w:tc>
      </w:tr>
      <w:tr>
        <w:trPr>
          <w:trHeight w:val="224"/>
        </w:trPr>
        <w:tc>
          <w:tcPr>
            <w:tcW w:w="1000" w:type="dxa"/>
            <w:vAlign w:val="bottom"/>
          </w:tcPr>
          <w:p>
            <w:pPr>
              <w:spacing w:after="0"/>
              <w:rPr>
                <w:sz w:val="19"/>
                <w:szCs w:val="19"/>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19"/>
                <w:szCs w:val="19"/>
                <w:color w:val="auto"/>
              </w:rPr>
            </w:pPr>
          </w:p>
        </w:tc>
        <w:tc>
          <w:tcPr>
            <w:tcW w:w="8360" w:type="dxa"/>
            <w:vAlign w:val="bottom"/>
            <w:tcBorders>
              <w:top w:val="single" w:sz="8" w:color="auto"/>
            </w:tcBorders>
          </w:tcPr>
          <w:p>
            <w:pPr>
              <w:jc w:val="right"/>
              <w:ind w:right="3979"/>
              <w:spacing w:after="0"/>
              <w:rPr>
                <w:sz w:val="20"/>
                <w:szCs w:val="20"/>
                <w:color w:val="auto"/>
              </w:rPr>
            </w:pPr>
            <w:r>
              <w:rPr>
                <w:rFonts w:ascii="Arial" w:cs="Arial" w:eastAsia="Arial" w:hAnsi="Arial"/>
                <w:sz w:val="18"/>
                <w:szCs w:val="18"/>
                <w:color w:val="auto"/>
                <w:w w:val="88"/>
              </w:rPr>
              <w:t>Press release dated December 3, 2015 (furnished herewith).</w:t>
            </w:r>
          </w:p>
        </w:tc>
        <w:tc>
          <w:tcPr>
            <w:tcW w:w="620" w:type="dxa"/>
            <w:vAlign w:val="bottom"/>
          </w:tcPr>
          <w:p>
            <w:pPr>
              <w:spacing w:after="0"/>
              <w:rPr>
                <w:sz w:val="19"/>
                <w:szCs w:val="19"/>
                <w:color w:val="auto"/>
              </w:rPr>
            </w:pPr>
          </w:p>
        </w:tc>
      </w:tr>
      <w:tr>
        <w:trPr>
          <w:trHeight w:val="418"/>
        </w:trPr>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740" w:type="dxa"/>
            <w:vAlign w:val="bottom"/>
            <w:gridSpan w:val="2"/>
          </w:tcPr>
          <w:p>
            <w:pPr>
              <w:jc w:val="right"/>
              <w:ind w:right="4999"/>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r>
      <w:tr>
        <w:trPr>
          <w:trHeight w:val="132"/>
        </w:trPr>
        <w:tc>
          <w:tcPr>
            <w:tcW w:w="10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83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208"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20" w:type="dxa"/>
            <w:vAlign w:val="bottom"/>
            <w:gridSpan w:val="2"/>
          </w:tcPr>
          <w:p>
            <w:pPr>
              <w:ind w:left="352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20" w:type="dxa"/>
            <w:vAlign w:val="bottom"/>
            <w:gridSpan w:val="2"/>
          </w:tcPr>
          <w:p>
            <w:pPr>
              <w:ind w:left="352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w w:val="91"/>
              </w:rPr>
              <w:t>Date: December 3, 2015</w:t>
            </w:r>
          </w:p>
        </w:tc>
        <w:tc>
          <w:tcPr>
            <w:tcW w:w="380" w:type="dxa"/>
            <w:vAlign w:val="bottom"/>
          </w:tcPr>
          <w:p>
            <w:pPr>
              <w:spacing w:after="0"/>
              <w:rPr>
                <w:sz w:val="24"/>
                <w:szCs w:val="24"/>
                <w:color w:val="auto"/>
              </w:rPr>
            </w:pPr>
          </w:p>
        </w:tc>
        <w:tc>
          <w:tcPr>
            <w:tcW w:w="9220" w:type="dxa"/>
            <w:vAlign w:val="bottom"/>
            <w:gridSpan w:val="2"/>
          </w:tcPr>
          <w:p>
            <w:pPr>
              <w:ind w:left="352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900" w:type="dxa"/>
            <w:vAlign w:val="bottom"/>
          </w:tcPr>
          <w:p>
            <w:pPr>
              <w:ind w:left="3520"/>
              <w:spacing w:after="0" w:line="182" w:lineRule="exact"/>
              <w:rPr>
                <w:sz w:val="20"/>
                <w:szCs w:val="20"/>
                <w:color w:val="auto"/>
              </w:rPr>
            </w:pPr>
            <w:r>
              <w:rPr>
                <w:rFonts w:ascii="Arial" w:cs="Arial" w:eastAsia="Arial" w:hAnsi="Arial"/>
                <w:sz w:val="17"/>
                <w:szCs w:val="17"/>
                <w:color w:val="auto"/>
                <w:w w:val="71"/>
              </w:rPr>
              <w:t>Renee</w:t>
            </w:r>
          </w:p>
        </w:tc>
        <w:tc>
          <w:tcPr>
            <w:tcW w:w="532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20" w:type="dxa"/>
            <w:vAlign w:val="bottom"/>
            <w:gridSpan w:val="2"/>
          </w:tcPr>
          <w:p>
            <w:pPr>
              <w:ind w:left="3520"/>
              <w:spacing w:after="0"/>
              <w:rPr>
                <w:sz w:val="20"/>
                <w:szCs w:val="20"/>
                <w:color w:val="auto"/>
              </w:rPr>
            </w:pPr>
            <w:r>
              <w:rPr>
                <w:rFonts w:ascii="Arial" w:cs="Arial" w:eastAsia="Arial" w:hAnsi="Arial"/>
                <w:sz w:val="18"/>
                <w:szCs w:val="18"/>
                <w:color w:val="auto"/>
              </w:rPr>
              <w:t>Vice President, Treasurer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20" w:type="dxa"/>
            <w:vAlign w:val="bottom"/>
            <w:gridSpan w:val="2"/>
          </w:tcPr>
          <w:p>
            <w:pPr>
              <w:ind w:left="352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80" w:type="dxa"/>
            <w:vAlign w:val="bottom"/>
            <w:gridSpan w:val="2"/>
          </w:tcPr>
          <w:p>
            <w:pPr>
              <w:jc w:val="center"/>
              <w:ind w:left="3410"/>
              <w:spacing w:after="0"/>
              <w:rPr>
                <w:sz w:val="20"/>
                <w:szCs w:val="20"/>
                <w:color w:val="auto"/>
              </w:rPr>
            </w:pPr>
            <w:r>
              <w:rPr>
                <w:rFonts w:ascii="Arial" w:cs="Arial" w:eastAsia="Arial" w:hAnsi="Arial"/>
                <w:sz w:val="18"/>
                <w:szCs w:val="18"/>
                <w:color w:val="auto"/>
                <w:w w:val="99"/>
              </w:rPr>
              <w:t>4</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22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20" w:type="dxa"/>
            <w:vAlign w:val="bottom"/>
            <w:gridSpan w:val="2"/>
          </w:tcPr>
          <w:p>
            <w:pPr>
              <w:jc w:val="center"/>
              <w:ind w:right="209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3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19"/>
                <w:szCs w:val="19"/>
                <w:color w:val="auto"/>
              </w:rPr>
            </w:pPr>
          </w:p>
        </w:tc>
        <w:tc>
          <w:tcPr>
            <w:tcW w:w="9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December 3, 2015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80" w:type="dxa"/>
            <w:vAlign w:val="bottom"/>
            <w:gridSpan w:val="2"/>
          </w:tcPr>
          <w:p>
            <w:pPr>
              <w:jc w:val="center"/>
              <w:ind w:left="3410"/>
              <w:spacing w:after="0"/>
              <w:rPr>
                <w:sz w:val="20"/>
                <w:szCs w:val="20"/>
                <w:color w:val="auto"/>
              </w:rPr>
            </w:pPr>
            <w:r>
              <w:rPr>
                <w:rFonts w:ascii="Arial" w:cs="Arial" w:eastAsia="Arial" w:hAnsi="Arial"/>
                <w:sz w:val="18"/>
                <w:szCs w:val="18"/>
                <w:color w:val="auto"/>
                <w:w w:val="99"/>
              </w:rPr>
              <w:t>5</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3900" w:type="dxa"/>
            <w:vAlign w:val="bottom"/>
            <w:tcBorders>
              <w:bottom w:val="single" w:sz="8" w:color="808080"/>
            </w:tcBorders>
          </w:tcPr>
          <w:p>
            <w:pPr>
              <w:spacing w:after="0"/>
              <w:rPr>
                <w:sz w:val="11"/>
                <w:szCs w:val="11"/>
                <w:color w:val="auto"/>
              </w:rPr>
            </w:pPr>
          </w:p>
        </w:tc>
        <w:tc>
          <w:tcPr>
            <w:tcW w:w="5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29335"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933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887-8923, heather.hille@toro.com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Record Fiscal 2015 Results</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Fiscal 2015 sales increase 10 percent to a record $2.4 billion</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per share for the year up 17.5 percent to a record $3.55</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cash dividend increased 20 percent to $0.30 per share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 of BOSS® snow and ice management business delivers positive full year results</w:t>
      </w:r>
    </w:p>
    <w:p>
      <w:pPr>
        <w:spacing w:after="0" w:line="21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BLOOMINGTON, Minn. (December 3, 2015) — The Toro Company (NYSE: TTC) today reported net earnings of $201.6 million, or $3.55 per share, on a net sales increase of 10.0 percent to $2.391 billion for its fiscal year ended October 31, 2015. In fiscal 2014, the company delivered net earnings of $173.9 million, or $3.02 per share for the year, on net sales of $2.173 billion.</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For the fourth quarter, Toro reported net earnings of $23.6 million or $0.42 per share, on a net sales increase of 16.1 percent to $480.8 million. In the comparable 2014 period, the company posted net earnings of $10.9 million on net sales of $414.1 million.</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also announced that its board of directors has declared a quarterly cash dividend of $0.30 per share, a 20 percent increase from its previous quarterly dividend rate of $0.25 per share. This dividend is payable on January 11, 2016 to shareholders of record on December 22, 2015. For the fiscal year, the company returned over $160 million to shareholders through the payment of $55.5 million in dividends and the repurchase of more than 1.5 million shares of common stock. Additionally, the board authorized the repurchase of an additional 4 million shares of Toro’s common stock through open-market or in privately negotiated transactions from time to time and in such amounts as management deems appropriate.</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“Early this last year, as The Toro Company entered its second century, we were optimistic about the months ahead due to the addition of the BOSS® snow and ice management business, the positive momentum we were experiencing with early snow preseason sales, and a broad line-up of innovative new products for fiscal 2015,” said Michael J. Hoffman, Toro’s chairman and chief executive officer. “As the year progressed, that optimism proved accurate and we were able to sustain strong retail momentum across our businesses. The successful integration of BOSS® played a significant role in achieving our revenue growth of 10 percent for the year, we saw the benefit of favorable weather conditions, and the launch of several new products were well received by our customers,” said Hoffman. “In fact, our new product vitality index showed an increase for the year compared to fiscal 2014, and we are confident that metric will be even higher in fiscal 2016.”</w:t>
      </w:r>
    </w:p>
    <w:p>
      <w:pPr>
        <w:spacing w:after="0" w:line="18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addition to driving record revenues, our team focused on increasing productivity and leveraging expenses, which had a positive impact on our results. These efforts helped us to deliver record earnings for the year and have positioned us well as we head into the second year of our Destination PRIME employee initiative. I am very proud of our employees around the world. It is their continued focus and collective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contributions that ultimately helped drive our record fiscal 2015 results. I would like to thank the entire team for their dedication and hard work throughout the year.”</w:t>
      </w:r>
    </w:p>
    <w:p>
      <w:pPr>
        <w:spacing w:after="0" w:line="17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“As we begin our fiscal 2016 journey, we will continue to focus on our end markets by delivering new product innovations and productivity-enhancing solutions for all of our businesses. With the first quarter underway, we are encouraged by the strong pre-season demand for our snow and ice management products. Looking ahead, we recognize that unfavorable weather conditions could negatively impact demand, and unfavorable foreign currency exchange rate movements could present a challenge to our results, throughout the year. As always, we will remain flexible across the enterprise, making necessary adjustments to serve our customers and to manage those things within our control.”</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fiscal 2016, the company expects revenue growth to be about 4 percent, and net earnings to be about $3.80 to $3.90 per share. For the first quarter, the company expects net earnings to be about $0.58 to $0.60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left="340" w:right="220" w:hanging="332"/>
        <w:spacing w:after="0" w:line="302" w:lineRule="auto"/>
        <w:tabs>
          <w:tab w:leader="none" w:pos="304"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Professional segment net sales for fiscal 2015 totaled $1.640 billion, up 11.0 percent from $1.478 billion last year. Incremental sales from the BOSS® snow and ice management product line, as well as continued demand for new landscape contractor products, and rental and specialty construction equipment contributed to the growth for the year. For the fourth quarter, professional segment net sales were $325.2 million, up 20.9 percent from the comparable fiscal 2014 period. The addition of the BOSS® snow and ice management business, as well as higher demand for our landscape contractor</w:t>
      </w:r>
    </w:p>
    <w:p>
      <w:pPr>
        <w:sectPr>
          <w:pgSz w:w="11900" w:h="16838" w:orient="portrait"/>
          <w:cols w:equalWidth="0" w:num="1">
            <w:col w:w="11420"/>
          </w:cols>
          <w:pgMar w:left="240" w:top="121" w:right="239" w:bottom="0" w:gutter="0" w:footer="0" w:header="0"/>
        </w:sectPr>
      </w:pPr>
    </w:p>
    <w:bookmarkStart w:id="3" w:name="page4"/>
    <w:bookmarkEnd w:id="3"/>
    <w:p>
      <w:pPr>
        <w:ind w:left="340" w:right="360"/>
        <w:spacing w:after="0" w:line="277" w:lineRule="auto"/>
        <w:rPr>
          <w:sz w:val="20"/>
          <w:szCs w:val="20"/>
          <w:color w:val="auto"/>
        </w:rPr>
      </w:pPr>
      <w:r>
        <w:rPr>
          <w:rFonts w:ascii="Arial" w:cs="Arial" w:eastAsia="Arial" w:hAnsi="Arial"/>
          <w:sz w:val="18"/>
          <w:szCs w:val="18"/>
          <w:color w:val="auto"/>
        </w:rPr>
        <w:t>and specialty construction equipment, drove the increase. The sales growth for both periods was somewhat offset by unfavorable currency exchange rates.</w:t>
      </w:r>
    </w:p>
    <w:p>
      <w:pPr>
        <w:spacing w:after="0" w:line="170" w:lineRule="exact"/>
        <w:rPr>
          <w:sz w:val="20"/>
          <w:szCs w:val="20"/>
          <w:color w:val="auto"/>
        </w:rPr>
      </w:pPr>
    </w:p>
    <w:p>
      <w:pPr>
        <w:ind w:left="340" w:right="420" w:hanging="332"/>
        <w:spacing w:after="0" w:line="277"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Professional segment earnings for fiscal 2015 totaled $308.0 million, up 11.5 percent from $276.3 million from the prior year. For the fourth quarter, professional segment earnings were $49.3 million, up from $31.6 million in the comparable fiscal 2014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jc w:val="both"/>
        <w:ind w:left="340" w:right="240"/>
        <w:spacing w:after="0" w:line="276" w:lineRule="auto"/>
        <w:rPr>
          <w:sz w:val="20"/>
          <w:szCs w:val="20"/>
          <w:color w:val="auto"/>
        </w:rPr>
      </w:pPr>
      <w:r>
        <w:rPr>
          <w:rFonts w:ascii="Arial" w:cs="Arial" w:eastAsia="Arial" w:hAnsi="Arial"/>
          <w:sz w:val="17"/>
          <w:szCs w:val="17"/>
          <w:color w:val="auto"/>
        </w:rPr>
        <w:t>Residential segment net sales for fiscal 2015 were $725.7 million, up 7.9 percent from $672.4 million last year. New product introductions paired with enhanced product placement with The Home Depot contributed to the sales increases for the year. For the fourth quarter, residential segment net sales were $147.1 million, up 6.0 percent from the comparable fiscal 2014 period. Increased sales of residential snow products, including the launch of the new SnowMaster®, paired with increased demand for residential zero-turn riding mowers, contributed nicely to the results. The sales growth for both periods was somewhat offset by unfavorable currency exchange rates.</w:t>
      </w:r>
    </w:p>
    <w:p>
      <w:pPr>
        <w:spacing w:after="0" w:line="173" w:lineRule="exact"/>
        <w:rPr>
          <w:sz w:val="20"/>
          <w:szCs w:val="20"/>
          <w:color w:val="auto"/>
        </w:rPr>
      </w:pPr>
    </w:p>
    <w:p>
      <w:pPr>
        <w:ind w:left="340" w:right="160" w:hanging="332"/>
        <w:spacing w:after="0" w:line="277"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segment earnings for fiscal 2015 totaled $85.0 million, up 10.5 percent from fiscal 2014. For the fourth quarter, residential segment earnings were $15.8 million, down slightly from $16.3 million in the comparable fiscal 2014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margin as a percent of sales for fiscal 2015 was down 60 basis points from last year to 35.0 percent. For the fourth quarter, gross margin as a percent of sales increased 60 basis points to 35.1 percent. For the year, unfavorable currency rates played a substantial role in the negative impact on margins. For the quarter, the addition of BOSS,® favorable product mix and increased productivity drove positive impacts on gross margin, although somewhat offset by unfavorable currency exchange rates.</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Selling, general and administrative (SG&amp;A) expense as a percent of sales for fiscal 2015 decreased 100 basis points from last year to 22.5 percent. For the fourth quarter, SG&amp;A expense as a percent of sales decreased 240 basis points to 27.4 percent. For both periods, the decreases were primarily due to the leveraging of expenses over higher sales volume.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Operating earnings as a percent of sales for fiscal 2015 improved 40 basis points from last year to 12.5 percent. For the fourth quarter, operating earnings improved 300 basis points to 7.7 percent of sales.</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Interest expense for fiscal 2015 was $18.8 million up 21.6 percent from last year. For the fourth quarter, interest expense totaled $4.7 million, an increase of 7.4 percent from the same period last year. The increase was primarily due to the additional long-term debt issued in connection with the BOSS® acquisition.</w:t>
      </w:r>
    </w:p>
    <w:p>
      <w:pPr>
        <w:spacing w:after="0" w:line="124"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The effective tax rate for fiscal 2015 was 30.7 percent, compared to 32.2 percent last year. This was due to the benefit realized from the retroactive reenactment of the domestic research tax credit in the first quarter of fiscal 2015 and higher earnings in lower tax jurisdictions.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Accounts receivable at the end of fiscal 2015 totaled $177.0 million, up 11.9 percent from last year. Net inventories were $334.5 million, up 21.8 percent from last year. Trade payables were $152.0 million, up 22.3 percent from last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Toro Company (NYSE: TTC) is a leading worldwide provider of innovative solutions for the outdoor environment, including turf, snow and ground engaging equipment and irrigation and outdoor lighting solutions. With sales of $2.4 billion in fiscal 2015, Toro’s global presence extends to more than 90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For more information, visit </w:t>
      </w:r>
      <w:r>
        <w:rPr>
          <w:rFonts w:ascii="Arial" w:cs="Arial" w:eastAsia="Arial" w:hAnsi="Arial"/>
          <w:sz w:val="17"/>
          <w:szCs w:val="17"/>
          <w:color w:val="auto"/>
        </w:rPr>
        <w:t>www.thetorocompany.com.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 2015 at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Toro Company will conduct its earnings call and webcast for investors beginning at 10:00 a.m. CST on December 3, 2015.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and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operations and markets, including political, economic and/or social instability and tax</w:t>
      </w:r>
    </w:p>
    <w:p>
      <w:pPr>
        <w:sectPr>
          <w:pgSz w:w="11900" w:h="16838" w:orient="portrait"/>
          <w:cols w:equalWidth="0" w:num="1">
            <w:col w:w="11420"/>
          </w:cols>
          <w:pgMar w:left="240" w:top="125" w:right="239" w:bottom="0" w:gutter="0" w:footer="0" w:header="0"/>
        </w:sectPr>
      </w:pPr>
    </w:p>
    <w:bookmarkStart w:id="4" w:name="page5"/>
    <w:bookmarkEnd w:id="4"/>
    <w:p>
      <w:pPr>
        <w:ind w:right="380"/>
        <w:spacing w:after="0" w:line="277" w:lineRule="auto"/>
        <w:rPr>
          <w:sz w:val="20"/>
          <w:szCs w:val="20"/>
          <w:color w:val="auto"/>
        </w:rPr>
      </w:pPr>
      <w:r>
        <w:rPr>
          <w:rFonts w:ascii="Arial" w:cs="Arial" w:eastAsia="Arial" w:hAnsi="Arial"/>
          <w:sz w:val="18"/>
          <w:szCs w:val="18"/>
          <w:color w:val="auto"/>
        </w:rPr>
        <w:t>policies in the countries in which we manufacture or sell our products; foreign currency exchange rate fluctuations; our relationships with our distribution channel partners, including the financial</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viability of our distributors and dealers; risks associated with acquisitions, including our acquisition of the BOSS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professional snow and ice management business; management of our alliances or joint ventures, including Red Iron Acceptance, LLC; the costs and effects of enactment of, changes in and compliance with laws, regulations and standards, including those relating to consumer product safety, conflict mineral disclosure, taxation,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undertake no obligation to update forward-looking statements made herein to reflect events or circumstances after the date hereof.</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tables follow)</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9"/>
          </w:tcPr>
          <w:p>
            <w:pPr>
              <w:jc w:val="right"/>
              <w:ind w:right="1060"/>
              <w:spacing w:after="0"/>
              <w:rPr>
                <w:sz w:val="20"/>
                <w:szCs w:val="20"/>
                <w:color w:val="auto"/>
              </w:rPr>
            </w:pPr>
            <w:r>
              <w:rPr>
                <w:rFonts w:ascii="Arial" w:cs="Arial" w:eastAsia="Arial" w:hAnsi="Arial"/>
                <w:sz w:val="14"/>
                <w:szCs w:val="14"/>
                <w:b w:val="1"/>
                <w:bCs w:val="1"/>
                <w:color w:val="auto"/>
              </w:rPr>
              <w:t>Fiscal Years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October 31,</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214"/>
              <w:spacing w:after="0" w:line="119" w:lineRule="exact"/>
              <w:rPr>
                <w:sz w:val="20"/>
                <w:szCs w:val="20"/>
                <w:color w:val="auto"/>
              </w:rPr>
            </w:pPr>
            <w:r>
              <w:rPr>
                <w:rFonts w:ascii="Arial" w:cs="Arial" w:eastAsia="Arial" w:hAnsi="Arial"/>
                <w:sz w:val="13"/>
                <w:szCs w:val="13"/>
                <w:b w:val="1"/>
                <w:bCs w:val="1"/>
                <w:color w:val="auto"/>
              </w:rPr>
              <w:t>October 31,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right"/>
              <w:ind w:right="600"/>
              <w:spacing w:after="0" w:line="119" w:lineRule="exact"/>
              <w:rPr>
                <w:sz w:val="20"/>
                <w:szCs w:val="20"/>
                <w:color w:val="auto"/>
              </w:rPr>
            </w:pPr>
            <w:r>
              <w:rPr>
                <w:rFonts w:ascii="Arial" w:cs="Arial" w:eastAsia="Arial" w:hAnsi="Arial"/>
                <w:sz w:val="13"/>
                <w:szCs w:val="13"/>
                <w:b w:val="1"/>
                <w:bCs w:val="1"/>
                <w:color w:val="auto"/>
              </w:rPr>
              <w:t>October 31,</w:t>
            </w: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234"/>
              <w:spacing w:after="0" w:line="119" w:lineRule="exact"/>
              <w:rPr>
                <w:sz w:val="20"/>
                <w:szCs w:val="20"/>
                <w:color w:val="auto"/>
              </w:rPr>
            </w:pPr>
            <w:r>
              <w:rPr>
                <w:rFonts w:ascii="Arial" w:cs="Arial" w:eastAsia="Arial" w:hAnsi="Arial"/>
                <w:sz w:val="13"/>
                <w:szCs w:val="13"/>
                <w:b w:val="1"/>
                <w:bCs w:val="1"/>
                <w:color w:val="auto"/>
              </w:rPr>
              <w:t>October 31,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480,807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414,140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2,390,875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2,172,691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168,574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143,137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835,935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773,271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profit percent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131,742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123,494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536,821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510,114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36,832</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299,114</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263,157</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(4,686)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(4,361)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(18,757)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(15,426)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10,674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Earnings before income taxes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35,305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291,031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256,445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11,751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89,440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Net earnings</w:t>
            </w:r>
          </w:p>
        </w:tc>
        <w:tc>
          <w:tcPr>
            <w:tcW w:w="4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23,554</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10,902</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201,591</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173,870</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Basic net earnings per share</w:t>
            </w:r>
          </w:p>
        </w:tc>
        <w:tc>
          <w:tcPr>
            <w:tcW w:w="92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c>
          <w:tcPr>
            <w:tcW w:w="260" w:type="dxa"/>
            <w:vAlign w:val="bottom"/>
          </w:tcPr>
          <w:p>
            <w:pPr>
              <w:spacing w:after="0"/>
              <w:rPr>
                <w:sz w:val="22"/>
                <w:szCs w:val="22"/>
                <w:color w:val="auto"/>
              </w:rPr>
            </w:pPr>
          </w:p>
        </w:tc>
        <w:tc>
          <w:tcPr>
            <w:tcW w:w="22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22"/>
                <w:szCs w:val="22"/>
                <w:color w:val="auto"/>
              </w:rPr>
            </w:pPr>
          </w:p>
        </w:tc>
        <w:tc>
          <w:tcPr>
            <w:tcW w:w="3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22"/>
                <w:szCs w:val="22"/>
                <w:color w:val="auto"/>
              </w:rPr>
            </w:pP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Diluted net earnings per share</w:t>
            </w:r>
          </w:p>
        </w:tc>
        <w:tc>
          <w:tcPr>
            <w:tcW w:w="92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c>
          <w:tcPr>
            <w:tcW w:w="260" w:type="dxa"/>
            <w:vAlign w:val="bottom"/>
          </w:tcPr>
          <w:p>
            <w:pPr>
              <w:spacing w:after="0"/>
              <w:rPr>
                <w:sz w:val="22"/>
                <w:szCs w:val="22"/>
                <w:color w:val="auto"/>
              </w:rPr>
            </w:pPr>
          </w:p>
        </w:tc>
        <w:tc>
          <w:tcPr>
            <w:tcW w:w="22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22"/>
                <w:szCs w:val="22"/>
                <w:color w:val="auto"/>
              </w:rPr>
            </w:pPr>
          </w:p>
        </w:tc>
        <w:tc>
          <w:tcPr>
            <w:tcW w:w="3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22"/>
                <w:szCs w:val="22"/>
                <w:color w:val="auto"/>
              </w:rPr>
            </w:pP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w w:val="98"/>
              </w:rPr>
              <w:t>Weighted average number of shares of common stock</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outstanding — Basic</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55,050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55,951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55,565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56,359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w w:val="98"/>
              </w:rPr>
              <w:t>Weighted average number of shares of common stock</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outstanding — Diluted</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56,293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57,244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56,757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57,628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80" w:type="dxa"/>
            <w:vAlign w:val="bottom"/>
            <w:gridSpan w:val="8"/>
          </w:tcPr>
          <w:p>
            <w:pPr>
              <w:jc w:val="center"/>
              <w:ind w:left="190"/>
              <w:spacing w:after="0"/>
              <w:rPr>
                <w:sz w:val="20"/>
                <w:szCs w:val="20"/>
                <w:color w:val="auto"/>
              </w:rPr>
            </w:pPr>
            <w:r>
              <w:rPr>
                <w:rFonts w:ascii="Arial" w:cs="Arial" w:eastAsia="Arial" w:hAnsi="Arial"/>
                <w:sz w:val="18"/>
                <w:szCs w:val="18"/>
                <w:b w:val="1"/>
                <w:bCs w:val="1"/>
                <w:color w:val="auto"/>
                <w:w w:val="91"/>
              </w:rPr>
              <w:t>Segment Data (Unaudited)</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9"/>
          </w:tcPr>
          <w:p>
            <w:pPr>
              <w:jc w:val="right"/>
              <w:ind w:right="1020"/>
              <w:spacing w:after="0"/>
              <w:rPr>
                <w:sz w:val="20"/>
                <w:szCs w:val="20"/>
                <w:color w:val="auto"/>
              </w:rPr>
            </w:pPr>
            <w:r>
              <w:rPr>
                <w:rFonts w:ascii="Arial" w:cs="Arial" w:eastAsia="Arial" w:hAnsi="Arial"/>
                <w:sz w:val="14"/>
                <w:szCs w:val="14"/>
                <w:b w:val="1"/>
                <w:bCs w:val="1"/>
                <w:color w:val="auto"/>
              </w:rPr>
              <w:t>Fiscal Years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 Net Sales</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October 31,</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October 31,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October 31,</w:t>
            </w: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325,185</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268,871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1,639,659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1,477,578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147,095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138,779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725,682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672,443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8,527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6,490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25,534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22,670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Total *</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480,807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414,140</w:t>
            </w:r>
          </w:p>
        </w:tc>
        <w:tc>
          <w:tcPr>
            <w:tcW w:w="1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2,390,875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2,172,691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gridSpan w:val="3"/>
          </w:tcPr>
          <w:p>
            <w:pPr>
              <w:spacing w:after="0"/>
              <w:rPr>
                <w:sz w:val="24"/>
                <w:szCs w:val="24"/>
                <w:color w:val="auto"/>
              </w:rPr>
            </w:pPr>
          </w:p>
        </w:tc>
        <w:tc>
          <w:tcPr>
            <w:tcW w:w="11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1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3"/>
          </w:tcPr>
          <w:p>
            <w:pPr>
              <w:spacing w:after="0"/>
              <w:rPr>
                <w:sz w:val="24"/>
                <w:szCs w:val="24"/>
                <w:color w:val="auto"/>
              </w:rPr>
            </w:pPr>
          </w:p>
        </w:tc>
        <w:tc>
          <w:tcPr>
            <w:tcW w:w="11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20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280" w:type="dxa"/>
            <w:vAlign w:val="bottom"/>
            <w:gridSpan w:val="3"/>
          </w:tcPr>
          <w:p>
            <w:pPr>
              <w:spacing w:after="0"/>
              <w:rPr>
                <w:sz w:val="20"/>
                <w:szCs w:val="20"/>
                <w:color w:val="auto"/>
              </w:rPr>
            </w:pPr>
            <w:r>
              <w:rPr>
                <w:rFonts w:ascii="Arial" w:cs="Arial" w:eastAsia="Arial" w:hAnsi="Arial"/>
                <w:sz w:val="18"/>
                <w:szCs w:val="18"/>
                <w:color w:val="auto"/>
              </w:rPr>
              <w:t>* Includes international sales of</w:t>
            </w:r>
          </w:p>
        </w:tc>
        <w:tc>
          <w:tcPr>
            <w:tcW w:w="92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135,724</w:t>
            </w:r>
          </w:p>
        </w:tc>
        <w:tc>
          <w:tcPr>
            <w:tcW w:w="260" w:type="dxa"/>
            <w:vAlign w:val="bottom"/>
          </w:tcPr>
          <w:p>
            <w:pPr>
              <w:spacing w:after="0"/>
              <w:rPr>
                <w:sz w:val="24"/>
                <w:szCs w:val="24"/>
                <w:color w:val="auto"/>
              </w:rPr>
            </w:pPr>
          </w:p>
        </w:tc>
        <w:tc>
          <w:tcPr>
            <w:tcW w:w="22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124,585</w:t>
            </w:r>
          </w:p>
        </w:tc>
        <w:tc>
          <w:tcPr>
            <w:tcW w:w="160" w:type="dxa"/>
            <w:vAlign w:val="bottom"/>
          </w:tcPr>
          <w:p>
            <w:pPr>
              <w:spacing w:after="0"/>
              <w:rPr>
                <w:sz w:val="24"/>
                <w:szCs w:val="24"/>
                <w:color w:val="auto"/>
              </w:rPr>
            </w:pPr>
          </w:p>
        </w:tc>
        <w:tc>
          <w:tcPr>
            <w:tcW w:w="3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610,635</w:t>
            </w:r>
          </w:p>
        </w:tc>
        <w:tc>
          <w:tcPr>
            <w:tcW w:w="220" w:type="dxa"/>
            <w:vAlign w:val="bottom"/>
          </w:tcPr>
          <w:p>
            <w:pPr>
              <w:spacing w:after="0"/>
              <w:rPr>
                <w:sz w:val="24"/>
                <w:szCs w:val="24"/>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622,614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9"/>
          </w:tcPr>
          <w:p>
            <w:pPr>
              <w:jc w:val="right"/>
              <w:ind w:right="1020"/>
              <w:spacing w:after="0"/>
              <w:rPr>
                <w:sz w:val="20"/>
                <w:szCs w:val="20"/>
                <w:color w:val="auto"/>
              </w:rPr>
            </w:pPr>
            <w:r>
              <w:rPr>
                <w:rFonts w:ascii="Arial" w:cs="Arial" w:eastAsia="Arial" w:hAnsi="Arial"/>
                <w:sz w:val="14"/>
                <w:szCs w:val="14"/>
                <w:b w:val="1"/>
                <w:bCs w:val="1"/>
                <w:color w:val="auto"/>
              </w:rPr>
              <w:t>Fiscal Years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 Earnings (Loss) Before Income Taxes</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October 31,</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October 31,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October 31,</w:t>
            </w: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49,283</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31,640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308,010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276,305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15,825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16,262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84,956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76,916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(29,803)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(30,126)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(101,935)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(96,776)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35,305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17,776</w:t>
            </w:r>
          </w:p>
        </w:tc>
        <w:tc>
          <w:tcPr>
            <w:tcW w:w="1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291,031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256,445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55"/>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TORO COMPANY AND SUBSIDIARIES</w:t>
      </w:r>
    </w:p>
    <w:p>
      <w:pPr>
        <w:sectPr>
          <w:pgSz w:w="11900" w:h="16838" w:orient="portrait"/>
          <w:cols w:equalWidth="0" w:num="1">
            <w:col w:w="11460"/>
          </w:cols>
          <w:pgMar w:left="240" w:top="125" w:right="199" w:bottom="0" w:gutter="0" w:footer="0" w:header="0"/>
          <w:type w:val="continuous"/>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October 31,</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October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7580" w:type="dxa"/>
            <w:vAlign w:val="bottom"/>
            <w:tcBorders>
              <w:bottom w:val="single" w:sz="8" w:color="CCEEFF"/>
            </w:tcBorders>
            <w:gridSpan w:val="2"/>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126,275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314,873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177,013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334,514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274,603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34,782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38,095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42,822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710,679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824,036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224,995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28,568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and other assets, net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339,416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1,303,658</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1,192,415</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2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152,017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268,361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248,691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443,734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400,420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354,818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Deferred revenue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11,365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31,569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462,165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408,727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1,303,658</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1,192,415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4"/>
            <w:vMerge w:val="restart"/>
          </w:tcPr>
          <w:p>
            <w:pPr>
              <w:jc w:val="center"/>
              <w:ind w:left="3090"/>
              <w:spacing w:after="0"/>
              <w:rPr>
                <w:sz w:val="20"/>
                <w:szCs w:val="20"/>
                <w:color w:val="auto"/>
              </w:rPr>
            </w:pPr>
            <w:r>
              <w:rPr>
                <w:rFonts w:ascii="Arial" w:cs="Arial" w:eastAsia="Arial" w:hAnsi="Arial"/>
                <w:sz w:val="18"/>
                <w:szCs w:val="18"/>
                <w:color w:val="auto"/>
                <w:w w:val="99"/>
              </w:rPr>
              <w:t>6</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4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040" w:type="dxa"/>
            <w:vAlign w:val="bottom"/>
            <w:tcBorders>
              <w:bottom w:val="single" w:sz="8" w:color="808080"/>
            </w:tcBorders>
          </w:tcPr>
          <w:p>
            <w:pPr>
              <w:spacing w:after="0"/>
              <w:rPr>
                <w:sz w:val="11"/>
                <w:szCs w:val="11"/>
                <w:color w:val="auto"/>
              </w:rPr>
            </w:pPr>
          </w:p>
        </w:tc>
        <w:tc>
          <w:tcPr>
            <w:tcW w:w="45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540" w:type="dxa"/>
            <w:vAlign w:val="bottom"/>
          </w:tcPr>
          <w:p>
            <w:pPr>
              <w:jc w:val="center"/>
              <w:ind w:right="410"/>
              <w:spacing w:after="0"/>
              <w:rPr>
                <w:sz w:val="20"/>
                <w:szCs w:val="20"/>
                <w:color w:val="auto"/>
              </w:rPr>
            </w:pPr>
            <w:r>
              <w:rPr>
                <w:rFonts w:ascii="Arial" w:cs="Arial" w:eastAsia="Arial" w:hAnsi="Arial"/>
                <w:sz w:val="18"/>
                <w:szCs w:val="18"/>
                <w:b w:val="1"/>
                <w:bCs w:val="1"/>
                <w:color w:val="auto"/>
              </w:rPr>
              <w:t>THE TORO COMPANY AND SUBSIDIARIES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580" w:type="dxa"/>
            <w:vAlign w:val="bottom"/>
            <w:gridSpan w:val="2"/>
          </w:tcPr>
          <w:p>
            <w:pPr>
              <w:jc w:val="center"/>
              <w:ind w:left="2430"/>
              <w:spacing w:after="0"/>
              <w:rPr>
                <w:sz w:val="20"/>
                <w:szCs w:val="20"/>
                <w:color w:val="auto"/>
              </w:rPr>
            </w:pPr>
            <w:r>
              <w:rPr>
                <w:rFonts w:ascii="Arial" w:cs="Arial" w:eastAsia="Arial" w:hAnsi="Arial"/>
                <w:sz w:val="18"/>
                <w:szCs w:val="18"/>
                <w:b w:val="1"/>
                <w:bCs w:val="1"/>
                <w:color w:val="auto"/>
                <w:w w:val="88"/>
              </w:rPr>
              <w:t>Condensed Consolidated Statements of Cash Flows (Unaudited)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54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(Dollars in thousands)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Fiscal Years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October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2"/>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Net earnings</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201,591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173,870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Noncash income from finance affiliate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(8,353)</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Provision for depreciation, amortization, and impairment loss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63,143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Stock-based compensation expense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10,836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11,291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Decrease (increase) in deferred income taxes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Receivables, net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(25,647)</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(52,656)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rPr>
              <w:t>Prepaid expenses and other assets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(3,245)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48,490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gridSpan w:val="3"/>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236,869</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182,365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(56,374)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Proceeds from asset disposals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Distributions from finance affiliate, net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Acquisitions, net of cash acquired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(198,329)</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(250,260)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(Repayments of) increase in short-term debt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(21,283)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(Repayments of) increase in long-term debt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8,459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Purchases of Toro common stock</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(106,964)</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(103,039)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(55,549)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gridSpan w:val="3"/>
          </w:tcPr>
          <w:p>
            <w:pPr>
              <w:ind w:left="520"/>
              <w:spacing w:after="0"/>
              <w:rPr>
                <w:sz w:val="20"/>
                <w:szCs w:val="20"/>
                <w:color w:val="auto"/>
              </w:rPr>
            </w:pPr>
            <w:r>
              <w:rPr>
                <w:rFonts w:ascii="Arial" w:cs="Arial" w:eastAsia="Arial" w:hAnsi="Arial"/>
                <w:sz w:val="18"/>
                <w:szCs w:val="18"/>
                <w:color w:val="auto"/>
              </w:rPr>
              <w:t>Net cash (used in) provided by financing activities</w:t>
            </w: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(173,361)</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17,017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(1,846)</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-5815965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-5815965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3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(188,598)</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131,880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9"/>
              </w:rPr>
              <w:t>Cash and cash equivalents as of the beginning of the fiscal year</w:t>
            </w:r>
          </w:p>
        </w:tc>
        <w:tc>
          <w:tcPr>
            <w:tcW w:w="3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314,873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fiscal year</w:t>
            </w:r>
          </w:p>
        </w:tc>
        <w:tc>
          <w:tcPr>
            <w:tcW w:w="3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126,275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7</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10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2019-12-05T22:23:17Z</dcterms:created>
  <dcterms:modified xsi:type="dcterms:W3CDTF">2019-12-05T22:23:17Z</dcterms:modified>
</cp:coreProperties>
</file>