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532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5322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6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WOLFE STEPHEN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12/03/2008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46"/>
        <w:spacing w:after="0"/>
        <w:rPr>
          <w:sz w:val="20"/>
          <w:szCs w:val="20"/>
          <w:color w:val="auto"/>
        </w:rPr>
      </w:pPr>
      <w:r>
        <w:rPr>
          <w:rFonts w:ascii="Arial" w:cs="Arial" w:eastAsia="Arial" w:hAnsi="Arial"/>
          <w:sz w:val="17"/>
          <w:szCs w:val="17"/>
          <w:color w:val="0000FF"/>
        </w:rPr>
        <w:t>VP, Finance &amp; CFO</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62"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6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2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 Units</w:t>
            </w:r>
          </w:p>
        </w:tc>
        <w:tc>
          <w:tcPr>
            <w:tcW w:w="1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24,102.714</w:t>
            </w:r>
            <w:r>
              <w:rPr>
                <w:rFonts w:ascii="Arial" w:cs="Arial" w:eastAsia="Arial" w:hAnsi="Arial"/>
                <w:sz w:val="22"/>
                <w:szCs w:val="22"/>
                <w:color w:val="008000"/>
                <w:w w:val="89"/>
                <w:vertAlign w:val="superscript"/>
              </w:rPr>
              <w:t>(1)</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Matching Units</w:t>
            </w:r>
          </w:p>
        </w:tc>
        <w:tc>
          <w:tcPr>
            <w:tcW w:w="1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12,051.331</w:t>
            </w:r>
            <w:r>
              <w:rPr>
                <w:rFonts w:ascii="Arial" w:cs="Arial" w:eastAsia="Arial" w:hAnsi="Arial"/>
                <w:sz w:val="22"/>
                <w:szCs w:val="22"/>
                <w:color w:val="008000"/>
                <w:w w:val="89"/>
                <w:vertAlign w:val="superscript"/>
              </w:rPr>
              <w:t>(2)</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Performance Share Units</w:t>
            </w:r>
          </w:p>
        </w:tc>
        <w:tc>
          <w:tcPr>
            <w:tcW w:w="1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204,254.828</w:t>
            </w:r>
            <w:r>
              <w:rPr>
                <w:rFonts w:ascii="Arial" w:cs="Arial" w:eastAsia="Arial" w:hAnsi="Arial"/>
                <w:sz w:val="22"/>
                <w:szCs w:val="22"/>
                <w:color w:val="008000"/>
                <w:w w:val="88"/>
                <w:vertAlign w:val="superscript"/>
              </w:rPr>
              <w:t>(3)</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By trust for</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0000FF"/>
                <w:w w:val="92"/>
              </w:rPr>
              <w:t>50,790</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reporting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person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jc w:val="center"/>
              <w:spacing w:after="0" w:line="214" w:lineRule="exact"/>
              <w:rPr>
                <w:sz w:val="20"/>
                <w:szCs w:val="20"/>
                <w:color w:val="auto"/>
              </w:rPr>
            </w:pPr>
            <w:r>
              <w:rPr>
                <w:rFonts w:ascii="Arial" w:cs="Arial" w:eastAsia="Arial" w:hAnsi="Arial"/>
                <w:sz w:val="17"/>
                <w:szCs w:val="17"/>
                <w:color w:val="0000FF"/>
                <w:w w:val="89"/>
              </w:rPr>
              <w:t>27,463.975</w:t>
            </w:r>
            <w:r>
              <w:rPr>
                <w:rFonts w:ascii="Arial" w:cs="Arial" w:eastAsia="Arial" w:hAnsi="Arial"/>
                <w:sz w:val="22"/>
                <w:szCs w:val="22"/>
                <w:color w:val="008000"/>
                <w:w w:val="89"/>
                <w:vertAlign w:val="superscript"/>
              </w:rPr>
              <w:t>(4)</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8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41"/>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28.62</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12/03/2008</w:t>
            </w:r>
          </w:p>
        </w:tc>
        <w:tc>
          <w:tcPr>
            <w:tcW w:w="1120" w:type="dxa"/>
            <w:vAlign w:val="bottom"/>
          </w:tcPr>
          <w:p>
            <w:pPr>
              <w:spacing w:after="0"/>
              <w:rPr>
                <w:sz w:val="20"/>
                <w:szCs w:val="20"/>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24,200</w:t>
            </w:r>
          </w:p>
        </w:tc>
        <w:tc>
          <w:tcPr>
            <w:tcW w:w="300" w:type="dxa"/>
            <w:vAlign w:val="bottom"/>
          </w:tcPr>
          <w:p>
            <w:pPr>
              <w:spacing w:after="0"/>
              <w:rPr>
                <w:sz w:val="20"/>
                <w:szCs w:val="20"/>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12/03/2018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24,200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24,200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0"/>
                <w:szCs w:val="20"/>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Common Stock Units acquired by the reporting person under the dividend reinvestment feature of The Toro Company Deferred Compensation Plan for Officers: 75.321 Common Stock Units acquired on January 11, 2008, 86.338 Common Stock Units acquired on April 11, 2008, 115.926 Common Stock Units acquired on July 11, 2008 and 111.549 Common Stock Units acquired on October 11, 2008. Also includes an account adjustment (rounding) of .2454 Common Stock Units.</w:t>
      </w:r>
    </w:p>
    <w:p>
      <w:pPr>
        <w:spacing w:after="0" w:line="21" w:lineRule="exact"/>
        <w:rPr>
          <w:rFonts w:ascii="Arial" w:cs="Arial" w:eastAsia="Arial" w:hAnsi="Arial"/>
          <w:sz w:val="13"/>
          <w:szCs w:val="13"/>
          <w:color w:val="008000"/>
        </w:rPr>
      </w:pPr>
    </w:p>
    <w:p>
      <w:pPr>
        <w:ind w:left="40" w:right="30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Matching Units acquired by the reporting person under the dividend reinvestment feature of The Toro Company Deferred Compensation Plan for Officers: 37.66 Matching Units acquired on January 11, 2008, 43.168 Matching Units acquired on April 11, 2008, 57.962 Matching Units acquired on July 11, 2008 and 55.774 Matching Units acquired on October 17, 2008. Also includes an account adjustment (rounding) of 2.1223 Matching Units.</w:t>
      </w:r>
    </w:p>
    <w:p>
      <w:pPr>
        <w:spacing w:after="0" w:line="21" w:lineRule="exact"/>
        <w:rPr>
          <w:rFonts w:ascii="Arial" w:cs="Arial" w:eastAsia="Arial" w:hAnsi="Arial"/>
          <w:sz w:val="13"/>
          <w:szCs w:val="13"/>
          <w:color w:val="008000"/>
        </w:rPr>
      </w:pPr>
    </w:p>
    <w:p>
      <w:pPr>
        <w:ind w:left="40" w:right="40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Performance Share Units acquired by the reporting person under the dividend reinvestment feature of The Toro Company Deferred Compensation Plan for Officers: 638.298 Performance Share Units acquired on January 11, 2008, 731.656 Performance Share Units acquired on April 11, 2008, 982.393 Performance Share Units acquired on July 11, 2008, and 945.303 Performance Share Units acquired on October 17, 2008. Also includes an account adjustment (rounding) of 2.0751 Performance Share Units.</w:t>
      </w:r>
    </w:p>
    <w:p>
      <w:pPr>
        <w:spacing w:after="0" w:line="21" w:lineRule="exact"/>
        <w:rPr>
          <w:rFonts w:ascii="Arial" w:cs="Arial" w:eastAsia="Arial" w:hAnsi="Arial"/>
          <w:sz w:val="13"/>
          <w:szCs w:val="13"/>
          <w:color w:val="008000"/>
        </w:rPr>
      </w:pPr>
    </w:p>
    <w:p>
      <w:pPr>
        <w:ind w:left="40" w:right="2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under the dividend reinvestment feature of The Toro Company Investment, Savings &amp; ESOP: 82.5762 shares acquired on January 11, 2008, 98.776 shares acquired on April 11, 2008, 131.762 shares acquired on July 11, 2008 and 127.834 shares acquired on October 17, 2008. Also includes 68.091 shares of common stock acquired by the reporting person through issuer matching contributions to The Toro Company Investment, Savings &amp; ESOP.</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Stacy L. Bogart, Atty-In-Fact</w:t>
            </w:r>
          </w:p>
        </w:tc>
        <w:tc>
          <w:tcPr>
            <w:tcW w:w="2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12/05/2008</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6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2019-12-16T04:21:54Z</dcterms:created>
  <dcterms:modified xsi:type="dcterms:W3CDTF">2019-12-16T04:21:54Z</dcterms:modified>
</cp:coreProperties>
</file>