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Schedule 13G Under</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Information Statement Pursuant to Rules 13d-1 and 13d-2</w:t>
      </w:r>
    </w:p>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The Toro Company</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Common Par</w:t>
      </w:r>
    </w:p>
    <w:p>
      <w:pPr>
        <w:jc w:val="center"/>
        <w:ind w:right="20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891092108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260" w:val="left"/>
          <w:tab w:leader="none" w:pos="3040" w:val="left"/>
          <w:tab w:leader="none" w:pos="66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891092108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Toro Company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2220" w:right="2519"/>
        <w:spacing w:after="0" w:line="235" w:lineRule="auto"/>
        <w:tabs>
          <w:tab w:leader="none" w:pos="2852"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The Chase Manhattan Corporation - CMC</w:t>
      </w:r>
    </w:p>
    <w:p>
      <w:pPr>
        <w:spacing w:after="0" w:line="1" w:lineRule="exact"/>
        <w:rPr>
          <w:rFonts w:ascii="Courier New" w:cs="Courier New" w:eastAsia="Courier New" w:hAnsi="Courier New"/>
          <w:sz w:val="18"/>
          <w:szCs w:val="18"/>
          <w:color w:val="auto"/>
        </w:rPr>
      </w:pP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Chase Manhattan Bank - CMB</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2"/>
              </w:rPr>
              <w:t>2</w:t>
            </w:r>
          </w:p>
        </w:tc>
        <w:tc>
          <w:tcPr>
            <w:tcW w:w="6440" w:type="dxa"/>
            <w:vAlign w:val="bottom"/>
          </w:tcPr>
          <w:p>
            <w:pPr>
              <w:ind w:left="10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w w:val="92"/>
              </w:rPr>
              <w:t>(A)</w:t>
            </w:r>
          </w:p>
        </w:tc>
      </w:tr>
      <w:tr>
        <w:trPr>
          <w:trHeight w:val="0"/>
        </w:trPr>
        <w:tc>
          <w:tcPr>
            <w:tcW w:w="11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w w:val="92"/>
              </w:rPr>
              <w:t>(B)</w:t>
            </w:r>
          </w:p>
        </w:tc>
      </w:tr>
    </w:tbl>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2"/>
              </w:rPr>
              <w:t>4</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CITIZENSHIP OR PLACE</w:t>
            </w:r>
          </w:p>
        </w:tc>
        <w:tc>
          <w:tcPr>
            <w:tcW w:w="226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9"/>
              </w:rPr>
              <w:t>OF ORGANIZATION</w:t>
            </w:r>
          </w:p>
        </w:tc>
      </w:tr>
      <w:tr>
        <w:trPr>
          <w:trHeight w:val="203"/>
        </w:trPr>
        <w:tc>
          <w:tcPr>
            <w:tcW w:w="1160" w:type="dxa"/>
            <w:vAlign w:val="bottom"/>
          </w:tcPr>
          <w:p>
            <w:pPr>
              <w:spacing w:after="0"/>
              <w:rPr>
                <w:sz w:val="17"/>
                <w:szCs w:val="17"/>
                <w:color w:val="auto"/>
              </w:rPr>
            </w:pP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Chase Manhattan Corporation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Delaware</w:t>
            </w:r>
          </w:p>
        </w:tc>
      </w:tr>
      <w:tr>
        <w:trPr>
          <w:trHeight w:val="203"/>
        </w:trPr>
        <w:tc>
          <w:tcPr>
            <w:tcW w:w="1160" w:type="dxa"/>
            <w:vAlign w:val="bottom"/>
          </w:tcPr>
          <w:p>
            <w:pPr>
              <w:spacing w:after="0"/>
              <w:rPr>
                <w:sz w:val="17"/>
                <w:szCs w:val="17"/>
                <w:color w:val="auto"/>
              </w:rPr>
            </w:pP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Chase Manhattan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Bank - New</w:t>
            </w:r>
          </w:p>
        </w:tc>
        <w:tc>
          <w:tcPr>
            <w:tcW w:w="1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York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57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CMC</w:t>
            </w:r>
          </w:p>
        </w:tc>
        <w:tc>
          <w:tcPr>
            <w:tcW w:w="4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None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1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CMB</w:t>
            </w:r>
          </w:p>
        </w:tc>
        <w:tc>
          <w:tcPr>
            <w:tcW w:w="4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None</w:t>
            </w:r>
          </w:p>
        </w:tc>
      </w:tr>
      <w:tr>
        <w:trPr>
          <w:trHeight w:val="203"/>
        </w:trPr>
        <w:tc>
          <w:tcPr>
            <w:tcW w:w="1740" w:type="dxa"/>
            <w:vAlign w:val="bottom"/>
          </w:tcPr>
          <w:p>
            <w:pPr>
              <w:spacing w:after="0"/>
              <w:rPr>
                <w:sz w:val="17"/>
                <w:szCs w:val="17"/>
                <w:color w:val="auto"/>
              </w:rPr>
            </w:pPr>
          </w:p>
        </w:tc>
        <w:tc>
          <w:tcPr>
            <w:tcW w:w="670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CMC</w:t>
            </w:r>
          </w:p>
        </w:tc>
        <w:tc>
          <w:tcPr>
            <w:tcW w:w="4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None</w:t>
            </w:r>
          </w:p>
        </w:tc>
      </w:tr>
      <w:tr>
        <w:trPr>
          <w:trHeight w:val="203"/>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CMB</w:t>
            </w:r>
          </w:p>
        </w:tc>
        <w:tc>
          <w:tcPr>
            <w:tcW w:w="4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None</w:t>
            </w:r>
          </w:p>
        </w:tc>
      </w:tr>
      <w:tr>
        <w:trPr>
          <w:trHeight w:val="203"/>
        </w:trPr>
        <w:tc>
          <w:tcPr>
            <w:tcW w:w="1740" w:type="dxa"/>
            <w:vAlign w:val="bottom"/>
          </w:tcPr>
          <w:p>
            <w:pPr>
              <w:spacing w:after="0"/>
              <w:rPr>
                <w:sz w:val="17"/>
                <w:szCs w:val="17"/>
                <w:color w:val="auto"/>
              </w:rPr>
            </w:pPr>
          </w:p>
        </w:tc>
        <w:tc>
          <w:tcPr>
            <w:tcW w:w="670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CMC</w:t>
            </w:r>
          </w:p>
        </w:tc>
        <w:tc>
          <w:tcPr>
            <w:tcW w:w="4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None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CMB</w:t>
            </w:r>
          </w:p>
        </w:tc>
        <w:tc>
          <w:tcPr>
            <w:tcW w:w="4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None</w:t>
            </w:r>
          </w:p>
        </w:tc>
      </w:tr>
      <w:tr>
        <w:trPr>
          <w:trHeight w:val="203"/>
        </w:trPr>
        <w:tc>
          <w:tcPr>
            <w:tcW w:w="1740" w:type="dxa"/>
            <w:vAlign w:val="bottom"/>
          </w:tcPr>
          <w:p>
            <w:pPr>
              <w:spacing w:after="0"/>
              <w:rPr>
                <w:sz w:val="17"/>
                <w:szCs w:val="17"/>
                <w:color w:val="auto"/>
              </w:rPr>
            </w:pPr>
          </w:p>
        </w:tc>
        <w:tc>
          <w:tcPr>
            <w:tcW w:w="670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CMC</w:t>
            </w:r>
          </w:p>
        </w:tc>
        <w:tc>
          <w:tcPr>
            <w:tcW w:w="4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CMB</w:t>
            </w:r>
          </w:p>
        </w:tc>
        <w:tc>
          <w:tcPr>
            <w:tcW w:w="4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 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10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73"/>
              </w:rPr>
              <w:t>9</w:t>
            </w:r>
          </w:p>
        </w:tc>
        <w:tc>
          <w:tcPr>
            <w:tcW w:w="6580" w:type="dxa"/>
            <w:vAlign w:val="bottom"/>
            <w:gridSpan w:val="3"/>
          </w:tcPr>
          <w:p>
            <w:pPr>
              <w:ind w:left="1000"/>
              <w:spacing w:after="0"/>
              <w:rPr>
                <w:sz w:val="20"/>
                <w:szCs w:val="20"/>
                <w:color w:val="auto"/>
              </w:rPr>
            </w:pPr>
            <w:r>
              <w:rPr>
                <w:rFonts w:ascii="Courier New" w:cs="Courier New" w:eastAsia="Courier New" w:hAnsi="Courier New"/>
                <w:sz w:val="18"/>
                <w:szCs w:val="18"/>
                <w:color w:val="auto"/>
                <w:w w:val="97"/>
              </w:rPr>
              <w:t>AGGREGATE AMOUNT BENEFICIALLY OWNED BY EACH REPORTING</w:t>
            </w:r>
          </w:p>
        </w:tc>
      </w:tr>
      <w:tr>
        <w:trPr>
          <w:trHeight w:val="203"/>
        </w:trPr>
        <w:tc>
          <w:tcPr>
            <w:tcW w:w="1100" w:type="dxa"/>
            <w:vAlign w:val="bottom"/>
          </w:tcPr>
          <w:p>
            <w:pPr>
              <w:spacing w:after="0"/>
              <w:rPr>
                <w:sz w:val="17"/>
                <w:szCs w:val="17"/>
                <w:color w:val="auto"/>
              </w:rPr>
            </w:pPr>
          </w:p>
        </w:tc>
        <w:tc>
          <w:tcPr>
            <w:tcW w:w="3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332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CMC</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100" w:type="dxa"/>
            <w:vAlign w:val="bottom"/>
          </w:tcPr>
          <w:p>
            <w:pPr>
              <w:spacing w:after="0"/>
              <w:rPr>
                <w:sz w:val="17"/>
                <w:szCs w:val="17"/>
                <w:color w:val="auto"/>
              </w:rPr>
            </w:pPr>
          </w:p>
        </w:tc>
        <w:tc>
          <w:tcPr>
            <w:tcW w:w="332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CMB</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10</w:t>
            </w:r>
          </w:p>
        </w:tc>
        <w:tc>
          <w:tcPr>
            <w:tcW w:w="2740" w:type="dxa"/>
            <w:vAlign w:val="bottom"/>
          </w:tcPr>
          <w:p>
            <w:pPr>
              <w:ind w:left="1000"/>
              <w:spacing w:after="0"/>
              <w:rPr>
                <w:sz w:val="20"/>
                <w:szCs w:val="20"/>
                <w:color w:val="auto"/>
              </w:rPr>
            </w:pPr>
            <w:r>
              <w:rPr>
                <w:rFonts w:ascii="Courier New" w:cs="Courier New" w:eastAsia="Courier New" w:hAnsi="Courier New"/>
                <w:sz w:val="18"/>
                <w:szCs w:val="18"/>
                <w:color w:val="auto"/>
                <w:w w:val="99"/>
              </w:rPr>
              <w:t>CHECK BOX IF THE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6"/>
              </w:rPr>
              <w:t>AGGREGATE AMOUNT IN ROW (9) EXCLUDES</w:t>
            </w:r>
          </w:p>
        </w:tc>
      </w:tr>
      <w:tr>
        <w:trPr>
          <w:trHeight w:val="203"/>
        </w:trPr>
        <w:tc>
          <w:tcPr>
            <w:tcW w:w="1220" w:type="dxa"/>
            <w:vAlign w:val="bottom"/>
          </w:tcPr>
          <w:p>
            <w:pPr>
              <w:spacing w:after="0"/>
              <w:rPr>
                <w:sz w:val="17"/>
                <w:szCs w:val="17"/>
                <w:color w:val="auto"/>
              </w:rPr>
            </w:pPr>
          </w:p>
        </w:tc>
        <w:tc>
          <w:tcPr>
            <w:tcW w:w="2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9"/>
              </w:rPr>
              <w:t>CERTAIN SHARES *</w:t>
            </w:r>
          </w:p>
        </w:tc>
        <w:tc>
          <w:tcPr>
            <w:tcW w:w="38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11</w:t>
            </w:r>
          </w:p>
        </w:tc>
        <w:tc>
          <w:tcPr>
            <w:tcW w:w="2680" w:type="dxa"/>
            <w:vAlign w:val="bottom"/>
          </w:tcPr>
          <w:p>
            <w:pPr>
              <w:ind w:left="1000"/>
              <w:spacing w:after="0"/>
              <w:rPr>
                <w:sz w:val="20"/>
                <w:szCs w:val="20"/>
                <w:color w:val="auto"/>
              </w:rPr>
            </w:pPr>
            <w:r>
              <w:rPr>
                <w:rFonts w:ascii="Courier New" w:cs="Courier New" w:eastAsia="Courier New" w:hAnsi="Courier New"/>
                <w:sz w:val="18"/>
                <w:szCs w:val="18"/>
                <w:color w:val="auto"/>
                <w:w w:val="96"/>
              </w:rPr>
              <w:t>PERCENT OF CLASS</w:t>
            </w:r>
          </w:p>
        </w:tc>
        <w:tc>
          <w:tcPr>
            <w:tcW w:w="3280" w:type="dxa"/>
            <w:vAlign w:val="bottom"/>
          </w:tcPr>
          <w:p>
            <w:pPr>
              <w:ind w:left="120"/>
              <w:spacing w:after="0"/>
              <w:rPr>
                <w:sz w:val="20"/>
                <w:szCs w:val="20"/>
                <w:color w:val="auto"/>
              </w:rPr>
            </w:pPr>
            <w:r>
              <w:rPr>
                <w:rFonts w:ascii="Courier New" w:cs="Courier New" w:eastAsia="Courier New" w:hAnsi="Courier New"/>
                <w:sz w:val="18"/>
                <w:szCs w:val="18"/>
                <w:color w:val="auto"/>
                <w:w w:val="96"/>
              </w:rPr>
              <w:t>REPRESENTED BY AMOUNT IN ROW 9</w:t>
            </w:r>
          </w:p>
        </w:tc>
      </w:tr>
      <w:tr>
        <w:trPr>
          <w:trHeight w:val="203"/>
        </w:trPr>
        <w:tc>
          <w:tcPr>
            <w:tcW w:w="1220" w:type="dxa"/>
            <w:vAlign w:val="bottom"/>
          </w:tcPr>
          <w:p>
            <w:pPr>
              <w:spacing w:after="0"/>
              <w:rPr>
                <w:sz w:val="17"/>
                <w:szCs w:val="17"/>
                <w:color w:val="auto"/>
              </w:rPr>
            </w:pPr>
          </w:p>
        </w:tc>
        <w:tc>
          <w:tcPr>
            <w:tcW w:w="268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CMC -</w:t>
            </w:r>
          </w:p>
        </w:tc>
        <w:tc>
          <w:tcPr>
            <w:tcW w:w="3280" w:type="dxa"/>
            <w:vAlign w:val="bottom"/>
          </w:tcPr>
          <w:p>
            <w:pPr>
              <w:jc w:val="right"/>
              <w:ind w:right="2872"/>
              <w:spacing w:after="0" w:line="203" w:lineRule="exact"/>
              <w:rPr>
                <w:sz w:val="20"/>
                <w:szCs w:val="20"/>
                <w:color w:val="auto"/>
              </w:rPr>
            </w:pPr>
            <w:r>
              <w:rPr>
                <w:rFonts w:ascii="Courier New" w:cs="Courier New" w:eastAsia="Courier New" w:hAnsi="Courier New"/>
                <w:sz w:val="18"/>
                <w:szCs w:val="18"/>
                <w:color w:val="auto"/>
                <w:w w:val="92"/>
              </w:rPr>
              <w:t>0 %</w:t>
            </w:r>
          </w:p>
        </w:tc>
      </w:tr>
      <w:tr>
        <w:trPr>
          <w:trHeight w:val="203"/>
        </w:trPr>
        <w:tc>
          <w:tcPr>
            <w:tcW w:w="1220" w:type="dxa"/>
            <w:vAlign w:val="bottom"/>
          </w:tcPr>
          <w:p>
            <w:pPr>
              <w:spacing w:after="0"/>
              <w:rPr>
                <w:sz w:val="17"/>
                <w:szCs w:val="17"/>
                <w:color w:val="auto"/>
              </w:rPr>
            </w:pPr>
          </w:p>
        </w:tc>
        <w:tc>
          <w:tcPr>
            <w:tcW w:w="268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CMB -</w:t>
            </w:r>
          </w:p>
        </w:tc>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12</w:t>
            </w:r>
          </w:p>
        </w:tc>
        <w:tc>
          <w:tcPr>
            <w:tcW w:w="384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TYPE OF PERSON REPORTING*</w:t>
            </w:r>
          </w:p>
        </w:tc>
      </w:tr>
      <w:tr>
        <w:trPr>
          <w:trHeight w:val="203"/>
        </w:trPr>
        <w:tc>
          <w:tcPr>
            <w:tcW w:w="1220" w:type="dxa"/>
            <w:vAlign w:val="bottom"/>
          </w:tcPr>
          <w:p>
            <w:pPr>
              <w:spacing w:after="0"/>
              <w:rPr>
                <w:sz w:val="17"/>
                <w:szCs w:val="17"/>
                <w:color w:val="auto"/>
              </w:rPr>
            </w:pPr>
          </w:p>
        </w:tc>
        <w:tc>
          <w:tcPr>
            <w:tcW w:w="326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CMC</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 HC</w:t>
            </w:r>
          </w:p>
        </w:tc>
      </w:tr>
      <w:tr>
        <w:trPr>
          <w:trHeight w:val="203"/>
        </w:trPr>
        <w:tc>
          <w:tcPr>
            <w:tcW w:w="1220" w:type="dxa"/>
            <w:vAlign w:val="bottom"/>
          </w:tcPr>
          <w:p>
            <w:pPr>
              <w:spacing w:after="0"/>
              <w:rPr>
                <w:sz w:val="17"/>
                <w:szCs w:val="17"/>
                <w:color w:val="auto"/>
              </w:rPr>
            </w:pPr>
          </w:p>
        </w:tc>
        <w:tc>
          <w:tcPr>
            <w:tcW w:w="326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CMB</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BK</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1(a).Name of Issuer:</w:t>
            </w: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Toro Company</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1(b).Address of Issuer's:</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8111</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Lyndale Avenue South</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Offices</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Bloomington, Mn. 55420</w:t>
            </w:r>
          </w:p>
        </w:tc>
      </w:tr>
      <w:tr>
        <w:trPr>
          <w:trHeight w:val="608"/>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2(a).</w:t>
            </w:r>
          </w:p>
        </w:tc>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notice is filed by The Chase</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Manhattan Corporation (CMC) and its</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wholly owned subsidiary, The Chase</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Manhattan Bank (CMB )</w:t>
            </w:r>
          </w:p>
        </w:tc>
      </w:tr>
      <w:tr>
        <w:trPr>
          <w:trHeight w:val="608"/>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2(b).</w:t>
            </w:r>
          </w:p>
        </w:tc>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rPr>
              <w:t>Address of Principal Business</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CMC:</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270 Park Avenue</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w:t>
            </w:r>
          </w:p>
        </w:tc>
        <w:tc>
          <w:tcPr>
            <w:tcW w:w="52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 10017</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CMB:</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270 Park Avenue</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 10017</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2(c).</w:t>
            </w:r>
          </w:p>
        </w:tc>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CMC - Delaware</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CMB</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New York</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2(d).</w:t>
            </w:r>
          </w:p>
        </w:tc>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Common Par</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2(e).</w:t>
            </w:r>
          </w:p>
        </w:tc>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891092108</w:t>
            </w:r>
          </w:p>
        </w:tc>
      </w:tr>
      <w:tr>
        <w:trPr>
          <w:trHeight w:val="608"/>
        </w:trPr>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40" w:type="dxa"/>
            <w:vAlign w:val="bottom"/>
          </w:tcPr>
          <w:p>
            <w:pPr>
              <w:ind w:left="2640"/>
              <w:spacing w:after="0"/>
              <w:rPr>
                <w:sz w:val="20"/>
                <w:szCs w:val="20"/>
                <w:color w:val="auto"/>
              </w:rPr>
            </w:pPr>
            <w:r>
              <w:rPr>
                <w:rFonts w:ascii="Courier New" w:cs="Courier New" w:eastAsia="Courier New" w:hAnsi="Courier New"/>
                <w:sz w:val="18"/>
                <w:szCs w:val="18"/>
                <w:color w:val="auto"/>
              </w:rPr>
              <w:t>Page 3 of</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6</w:t>
            </w:r>
          </w:p>
        </w:tc>
        <w:tc>
          <w:tcPr>
            <w:tcW w:w="32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ind w:left="1060" w:right="2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13d-2(b), check whether the person filing is a:</w:t>
      </w:r>
    </w:p>
    <w:p>
      <w:pPr>
        <w:spacing w:after="0" w:line="203" w:lineRule="exact"/>
        <w:rPr>
          <w:sz w:val="20"/>
          <w:szCs w:val="20"/>
          <w:color w:val="auto"/>
        </w:rPr>
      </w:pPr>
    </w:p>
    <w:p>
      <w:pPr>
        <w:ind w:left="1060"/>
        <w:spacing w:after="0"/>
        <w:tabs>
          <w:tab w:leader="none" w:pos="1880" w:val="left"/>
          <w:tab w:leader="none" w:pos="230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01"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(b) [ X ]</w:t>
      </w:r>
      <w:r>
        <w:rPr>
          <w:sz w:val="20"/>
          <w:szCs w:val="20"/>
          <w:color w:val="auto"/>
        </w:rPr>
        <w:tab/>
      </w:r>
      <w:r>
        <w:rPr>
          <w:rFonts w:ascii="Courier New" w:cs="Courier New" w:eastAsia="Courier New" w:hAnsi="Courier New"/>
          <w:sz w:val="16"/>
          <w:szCs w:val="16"/>
          <w:color w:val="auto"/>
        </w:rPr>
        <w:t>Bank as defined in Section 3(a)(6) of the Act.</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9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Insurance Company as defined in Section 3(a)(19) of the Act.</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 [</w:t>
      </w:r>
    </w:p>
    <w:p>
      <w:pPr>
        <w:spacing w:after="0" w:line="20" w:lineRule="exact"/>
        <w:rPr>
          <w:sz w:val="20"/>
          <w:szCs w:val="20"/>
          <w:color w:val="auto"/>
        </w:rPr>
      </w:pPr>
      <w:r>
        <w:rPr>
          <w:sz w:val="20"/>
          <w:szCs w:val="20"/>
          <w:color w:val="auto"/>
        </w:rPr>
        <w:br w:type="column"/>
      </w:r>
    </w:p>
    <w:p>
      <w:pPr>
        <w:ind w:right="24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 [</w:t>
      </w:r>
    </w:p>
    <w:p>
      <w:pPr>
        <w:spacing w:after="0" w:line="20" w:lineRule="exact"/>
        <w:rPr>
          <w:sz w:val="20"/>
          <w:szCs w:val="20"/>
          <w:color w:val="auto"/>
        </w:rPr>
      </w:pPr>
      <w:r>
        <w:rPr>
          <w:sz w:val="20"/>
          <w:szCs w:val="20"/>
          <w:color w:val="auto"/>
        </w:rPr>
        <w:br w:type="column"/>
      </w:r>
    </w:p>
    <w:p>
      <w:pPr>
        <w:ind w:right="219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Adviser registered under Section 203 of the Investment Advisers Act of 1940.</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ind w:right="1879" w:hanging="419"/>
        <w:spacing w:after="0" w:line="237"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Employee Benefit Plan, Pension Fund which is subject to the provisions of the Employee Retirement Income Security Act of 1974 or endowment Fund [see Section 240.13d-1(b) (1)(ii)(F)].</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7" w:lineRule="exact"/>
        <w:rPr>
          <w:sz w:val="20"/>
          <w:szCs w:val="20"/>
          <w:color w:val="auto"/>
        </w:rPr>
      </w:pPr>
    </w:p>
    <w:p>
      <w:pPr>
        <w:ind w:left="2320" w:right="2619" w:hanging="1259"/>
        <w:spacing w:after="0" w:line="235" w:lineRule="auto"/>
        <w:tabs>
          <w:tab w:leader="none" w:pos="147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Parent Holding Company, in accordance with Section 240.13d-1(b)(ii)(G).</w:t>
      </w:r>
    </w:p>
    <w:p>
      <w:pPr>
        <w:spacing w:after="0" w:line="203" w:lineRule="exact"/>
        <w:rPr>
          <w:sz w:val="20"/>
          <w:szCs w:val="20"/>
          <w:color w:val="auto"/>
        </w:rPr>
      </w:pPr>
    </w:p>
    <w:p>
      <w:pPr>
        <w:ind w:left="1060"/>
        <w:spacing w:after="0"/>
        <w:tabs>
          <w:tab w:leader="none" w:pos="1880" w:val="left"/>
          <w:tab w:leader="none" w:pos="2300" w:val="left"/>
        </w:tabs>
        <w:rPr>
          <w:sz w:val="20"/>
          <w:szCs w:val="20"/>
          <w:color w:val="auto"/>
        </w:rPr>
      </w:pPr>
      <w:r>
        <w:rPr>
          <w:rFonts w:ascii="Courier New" w:cs="Courier New" w:eastAsia="Courier New" w:hAnsi="Courier New"/>
          <w:sz w:val="18"/>
          <w:szCs w:val="18"/>
          <w:color w:val="auto"/>
        </w:rPr>
        <w:t>(h)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 240.13d-1(ii)(H).</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4100" w:type="dxa"/>
            <w:vAlign w:val="bottom"/>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2160" w:type="dxa"/>
            <w:vAlign w:val="bottom"/>
            <w:gridSpan w:val="4"/>
          </w:tcPr>
          <w:p>
            <w:pPr>
              <w:ind w:left="1120"/>
              <w:spacing w:after="0"/>
              <w:rPr>
                <w:sz w:val="20"/>
                <w:szCs w:val="20"/>
                <w:color w:val="auto"/>
              </w:rPr>
            </w:pPr>
            <w:r>
              <w:rPr>
                <w:rFonts w:ascii="Courier New" w:cs="Courier New" w:eastAsia="Courier New" w:hAnsi="Courier New"/>
                <w:sz w:val="18"/>
                <w:szCs w:val="18"/>
                <w:color w:val="auto"/>
                <w:w w:val="94"/>
              </w:rPr>
              <w:t>CMC - None</w:t>
            </w:r>
          </w:p>
        </w:tc>
      </w:tr>
      <w:tr>
        <w:trPr>
          <w:trHeight w:val="203"/>
        </w:trPr>
        <w:tc>
          <w:tcPr>
            <w:tcW w:w="580" w:type="dxa"/>
            <w:vAlign w:val="bottom"/>
          </w:tcPr>
          <w:p>
            <w:pPr>
              <w:spacing w:after="0"/>
              <w:rPr>
                <w:sz w:val="17"/>
                <w:szCs w:val="17"/>
                <w:color w:val="auto"/>
              </w:rPr>
            </w:pPr>
          </w:p>
        </w:tc>
        <w:tc>
          <w:tcPr>
            <w:tcW w:w="4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As of December 31, 1996</w:t>
            </w:r>
          </w:p>
        </w:tc>
        <w:tc>
          <w:tcPr>
            <w:tcW w:w="2160" w:type="dxa"/>
            <w:vAlign w:val="bottom"/>
            <w:gridSpan w:val="4"/>
          </w:tcPr>
          <w:p>
            <w:pPr>
              <w:ind w:left="1120"/>
              <w:spacing w:after="0" w:line="203" w:lineRule="exact"/>
              <w:rPr>
                <w:sz w:val="20"/>
                <w:szCs w:val="20"/>
                <w:color w:val="auto"/>
              </w:rPr>
            </w:pPr>
            <w:r>
              <w:rPr>
                <w:rFonts w:ascii="Courier New" w:cs="Courier New" w:eastAsia="Courier New" w:hAnsi="Courier New"/>
                <w:sz w:val="18"/>
                <w:szCs w:val="18"/>
                <w:color w:val="auto"/>
                <w:w w:val="94"/>
              </w:rPr>
              <w:t>CMB - None</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10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480" w:type="dxa"/>
            <w:vAlign w:val="bottom"/>
          </w:tcPr>
          <w:p>
            <w:pPr>
              <w:ind w:left="1120"/>
              <w:spacing w:after="0"/>
              <w:rPr>
                <w:sz w:val="20"/>
                <w:szCs w:val="20"/>
                <w:color w:val="auto"/>
              </w:rPr>
            </w:pPr>
            <w:r>
              <w:rPr>
                <w:rFonts w:ascii="Courier New" w:cs="Courier New" w:eastAsia="Courier New" w:hAnsi="Courier New"/>
                <w:sz w:val="18"/>
                <w:szCs w:val="18"/>
                <w:color w:val="auto"/>
              </w:rPr>
              <w:t>CMC</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CMB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ind w:left="1900" w:hanging="839"/>
        <w:spacing w:after="0" w:line="238"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CMC - None</w:t>
      </w:r>
    </w:p>
    <w:p>
      <w:pPr>
        <w:spacing w:after="0" w:line="21"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CMB - None</w:t>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CMC - None</w:t>
      </w:r>
    </w:p>
    <w:p>
      <w:pPr>
        <w:spacing w:after="0" w:line="21"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CMB - None</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9" w:lineRule="exact"/>
        <w:rPr>
          <w:sz w:val="20"/>
          <w:szCs w:val="20"/>
          <w:color w:val="auto"/>
        </w:rPr>
      </w:pPr>
    </w:p>
    <w:p>
      <w:pPr>
        <w:ind w:left="3700" w:right="2619" w:hanging="2639"/>
        <w:spacing w:after="0" w:line="235" w:lineRule="auto"/>
        <w:tabs>
          <w:tab w:leader="none" w:pos="19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CMC - None</w:t>
      </w:r>
    </w:p>
    <w:p>
      <w:pPr>
        <w:spacing w:after="0" w:line="1"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CMB - None</w:t>
      </w:r>
    </w:p>
    <w:p>
      <w:pPr>
        <w:spacing w:after="0" w:line="207" w:lineRule="exact"/>
        <w:rPr>
          <w:rFonts w:ascii="Courier New" w:cs="Courier New" w:eastAsia="Courier New" w:hAnsi="Courier New"/>
          <w:sz w:val="18"/>
          <w:szCs w:val="18"/>
          <w:color w:val="auto"/>
        </w:rPr>
      </w:pPr>
    </w:p>
    <w:p>
      <w:pPr>
        <w:ind w:left="3700" w:right="2419" w:hanging="2533"/>
        <w:spacing w:after="0" w:line="235" w:lineRule="auto"/>
        <w:tabs>
          <w:tab w:leader="none" w:pos="19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CMC - None</w:t>
      </w:r>
    </w:p>
    <w:p>
      <w:pPr>
        <w:spacing w:after="0" w:line="1"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CMB - None</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160"/>
        <w:spacing w:after="0" w:line="238" w:lineRule="auto"/>
        <w:rPr>
          <w:sz w:val="20"/>
          <w:szCs w:val="20"/>
          <w:color w:val="auto"/>
        </w:rPr>
      </w:pPr>
      <w:r>
        <w:rPr>
          <w:rFonts w:ascii="Courier New" w:cs="Courier New" w:eastAsia="Courier New" w:hAnsi="Courier New"/>
          <w:sz w:val="18"/>
          <w:szCs w:val="18"/>
          <w:color w:val="auto"/>
        </w:rPr>
        <w:t>Yes - Less than 5% holdings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1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Holds the Security Being Reported on by the Parent Holding Company:</w:t>
      </w:r>
    </w:p>
    <w:p>
      <w:pPr>
        <w:spacing w:after="0" w:line="208" w:lineRule="exact"/>
        <w:rPr>
          <w:sz w:val="20"/>
          <w:szCs w:val="20"/>
          <w:color w:val="auto"/>
        </w:rPr>
      </w:pPr>
    </w:p>
    <w:p>
      <w:pPr>
        <w:ind w:left="1160" w:right="1779"/>
        <w:spacing w:after="0" w:line="268" w:lineRule="auto"/>
        <w:rPr>
          <w:sz w:val="20"/>
          <w:szCs w:val="20"/>
          <w:color w:val="auto"/>
        </w:rPr>
      </w:pPr>
      <w:r>
        <w:rPr>
          <w:rFonts w:ascii="Courier New" w:cs="Courier New" w:eastAsia="Courier New" w:hAnsi="Courier New"/>
          <w:sz w:val="16"/>
          <w:szCs w:val="16"/>
          <w:color w:val="auto"/>
        </w:rPr>
        <w:t>Pursuant to Rule 13(d) - 1 (c): This notice is filed on behalf of both CMC and its subsidiary, CMB. In lieu of attaching an exhibit hereto, the identity of CMB is as set forth on the cover page hereof. CMB is classified as a Bank, as such term is defined in Section (3)</w:t>
      </w:r>
    </w:p>
    <w:p>
      <w:pPr>
        <w:ind w:left="1580" w:hanging="413"/>
        <w:spacing w:after="0" w:line="234"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of the Securities Exchange Act of 1934, as amended,</w:t>
      </w:r>
    </w:p>
    <w:p>
      <w:pPr>
        <w:spacing w:after="0" w:line="207" w:lineRule="exact"/>
        <w:rPr>
          <w:rFonts w:ascii="Courier New" w:cs="Courier New" w:eastAsia="Courier New" w:hAnsi="Courier New"/>
          <w:sz w:val="18"/>
          <w:szCs w:val="18"/>
          <w:color w:val="auto"/>
        </w:rPr>
      </w:pPr>
    </w:p>
    <w:p>
      <w:pPr>
        <w:ind w:left="1160" w:right="2839" w:hanging="11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8.Identification and Classification of Members of this Group: Not applicable.</w:t>
      </w:r>
    </w:p>
    <w:p>
      <w:pPr>
        <w:spacing w:after="0" w:line="11" w:lineRule="exact"/>
        <w:rPr>
          <w:rFonts w:ascii="Courier New" w:cs="Courier New" w:eastAsia="Courier New" w:hAnsi="Courier New"/>
          <w:sz w:val="18"/>
          <w:szCs w:val="18"/>
          <w:color w:val="auto"/>
        </w:rPr>
      </w:pPr>
    </w:p>
    <w:p>
      <w:pPr>
        <w:ind w:left="1160" w:right="5779" w:hanging="11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9.Notice of Dissolution of Group: Not applicable.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6</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THE TORO COMPANY</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860" w:space="300"/>
            <w:col w:w="9059"/>
          </w:cols>
          <w:pgMar w:left="240" w:top="312" w:right="1440" w:bottom="1440" w:gutter="0" w:footer="0" w:header="0"/>
          <w:type w:val="continuous"/>
        </w:sectPr>
      </w:pPr>
    </w:p>
    <w:p>
      <w:pPr>
        <w:spacing w:after="0" w:line="24"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did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ectPr>
          <w:pgSz w:w="11900" w:h="16838" w:orient="portrait"/>
          <w:cols w:equalWidth="0" w:num="2">
            <w:col w:w="1060" w:space="520"/>
            <w:col w:w="8639"/>
          </w:cols>
          <w:pgMar w:left="240" w:top="312"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1997</w:t>
      </w:r>
    </w:p>
    <w:p>
      <w:pPr>
        <w:spacing w:after="0" w:line="200" w:lineRule="exact"/>
        <w:rPr>
          <w:sz w:val="20"/>
          <w:szCs w:val="20"/>
          <w:color w:val="auto"/>
        </w:rPr>
      </w:pPr>
    </w:p>
    <w:p>
      <w:pPr>
        <w:sectPr>
          <w:pgSz w:w="11900" w:h="16838" w:orient="portrait"/>
          <w:cols w:equalWidth="0" w:num="2">
            <w:col w:w="760" w:space="720"/>
            <w:col w:w="8739"/>
          </w:cols>
          <w:pgMar w:left="240" w:top="31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Bank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THE CHASE MANHATTAN CORPORATION</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Allan Nemethy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Allan Nemethy</w:t>
      </w:r>
    </w:p>
    <w:p>
      <w:pPr>
        <w:ind w:left="1060"/>
        <w:spacing w:after="0" w:line="238" w:lineRule="auto"/>
        <w:rPr>
          <w:sz w:val="20"/>
          <w:szCs w:val="20"/>
          <w:color w:val="auto"/>
        </w:rPr>
      </w:pPr>
      <w:r>
        <w:rPr>
          <w:rFonts w:ascii="Courier New" w:cs="Courier New" w:eastAsia="Courier New" w:hAnsi="Courier New"/>
          <w:sz w:val="18"/>
          <w:szCs w:val="18"/>
          <w:color w:val="auto"/>
        </w:rPr>
        <w:t>Trust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Anthony J. Horan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Anthony J. Horan</w:t>
      </w:r>
    </w:p>
    <w:p>
      <w:pPr>
        <w:ind w:left="106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6</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S.%2."/>
      <w:numFmt w:val="upperLetter"/>
      <w:start w:val="19"/>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Letter"/>
      <w:start w:val="7"/>
    </w:lvl>
  </w:abstractNum>
  <w:abstractNum w:abstractNumId="4">
    <w:nsid w:val="507ED7AB"/>
    <w:multiLevelType w:val="hybridMultilevel"/>
    <w:lvl w:ilvl="0">
      <w:lvlJc w:val="left"/>
      <w:lvlText w:val="(%1)"/>
      <w:numFmt w:val="lowerLetter"/>
      <w:start w:val="3"/>
    </w:lvl>
    <w:lvl w:ilvl="1">
      <w:lvlJc w:val="left"/>
      <w:lvlText w:val="(%2)"/>
      <w:numFmt w:val="lowerLetter"/>
      <w:start w:val="9"/>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2019-12-13T13:43:11Z</dcterms:created>
  <dcterms:modified xsi:type="dcterms:W3CDTF">2019-12-13T13:43:11Z</dcterms:modified>
</cp:coreProperties>
</file>