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May 21, 2008</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333-89260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2</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S-8</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80" w:space="720"/>
            <w:col w:w="4320"/>
          </w:cols>
          <w:pgMar w:left="240" w:top="229" w:right="239" w:bottom="1440" w:gutter="0" w:footer="0" w:header="0"/>
          <w:type w:val="continuous"/>
        </w:sect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 (Zip Code)</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 Performance Share Plan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requested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 South Seventh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55402-1509</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607-7287</w:t>
      </w:r>
    </w:p>
    <w:p>
      <w:pPr>
        <w:spacing w:after="0" w:line="9" w:lineRule="exact"/>
        <w:rPr>
          <w:rFonts w:ascii="Arial" w:cs="Arial" w:eastAsia="Arial" w:hAnsi="Arial"/>
          <w:sz w:val="18"/>
          <w:szCs w:val="18"/>
          <w:b w:val="1"/>
          <w:bCs w:val="1"/>
          <w:color w:val="auto"/>
        </w:rPr>
      </w:pPr>
    </w:p>
    <w:p>
      <w:pPr>
        <w:ind w:left="4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w:t>
      </w:r>
    </w:p>
    <w:p>
      <w:pPr>
        <w:spacing w:after="0" w:line="200" w:lineRule="exact"/>
        <w:rPr>
          <w:sz w:val="24"/>
          <w:szCs w:val="24"/>
          <w:color w:val="auto"/>
        </w:rPr>
      </w:pPr>
    </w:p>
    <w:p>
      <w:pPr>
        <w:spacing w:after="0" w:line="281"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Large accelerated filer   x</w:t>
            </w:r>
          </w:p>
        </w:tc>
        <w:tc>
          <w:tcPr>
            <w:tcW w:w="5060" w:type="dxa"/>
            <w:vAlign w:val="bottom"/>
          </w:tcPr>
          <w:p>
            <w:pPr>
              <w:ind w:left="1060"/>
              <w:spacing w:after="0"/>
              <w:rPr>
                <w:sz w:val="20"/>
                <w:szCs w:val="20"/>
                <w:color w:val="auto"/>
              </w:rPr>
            </w:pPr>
            <w:r>
              <w:rPr>
                <w:rFonts w:ascii="Arial" w:cs="Arial" w:eastAsia="Arial" w:hAnsi="Arial"/>
                <w:sz w:val="18"/>
                <w:szCs w:val="18"/>
                <w:color w:val="auto"/>
              </w:rPr>
              <w:t>Accelerated filer   o</w:t>
            </w:r>
          </w:p>
        </w:tc>
      </w:tr>
      <w:tr>
        <w:trPr>
          <w:trHeight w:val="459"/>
        </w:trPr>
        <w:tc>
          <w:tcPr>
            <w:tcW w:w="6360" w:type="dxa"/>
            <w:vAlign w:val="bottom"/>
          </w:tcPr>
          <w:p>
            <w:pPr>
              <w:ind w:left="340"/>
              <w:spacing w:after="0"/>
              <w:rPr>
                <w:sz w:val="20"/>
                <w:szCs w:val="20"/>
                <w:color w:val="auto"/>
              </w:rPr>
            </w:pPr>
            <w:r>
              <w:rPr>
                <w:rFonts w:ascii="Arial" w:cs="Arial" w:eastAsia="Arial" w:hAnsi="Arial"/>
                <w:sz w:val="18"/>
                <w:szCs w:val="18"/>
                <w:color w:val="auto"/>
              </w:rPr>
              <w:t>Non-accelerated filer (Do not check if a smaller reporting company)   o</w:t>
            </w:r>
          </w:p>
        </w:tc>
        <w:tc>
          <w:tcPr>
            <w:tcW w:w="5060" w:type="dxa"/>
            <w:vAlign w:val="bottom"/>
          </w:tcPr>
          <w:p>
            <w:pPr>
              <w:ind w:left="820"/>
              <w:spacing w:after="0"/>
              <w:rPr>
                <w:sz w:val="20"/>
                <w:szCs w:val="20"/>
                <w:color w:val="auto"/>
              </w:rPr>
            </w:pPr>
            <w:r>
              <w:rPr>
                <w:rFonts w:ascii="Arial" w:cs="Arial" w:eastAsia="Arial" w:hAnsi="Arial"/>
                <w:sz w:val="18"/>
                <w:szCs w:val="18"/>
                <w:color w:val="auto"/>
              </w:rPr>
              <w:t>Smaller reporting company   o</w:t>
            </w:r>
          </w:p>
        </w:tc>
      </w:tr>
      <w:tr>
        <w:trPr>
          <w:trHeight w:val="361"/>
        </w:trPr>
        <w:tc>
          <w:tcPr>
            <w:tcW w:w="63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71"/>
        </w:trPr>
        <w:tc>
          <w:tcPr>
            <w:tcW w:w="6360" w:type="dxa"/>
            <w:vAlign w:val="bottom"/>
            <w:shd w:val="clear" w:color="auto" w:fill="808080"/>
          </w:tcPr>
          <w:p>
            <w:pPr>
              <w:spacing w:after="0"/>
              <w:rPr>
                <w:sz w:val="6"/>
                <w:szCs w:val="6"/>
                <w:color w:val="auto"/>
              </w:rPr>
            </w:pPr>
          </w:p>
        </w:tc>
        <w:tc>
          <w:tcPr>
            <w:tcW w:w="506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Post-Effective Amendment No. 2 (the “Amendment”) is filed by The Toro Company (the “Registrant”) and relates to the Registrant’s Registration Statement on Form S-8 (No. 333-87461), filed with the Securities and Exchange Commission (the “Commission”) on September 21, 1999, the Registrant’s Registration Statement on Form S-8 (No. 333-89260), filed with the Commission on May 28, 2002, and the Registrant’s Post-Effective Amendment No. 1 to Form S-8 (No. 333-89260), filed with the Commission on June 2, 2003. Under those two earlier Registration Statements, the Registrant registered shares of its common stock, par value $1.00 per share (the “Common Stock”), and related Preferred Share Purchase Rights, to be offered and sold in connection with the Performance Share Plan (the “Plan”). Following a 2-for-1 stock split with a record date of April 1, 2003, and a second 2-for-1 stock split with a record date of March 28, 2005, the total number of shares, on an after-split basis, authorized to be offered and sold in connection with the Plan was 4,000,000 shares.</w:t>
      </w:r>
    </w:p>
    <w:p>
      <w:pPr>
        <w:spacing w:after="0" w:line="21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February 16, 2006, the Compensation &amp; Human Resources Committee of the Board of Directors of the Registrant approved an amendment to the Plan to decrease the number of shares of Common Stock that may be issued under the Plan from 4,000,000 to 3,000,000, subject to adjustment to reflect changes in the corporate or capital structure of Registrant, including but not limited to stock splits, stock dividends or similar transactions.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January 15, 2008, the Board of Directors of the Registrant, upon recommendation of the Compensation &amp; Human Resources Committee, approved an amendment to the Plan to decrease the number of shares of Common Stock that may be issued under the Plan from 3,000,000 to 2,750,000, subject to adjustment to reflect changes in the corporate or capital structure of Registrant, including but not limited to stock splits, stock dividends or similar transactions. The Registrant is filing this Amendment to deregister 1,250,000 shares of Common Stock under the Plan to reflect the decrease in the number of shares of Common Stock that may be issued under the Plan.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into this Amendment: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30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r>
    </w:tbl>
    <w:p>
      <w:pPr>
        <w:sectPr>
          <w:pgSz w:w="11900" w:h="16838" w:orient="portrait"/>
          <w:cols w:equalWidth="0" w:num="1">
            <w:col w:w="11420"/>
          </w:cols>
          <w:pgMar w:left="240" w:top="60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2 to its Registration Statement to be signed on its behalf by the undersigned, thereunto duly authorized, in the City of Bloomington, State of Minnesota, on May 21, 2008.</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-10160</wp:posOffset>
            </wp:positionV>
            <wp:extent cx="2543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3810"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Vice President, Secretary and General Counsel</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7"/>
              </w:rPr>
              <w:t>Title</w:t>
            </w: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Michael J. Hoffman</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Chairman of the Board, President and</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3"/>
              </w:rPr>
              <w:t>Michael J. Hoffman</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93"/>
              </w:rPr>
              <w:t>Chief Executive Officer and Director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3"/>
          </w:tcPr>
          <w:p>
            <w:pPr>
              <w:jc w:val="center"/>
              <w:ind w:left="670"/>
              <w:spacing w:after="0"/>
              <w:rPr>
                <w:sz w:val="20"/>
                <w:szCs w:val="20"/>
                <w:color w:val="auto"/>
              </w:rPr>
            </w:pPr>
            <w:r>
              <w:rPr>
                <w:rFonts w:ascii="Arial" w:cs="Arial" w:eastAsia="Arial" w:hAnsi="Arial"/>
                <w:sz w:val="18"/>
                <w:szCs w:val="18"/>
                <w:color w:val="auto"/>
                <w:w w:val="94"/>
              </w:rPr>
              <w:t>(principal executive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46"/>
        </w:trPr>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Stephen P. Wolfe</w:t>
            </w: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Vice President, Finance and</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88"/>
              </w:rPr>
              <w:t>Stephen P. Wolfe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94"/>
              </w:rPr>
              <w:t>Chief Financial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96"/>
              </w:rPr>
              <w:t>(principal financial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rPr>
              <w:t>/s/ Blake M. Grams</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80" w:type="dxa"/>
            <w:vAlign w:val="bottom"/>
            <w:gridSpan w:val="3"/>
          </w:tcPr>
          <w:p>
            <w:pPr>
              <w:jc w:val="center"/>
              <w:ind w:left="670"/>
              <w:spacing w:after="0"/>
              <w:rPr>
                <w:sz w:val="20"/>
                <w:szCs w:val="20"/>
                <w:color w:val="auto"/>
              </w:rPr>
            </w:pPr>
            <w:r>
              <w:rPr>
                <w:rFonts w:ascii="Arial" w:cs="Arial" w:eastAsia="Arial" w:hAnsi="Arial"/>
                <w:sz w:val="18"/>
                <w:szCs w:val="18"/>
                <w:color w:val="auto"/>
                <w:w w:val="93"/>
              </w:rPr>
              <w:t>Managing Director,</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2"/>
              </w:rPr>
              <w:t>Blake M. Grams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3"/>
          </w:tcPr>
          <w:p>
            <w:pPr>
              <w:jc w:val="center"/>
              <w:ind w:left="670"/>
              <w:spacing w:after="0"/>
              <w:rPr>
                <w:sz w:val="20"/>
                <w:szCs w:val="20"/>
                <w:color w:val="auto"/>
              </w:rPr>
            </w:pPr>
            <w:r>
              <w:rPr>
                <w:rFonts w:ascii="Arial" w:cs="Arial" w:eastAsia="Arial" w:hAnsi="Arial"/>
                <w:sz w:val="18"/>
                <w:szCs w:val="18"/>
                <w:color w:val="auto"/>
                <w:w w:val="91"/>
              </w:rPr>
              <w:t>Corporate Controller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94"/>
              </w:rPr>
              <w:t>(principal accounting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46"/>
        </w:trPr>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Timothy P. Dordell</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jc w:val="center"/>
              <w:ind w:left="690"/>
              <w:spacing w:after="0"/>
              <w:rPr>
                <w:sz w:val="20"/>
                <w:szCs w:val="20"/>
                <w:color w:val="auto"/>
              </w:rPr>
            </w:pPr>
            <w:r>
              <w:rPr>
                <w:rFonts w:ascii="Arial" w:cs="Arial" w:eastAsia="Arial" w:hAnsi="Arial"/>
                <w:sz w:val="18"/>
                <w:szCs w:val="18"/>
                <w:color w:val="auto"/>
                <w:w w:val="94"/>
              </w:rPr>
              <w:t>Directors</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37"/>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Timothy P. Dordell</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jc w:val="center"/>
        <w:ind w:right="6700"/>
        <w:spacing w:after="0"/>
        <w:rPr>
          <w:sz w:val="20"/>
          <w:szCs w:val="20"/>
          <w:color w:val="auto"/>
        </w:rPr>
      </w:pPr>
      <w:r>
        <w:rPr>
          <w:rFonts w:ascii="Arial" w:cs="Arial" w:eastAsia="Arial" w:hAnsi="Arial"/>
          <w:sz w:val="18"/>
          <w:szCs w:val="18"/>
          <w:color w:val="auto"/>
        </w:rPr>
        <w:t>As attorney in fact for Robert C. Buhrmaster, Winslow H.</w:t>
      </w:r>
    </w:p>
    <w:p>
      <w:pPr>
        <w:spacing w:after="0" w:line="9"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Buxton, Janet K. Cooper, Gary L. Ellis, Katherine J. Harless,</w:t>
      </w:r>
    </w:p>
    <w:p>
      <w:pPr>
        <w:spacing w:after="0" w:line="21"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Robert H. Nassau, Gregg W. Steinhafel, Inge G. Thulin and</w:t>
      </w:r>
    </w:p>
    <w:p>
      <w:pPr>
        <w:spacing w:after="0" w:line="21"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80" w:type="dxa"/>
            <w:vAlign w:val="bottom"/>
            <w:gridSpan w:val="2"/>
          </w:tcPr>
          <w:p>
            <w:pPr>
              <w:ind w:left="106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8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6180" w:type="dxa"/>
            <w:vAlign w:val="bottom"/>
            <w:gridSpan w:val="2"/>
          </w:tcPr>
          <w:p>
            <w:pPr>
              <w:jc w:val="center"/>
              <w:ind w:left="4790"/>
              <w:spacing w:after="0"/>
              <w:rPr>
                <w:sz w:val="20"/>
                <w:szCs w:val="20"/>
                <w:color w:val="auto"/>
              </w:rPr>
            </w:pPr>
            <w:r>
              <w:rPr>
                <w:rFonts w:ascii="Arial" w:cs="Arial" w:eastAsia="Arial" w:hAnsi="Arial"/>
                <w:sz w:val="18"/>
                <w:szCs w:val="18"/>
                <w:b w:val="1"/>
                <w:bCs w:val="1"/>
                <w:color w:val="auto"/>
                <w:w w:val="93"/>
              </w:rPr>
              <w:t>Method of Filing</w:t>
            </w:r>
          </w:p>
        </w:tc>
      </w:tr>
      <w:tr>
        <w:trPr>
          <w:trHeight w:val="237"/>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0"/>
                <w:szCs w:val="20"/>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Power of Attorney</w:t>
            </w:r>
          </w:p>
        </w:tc>
        <w:tc>
          <w:tcPr>
            <w:tcW w:w="488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bl>
    <w:p>
      <w:pPr>
        <w:sectPr>
          <w:pgSz w:w="11900" w:h="16838" w:orient="portrait"/>
          <w:cols w:equalWidth="0" w:num="1">
            <w:col w:w="10219"/>
          </w:cols>
          <w:pgMar w:left="24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the undersigned, each being a member of the Board of Directors of The Toro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do hereby make, nominate and appoint each of MICHAEL J. HOFFMAN AND TIMOTHY P. DORDELL, signing singly, to be his or her attorney-in-fact, with full power and authority to sign his or her name to a Post-Effective Amendment No. 2 (“Amendment No. 2”) to a Registration Statement on Form S-8 (No. 333-87461), filed with the Securities and Exchange Commission on September 21, 1999, the Registration Statement on Form S-8 (No. 333-89260), filed with the Commission on May 28, 2002, and the Post-Effective Amendment No. 1 to Form S-8 (No. 333-89260), filed with the Commission on June 2, 2003 (collectively, and as amended, the “Registration Statement”), and any and all additional amendments thereto (including without limitation additional post-effective amendments to register or de-register shares), provided that Amendment No. 2 and any additional amendments to the Registration Statement, in final form, be approved by said attorney-in-fact; and his name, when thus signed, shall have the same force and effect as though I had manually signed said document or documents.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21st day of May, 2008.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jc w:val="right"/>
        <w:ind w:right="4900"/>
        <w:spacing w:after="0"/>
        <w:rPr>
          <w:sz w:val="20"/>
          <w:szCs w:val="20"/>
          <w:color w:val="auto"/>
        </w:rPr>
      </w:pPr>
      <w:r>
        <w:rPr>
          <w:rFonts w:ascii="Arial" w:cs="Arial" w:eastAsia="Arial" w:hAnsi="Arial"/>
          <w:sz w:val="18"/>
          <w:szCs w:val="18"/>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-10160</wp:posOffset>
            </wp:positionV>
            <wp:extent cx="2120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0265" cy="8890"/>
                    </a:xfrm>
                    <a:prstGeom prst="rect">
                      <a:avLst/>
                    </a:prstGeom>
                    <a:noFill/>
                  </pic:spPr>
                </pic:pic>
              </a:graphicData>
            </a:graphic>
          </wp:anchor>
        </w:drawing>
      </w:r>
    </w:p>
    <w:p>
      <w:pPr>
        <w:spacing w:after="0" w:line="3" w:lineRule="exact"/>
        <w:rPr>
          <w:sz w:val="20"/>
          <w:szCs w:val="20"/>
          <w:color w:val="auto"/>
        </w:rPr>
      </w:pPr>
    </w:p>
    <w:p>
      <w:pPr>
        <w:jc w:val="right"/>
        <w:ind w:right="4920"/>
        <w:spacing w:after="0"/>
        <w:rPr>
          <w:sz w:val="20"/>
          <w:szCs w:val="20"/>
          <w:color w:val="auto"/>
        </w:rPr>
      </w:pPr>
      <w:r>
        <w:rPr>
          <w:rFonts w:ascii="Arial" w:cs="Arial" w:eastAsia="Arial" w:hAnsi="Arial"/>
          <w:sz w:val="18"/>
          <w:szCs w:val="18"/>
          <w:color w:val="auto"/>
        </w:rPr>
        <w:t>Robert C. Buhrmaster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Winslow H. Buxton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-10160</wp:posOffset>
            </wp:positionV>
            <wp:extent cx="2158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836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Winslow H. Buxton</w:t>
      </w:r>
    </w:p>
    <w:p>
      <w:pPr>
        <w:spacing w:after="0" w:line="2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-10160</wp:posOffset>
            </wp:positionV>
            <wp:extent cx="2116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645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Janet K. Cooper</w:t>
      </w:r>
    </w:p>
    <w:p>
      <w:pPr>
        <w:spacing w:after="0" w:line="238"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/s/ 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-10160</wp:posOffset>
            </wp:positionV>
            <wp:extent cx="223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3295" cy="8890"/>
                    </a:xfrm>
                    <a:prstGeom prst="rect">
                      <a:avLst/>
                    </a:prstGeom>
                    <a:noFill/>
                  </pic:spPr>
                </pic:pic>
              </a:graphicData>
            </a:graphic>
          </wp:anchor>
        </w:drawing>
      </w:r>
    </w:p>
    <w:p>
      <w:pPr>
        <w:spacing w:after="0" w:line="3"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Gary L. Ellis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2169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16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Katherine J. Harless</w:t>
      </w: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-10160</wp:posOffset>
            </wp:positionV>
            <wp:extent cx="2186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8630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H. Nassau</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-10160</wp:posOffset>
            </wp:positionV>
            <wp:extent cx="2177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Gregg W. Steinhafel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Inge G. Thulin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-10160</wp:posOffset>
            </wp:positionV>
            <wp:extent cx="2184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440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Inge G. Thulin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-10160</wp:posOffset>
            </wp:positionV>
            <wp:extent cx="20885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85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A. Twomey</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2019-12-13T13:37:23Z</dcterms:created>
  <dcterms:modified xsi:type="dcterms:W3CDTF">2019-12-13T13:37:23Z</dcterms:modified>
</cp:coreProperties>
</file>