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5450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545084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Rodier Richard W</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TORO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TTC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05/19/2022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16"/>
        <w:spacing w:after="0"/>
        <w:rPr>
          <w:sz w:val="20"/>
          <w:szCs w:val="20"/>
          <w:color w:val="auto"/>
        </w:rPr>
      </w:pPr>
      <w:r>
        <w:rPr>
          <w:rFonts w:ascii="Times New Roman" w:cs="Times New Roman" w:eastAsia="Times New Roman" w:hAnsi="Times New Roman"/>
          <w:sz w:val="17"/>
          <w:szCs w:val="17"/>
          <w:color w:val="0000FF"/>
        </w:rPr>
        <w:t>Group VP, Construction &amp; RLC</w:t>
      </w:r>
    </w:p>
    <w:p>
      <w:pPr>
        <w:spacing w:after="0" w:line="301"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BLOOMINGTON MN</w:t>
            </w:r>
          </w:p>
        </w:tc>
        <w:tc>
          <w:tcPr>
            <w:tcW w:w="16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55420</w:t>
            </w:r>
          </w:p>
        </w:tc>
      </w:tr>
      <w:tr>
        <w:trPr>
          <w:trHeight w:val="146"/>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96"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96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8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60" w:type="dxa"/>
            <w:vAlign w:val="bottom"/>
          </w:tcPr>
          <w:p>
            <w:pPr>
              <w:spacing w:after="0"/>
              <w:rPr>
                <w:sz w:val="10"/>
                <w:szCs w:val="10"/>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96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98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9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05/19/2022</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545.473</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right="13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23,862.668</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00" w:type="dxa"/>
            <w:vAlign w:val="bottom"/>
            <w:gridSpan w:val="2"/>
          </w:tcPr>
          <w:p>
            <w:pPr>
              <w:jc w:val="center"/>
              <w:ind w:left="533"/>
              <w:spacing w:after="0"/>
              <w:rPr>
                <w:sz w:val="20"/>
                <w:szCs w:val="20"/>
                <w:color w:val="auto"/>
              </w:rPr>
            </w:pPr>
            <w:r>
              <w:rPr>
                <w:rFonts w:ascii="Times New Roman" w:cs="Times New Roman" w:eastAsia="Times New Roman" w:hAnsi="Times New Roman"/>
                <w:sz w:val="17"/>
                <w:szCs w:val="17"/>
                <w:color w:val="0000FF"/>
                <w:w w:val="98"/>
              </w:rPr>
              <w:t>05/19/2022</w:t>
            </w: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0000FF"/>
              </w:rPr>
              <w:t>167</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77.72</w:t>
            </w:r>
          </w:p>
        </w:tc>
        <w:tc>
          <w:tcPr>
            <w:tcW w:w="2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23,695.668</w:t>
            </w:r>
          </w:p>
        </w:tc>
        <w:tc>
          <w:tcPr>
            <w:tcW w:w="340" w:type="dxa"/>
            <w:vAlign w:val="bottom"/>
          </w:tcPr>
          <w:p>
            <w:pPr>
              <w:spacing w:after="0"/>
              <w:rPr>
                <w:sz w:val="22"/>
                <w:szCs w:val="22"/>
                <w:color w:val="auto"/>
              </w:rPr>
            </w:pPr>
          </w:p>
        </w:tc>
        <w:tc>
          <w:tcPr>
            <w:tcW w:w="54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2"/>
              </w:rPr>
              <w:t>2,805.788</w:t>
            </w:r>
            <w:r>
              <w:rPr>
                <w:rFonts w:ascii="Times New Roman" w:cs="Times New Roman" w:eastAsia="Times New Roman" w:hAnsi="Times New Roman"/>
                <w:sz w:val="21"/>
                <w:szCs w:val="21"/>
                <w:color w:val="008000"/>
                <w:w w:val="92"/>
                <w:vertAlign w:val="superscript"/>
              </w:rPr>
              <w:t>(1)</w:t>
            </w:r>
          </w:p>
        </w:tc>
        <w:tc>
          <w:tcPr>
            <w:tcW w:w="340" w:type="dxa"/>
            <w:vAlign w:val="bottom"/>
          </w:tcPr>
          <w:p>
            <w:pPr>
              <w:spacing w:after="0"/>
              <w:rPr>
                <w:sz w:val="17"/>
                <w:szCs w:val="17"/>
                <w:color w:val="auto"/>
              </w:rPr>
            </w:pPr>
          </w:p>
        </w:tc>
        <w:tc>
          <w:tcPr>
            <w:tcW w:w="540" w:type="dxa"/>
            <w:vAlign w:val="bottom"/>
            <w:vMerge w:val="restart"/>
          </w:tcPr>
          <w:p>
            <w:pPr>
              <w:jc w:val="center"/>
              <w:ind w:right="333"/>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9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Retirement</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0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2"/>
              </w:rPr>
              <w:t>6,097.578</w:t>
            </w:r>
            <w:r>
              <w:rPr>
                <w:rFonts w:ascii="Times New Roman" w:cs="Times New Roman" w:eastAsia="Times New Roman" w:hAnsi="Times New Roman"/>
                <w:sz w:val="21"/>
                <w:szCs w:val="21"/>
                <w:color w:val="008000"/>
                <w:w w:val="92"/>
                <w:vertAlign w:val="superscript"/>
              </w:rPr>
              <w:t>(2)</w:t>
            </w: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313"/>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0"/>
          </w:tcPr>
          <w:p>
            <w:pPr>
              <w:jc w:val="center"/>
              <w:ind w:right="136"/>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6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2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jc w:val="center"/>
              <w:ind w:right="442"/>
              <w:spacing w:after="0"/>
              <w:rPr>
                <w:sz w:val="20"/>
                <w:szCs w:val="20"/>
                <w:color w:val="auto"/>
              </w:rPr>
            </w:pPr>
            <w:r>
              <w:rPr>
                <w:rFonts w:ascii="Arial" w:cs="Arial" w:eastAsia="Arial" w:hAnsi="Arial"/>
                <w:sz w:val="11"/>
                <w:szCs w:val="11"/>
                <w:b w:val="1"/>
                <w:bCs w:val="1"/>
                <w:color w:val="auto"/>
              </w:rPr>
              <w:t>4.</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jc w:val="center"/>
              <w:ind w:right="422"/>
              <w:spacing w:after="0"/>
              <w:rPr>
                <w:sz w:val="20"/>
                <w:szCs w:val="20"/>
                <w:color w:val="auto"/>
              </w:rPr>
            </w:pPr>
            <w:r>
              <w:rPr>
                <w:rFonts w:ascii="Arial" w:cs="Arial" w:eastAsia="Arial" w:hAnsi="Arial"/>
                <w:sz w:val="11"/>
                <w:szCs w:val="11"/>
                <w:b w:val="1"/>
                <w:bCs w:val="1"/>
                <w:color w:val="auto"/>
              </w:rPr>
              <w:t>8)</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(Instr. 5)</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6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545.473</w:t>
            </w: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05/19/2022</w:t>
            </w:r>
          </w:p>
        </w:tc>
        <w:tc>
          <w:tcPr>
            <w:tcW w:w="108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M</w:t>
            </w:r>
          </w:p>
        </w:tc>
        <w:tc>
          <w:tcPr>
            <w:tcW w:w="960" w:type="dxa"/>
            <w:vAlign w:val="bottom"/>
          </w:tcPr>
          <w:p>
            <w:pPr>
              <w:ind w:left="440"/>
              <w:spacing w:after="0" w:line="128" w:lineRule="exact"/>
              <w:rPr>
                <w:sz w:val="20"/>
                <w:szCs w:val="20"/>
                <w:color w:val="auto"/>
              </w:rPr>
            </w:pPr>
            <w:r>
              <w:rPr>
                <w:rFonts w:ascii="Times New Roman" w:cs="Times New Roman" w:eastAsia="Times New Roman" w:hAnsi="Times New Roman"/>
                <w:sz w:val="13"/>
                <w:szCs w:val="13"/>
                <w:color w:val="0000FF"/>
              </w:rPr>
              <w:t>545.473</w:t>
            </w:r>
          </w:p>
        </w:tc>
        <w:tc>
          <w:tcPr>
            <w:tcW w:w="78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26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00" w:type="dxa"/>
            <w:vAlign w:val="bottom"/>
            <w:gridSpan w:val="2"/>
          </w:tcPr>
          <w:p>
            <w:pPr>
              <w:ind w:left="200"/>
              <w:spacing w:after="0" w:line="128" w:lineRule="exact"/>
              <w:rPr>
                <w:sz w:val="20"/>
                <w:szCs w:val="20"/>
                <w:color w:val="auto"/>
              </w:rPr>
            </w:pPr>
            <w:r>
              <w:rPr>
                <w:rFonts w:ascii="Times New Roman" w:cs="Times New Roman" w:eastAsia="Times New Roman" w:hAnsi="Times New Roman"/>
                <w:sz w:val="13"/>
                <w:szCs w:val="13"/>
                <w:color w:val="0000FF"/>
              </w:rPr>
              <w:t>546.495</w:t>
            </w:r>
          </w:p>
        </w:tc>
        <w:tc>
          <w:tcPr>
            <w:tcW w:w="540" w:type="dxa"/>
            <w:vAlign w:val="bottom"/>
          </w:tcPr>
          <w:p>
            <w:pPr>
              <w:ind w:left="38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34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9.711 net shares of common stock acquired by the reporting person since the date of his last report under the dividend reinvestment feature of The Toro Company Retirement Plan, less quarterly non-discretionary administrative fees.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21.016 performance share units acquired by the reporting person since the date of his last report under the dividend reinvestment feature of The Toro Company Deferred Compensation Plan for Officers.</w:t>
      </w:r>
    </w:p>
    <w:p>
      <w:pPr>
        <w:spacing w:after="0" w:line="53"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TTC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date of grant.</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and related dividend equivalents vest and become non-forfeitable in three equal annual installments commencing on the first anniversary of the date of grant.</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/s/ Timothy C. Quist, Attorney-  </w:t>
      </w:r>
      <w:r>
        <w:rPr>
          <w:rFonts w:ascii="Times New Roman" w:cs="Times New Roman" w:eastAsia="Times New Roman" w:hAnsi="Times New Roman"/>
          <w:sz w:val="33"/>
          <w:szCs w:val="33"/>
          <w:color w:val="0000FF"/>
          <w:vertAlign w:val="subscript"/>
        </w:rPr>
        <w:t>05/20/2022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220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0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297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815"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1082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2022-05-20T09:16:08Z</dcterms:created>
  <dcterms:modified xsi:type="dcterms:W3CDTF">2022-05-20T09:16:08Z</dcterms:modified>
</cp:coreProperties>
</file>