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502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50240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WOLFE STEPHEN P</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11/28/2007</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56"/>
        <w:spacing w:after="0"/>
        <w:rPr>
          <w:sz w:val="20"/>
          <w:szCs w:val="20"/>
          <w:color w:val="auto"/>
        </w:rPr>
      </w:pPr>
      <w:r>
        <w:rPr>
          <w:rFonts w:ascii="Arial" w:cs="Arial" w:eastAsia="Arial" w:hAnsi="Arial"/>
          <w:sz w:val="17"/>
          <w:szCs w:val="17"/>
          <w:color w:val="0000FF"/>
        </w:rPr>
        <w:t>Vice President &amp; CFO</w:t>
      </w:r>
    </w:p>
    <w:p>
      <w:pPr>
        <w:spacing w:after="0" w:line="330" w:lineRule="exact"/>
        <w:rPr>
          <w:sz w:val="24"/>
          <w:szCs w:val="24"/>
          <w:color w:val="auto"/>
        </w:rPr>
      </w:pPr>
    </w:p>
    <w:p>
      <w:pPr>
        <w:sectPr>
          <w:pgSz w:w="11900" w:h="16838" w:orient="portrait"/>
          <w:cols w:equalWidth="0" w:num="3">
            <w:col w:w="3340" w:space="720"/>
            <w:col w:w="3264" w:space="720"/>
            <w:col w:w="347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jc w:val="right"/>
              <w:ind w:right="283"/>
              <w:spacing w:after="0"/>
              <w:rPr>
                <w:sz w:val="20"/>
                <w:szCs w:val="20"/>
                <w:color w:val="auto"/>
              </w:rPr>
            </w:pPr>
            <w:r>
              <w:rPr>
                <w:rFonts w:ascii="Arial" w:cs="Arial" w:eastAsia="Arial" w:hAnsi="Arial"/>
                <w:sz w:val="17"/>
                <w:szCs w:val="17"/>
                <w:color w:val="0000FF"/>
              </w:rPr>
              <w:t>55420-1196</w:t>
            </w:r>
          </w:p>
        </w:tc>
      </w:tr>
      <w:tr>
        <w:trPr>
          <w:trHeight w:val="155"/>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0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9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00" w:type="dxa"/>
            <w:vAlign w:val="bottom"/>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 Owned</w:t>
            </w:r>
          </w:p>
        </w:tc>
        <w:tc>
          <w:tcPr>
            <w:tcW w:w="9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 or Indirect</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 (Instr. 4)</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5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 Units</w:t>
            </w:r>
          </w:p>
        </w:tc>
        <w:tc>
          <w:tcPr>
            <w:tcW w:w="1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23,713.3346</w:t>
            </w:r>
            <w:r>
              <w:rPr>
                <w:rFonts w:ascii="Arial" w:cs="Arial" w:eastAsia="Arial" w:hAnsi="Arial"/>
                <w:sz w:val="22"/>
                <w:szCs w:val="22"/>
                <w:color w:val="008000"/>
                <w:w w:val="88"/>
                <w:vertAlign w:val="superscript"/>
              </w:rPr>
              <w:t>(1)</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5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Matching Units</w:t>
            </w:r>
          </w:p>
        </w:tc>
        <w:tc>
          <w:tcPr>
            <w:tcW w:w="1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11,854.6447</w:t>
            </w:r>
            <w:r>
              <w:rPr>
                <w:rFonts w:ascii="Arial" w:cs="Arial" w:eastAsia="Arial" w:hAnsi="Arial"/>
                <w:sz w:val="22"/>
                <w:szCs w:val="22"/>
                <w:color w:val="008000"/>
                <w:w w:val="88"/>
                <w:vertAlign w:val="superscript"/>
              </w:rPr>
              <w:t>(2)</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5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Performance Share Units</w:t>
            </w:r>
          </w:p>
        </w:tc>
        <w:tc>
          <w:tcPr>
            <w:tcW w:w="1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200,955.1029</w:t>
            </w:r>
            <w:r>
              <w:rPr>
                <w:rFonts w:ascii="Arial" w:cs="Arial" w:eastAsia="Arial" w:hAnsi="Arial"/>
                <w:sz w:val="22"/>
                <w:szCs w:val="22"/>
                <w:color w:val="008000"/>
                <w:w w:val="88"/>
                <w:vertAlign w:val="superscript"/>
              </w:rPr>
              <w:t>(3)</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60" w:type="dxa"/>
            <w:vAlign w:val="bottom"/>
          </w:tcPr>
          <w:p>
            <w:pPr>
              <w:ind w:left="80"/>
              <w:spacing w:after="0"/>
              <w:rPr>
                <w:sz w:val="20"/>
                <w:szCs w:val="20"/>
                <w:color w:val="auto"/>
              </w:rPr>
            </w:pPr>
            <w:r>
              <w:rPr>
                <w:rFonts w:ascii="Arial" w:cs="Arial" w:eastAsia="Arial" w:hAnsi="Arial"/>
                <w:sz w:val="17"/>
                <w:szCs w:val="17"/>
                <w:color w:val="0000FF"/>
              </w:rPr>
              <w:t>By trust for</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6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7"/>
                <w:szCs w:val="17"/>
                <w:color w:val="0000FF"/>
                <w:w w:val="92"/>
              </w:rPr>
              <w:t>39,411</w:t>
            </w:r>
          </w:p>
        </w:tc>
        <w:tc>
          <w:tcPr>
            <w:tcW w:w="940" w:type="dxa"/>
            <w:vAlign w:val="bottom"/>
          </w:tcPr>
          <w:p>
            <w:pPr>
              <w:jc w:val="center"/>
              <w:spacing w:after="0"/>
              <w:rPr>
                <w:sz w:val="20"/>
                <w:szCs w:val="20"/>
                <w:color w:val="auto"/>
              </w:rPr>
            </w:pPr>
            <w:r>
              <w:rPr>
                <w:rFonts w:ascii="Arial" w:cs="Arial" w:eastAsia="Arial" w:hAnsi="Arial"/>
                <w:sz w:val="17"/>
                <w:szCs w:val="17"/>
                <w:color w:val="0000FF"/>
              </w:rPr>
              <w:t>I</w:t>
            </w:r>
          </w:p>
        </w:tc>
        <w:tc>
          <w:tcPr>
            <w:tcW w:w="960" w:type="dxa"/>
            <w:vAlign w:val="bottom"/>
          </w:tcPr>
          <w:p>
            <w:pPr>
              <w:ind w:left="80"/>
              <w:spacing w:after="0"/>
              <w:rPr>
                <w:sz w:val="20"/>
                <w:szCs w:val="20"/>
                <w:color w:val="auto"/>
              </w:rPr>
            </w:pPr>
            <w:r>
              <w:rPr>
                <w:rFonts w:ascii="Arial" w:cs="Arial" w:eastAsia="Arial" w:hAnsi="Arial"/>
                <w:sz w:val="17"/>
                <w:szCs w:val="17"/>
                <w:color w:val="0000FF"/>
              </w:rPr>
              <w:t>reporting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60" w:type="dxa"/>
            <w:vAlign w:val="bottom"/>
          </w:tcPr>
          <w:p>
            <w:pPr>
              <w:ind w:left="80"/>
              <w:spacing w:after="0"/>
              <w:rPr>
                <w:sz w:val="20"/>
                <w:szCs w:val="20"/>
                <w:color w:val="auto"/>
              </w:rPr>
            </w:pPr>
            <w:r>
              <w:rPr>
                <w:rFonts w:ascii="Arial" w:cs="Arial" w:eastAsia="Arial" w:hAnsi="Arial"/>
                <w:sz w:val="17"/>
                <w:szCs w:val="17"/>
                <w:color w:val="0000FF"/>
              </w:rPr>
              <w:t>person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60" w:type="dxa"/>
            <w:vAlign w:val="bottom"/>
          </w:tcPr>
          <w:p>
            <w:pPr>
              <w:ind w:left="80"/>
              <w:spacing w:after="0"/>
              <w:rPr>
                <w:sz w:val="20"/>
                <w:szCs w:val="20"/>
                <w:color w:val="auto"/>
              </w:rPr>
            </w:pPr>
            <w:r>
              <w:rPr>
                <w:rFonts w:ascii="Arial" w:cs="Arial" w:eastAsia="Arial" w:hAnsi="Arial"/>
                <w:sz w:val="17"/>
                <w:szCs w:val="17"/>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Arial" w:cs="Arial" w:eastAsia="Arial" w:hAnsi="Arial"/>
                <w:sz w:val="17"/>
                <w:szCs w:val="17"/>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6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jc w:val="center"/>
              <w:spacing w:after="0" w:line="213" w:lineRule="exact"/>
              <w:rPr>
                <w:sz w:val="20"/>
                <w:szCs w:val="20"/>
                <w:color w:val="auto"/>
              </w:rPr>
            </w:pPr>
            <w:r>
              <w:rPr>
                <w:rFonts w:ascii="Arial" w:cs="Arial" w:eastAsia="Arial" w:hAnsi="Arial"/>
                <w:sz w:val="17"/>
                <w:szCs w:val="17"/>
                <w:color w:val="0000FF"/>
                <w:w w:val="88"/>
              </w:rPr>
              <w:t>26,954.9358</w:t>
            </w:r>
            <w:r>
              <w:rPr>
                <w:rFonts w:ascii="Arial" w:cs="Arial" w:eastAsia="Arial" w:hAnsi="Arial"/>
                <w:sz w:val="22"/>
                <w:szCs w:val="22"/>
                <w:color w:val="008000"/>
                <w:w w:val="88"/>
                <w:vertAlign w:val="superscript"/>
              </w:rPr>
              <w:t>(4)</w:t>
            </w:r>
          </w:p>
        </w:tc>
        <w:tc>
          <w:tcPr>
            <w:tcW w:w="940" w:type="dxa"/>
            <w:vAlign w:val="bottom"/>
          </w:tcPr>
          <w:p>
            <w:pPr>
              <w:jc w:val="center"/>
              <w:spacing w:after="0"/>
              <w:rPr>
                <w:sz w:val="20"/>
                <w:szCs w:val="20"/>
                <w:color w:val="auto"/>
              </w:rPr>
            </w:pPr>
            <w:r>
              <w:rPr>
                <w:rFonts w:ascii="Arial" w:cs="Arial" w:eastAsia="Arial" w:hAnsi="Arial"/>
                <w:sz w:val="17"/>
                <w:szCs w:val="17"/>
                <w:color w:val="0000FF"/>
              </w:rPr>
              <w:t>I</w:t>
            </w:r>
          </w:p>
        </w:tc>
        <w:tc>
          <w:tcPr>
            <w:tcW w:w="960" w:type="dxa"/>
            <w:vAlign w:val="bottom"/>
          </w:tcPr>
          <w:p>
            <w:pPr>
              <w:ind w:left="80"/>
              <w:spacing w:after="0"/>
              <w:rPr>
                <w:sz w:val="20"/>
                <w:szCs w:val="20"/>
                <w:color w:val="auto"/>
              </w:rPr>
            </w:pPr>
            <w:r>
              <w:rPr>
                <w:rFonts w:ascii="Arial" w:cs="Arial" w:eastAsia="Arial" w:hAnsi="Arial"/>
                <w:sz w:val="17"/>
                <w:szCs w:val="17"/>
                <w:color w:val="0000FF"/>
                <w:w w:val="97"/>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Arial" w:cs="Arial" w:eastAsia="Arial" w:hAnsi="Arial"/>
                <w:sz w:val="17"/>
                <w:szCs w:val="17"/>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60" w:type="dxa"/>
            <w:vAlign w:val="bottom"/>
          </w:tcPr>
          <w:p>
            <w:pPr>
              <w:ind w:left="80"/>
              <w:spacing w:after="0"/>
              <w:rPr>
                <w:sz w:val="20"/>
                <w:szCs w:val="20"/>
                <w:color w:val="auto"/>
              </w:rPr>
            </w:pPr>
            <w:r>
              <w:rPr>
                <w:rFonts w:ascii="Arial" w:cs="Arial" w:eastAsia="Arial" w:hAnsi="Arial"/>
                <w:sz w:val="17"/>
                <w:szCs w:val="17"/>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6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24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6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 (D) (Instr.</w:t>
            </w: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171"/>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r>
      <w:tr>
        <w:trPr>
          <w:trHeight w:val="254"/>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54.93</w:t>
            </w:r>
          </w:p>
        </w:tc>
        <w:tc>
          <w:tcPr>
            <w:tcW w:w="1120" w:type="dxa"/>
            <w:vAlign w:val="bottom"/>
          </w:tcPr>
          <w:p>
            <w:pPr>
              <w:jc w:val="right"/>
              <w:ind w:right="198"/>
              <w:spacing w:after="0"/>
              <w:rPr>
                <w:sz w:val="20"/>
                <w:szCs w:val="20"/>
                <w:color w:val="auto"/>
              </w:rPr>
            </w:pPr>
            <w:r>
              <w:rPr>
                <w:rFonts w:ascii="Arial" w:cs="Arial" w:eastAsia="Arial" w:hAnsi="Arial"/>
                <w:sz w:val="13"/>
                <w:szCs w:val="13"/>
                <w:color w:val="0000FF"/>
              </w:rPr>
              <w:t>11/28/2007</w:t>
            </w:r>
          </w:p>
        </w:tc>
        <w:tc>
          <w:tcPr>
            <w:tcW w:w="1120" w:type="dxa"/>
            <w:vAlign w:val="bottom"/>
          </w:tcPr>
          <w:p>
            <w:pPr>
              <w:spacing w:after="0"/>
              <w:rPr>
                <w:sz w:val="22"/>
                <w:szCs w:val="22"/>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A</w:t>
            </w:r>
          </w:p>
        </w:tc>
        <w:tc>
          <w:tcPr>
            <w:tcW w:w="540" w:type="dxa"/>
            <w:vAlign w:val="bottom"/>
          </w:tcPr>
          <w:p>
            <w:pPr>
              <w:ind w:left="100"/>
              <w:spacing w:after="0"/>
              <w:rPr>
                <w:sz w:val="20"/>
                <w:szCs w:val="20"/>
                <w:color w:val="auto"/>
              </w:rPr>
            </w:pPr>
            <w:r>
              <w:rPr>
                <w:rFonts w:ascii="Arial" w:cs="Arial" w:eastAsia="Arial" w:hAnsi="Arial"/>
                <w:sz w:val="13"/>
                <w:szCs w:val="13"/>
                <w:color w:val="0000FF"/>
              </w:rPr>
              <w:t>17,400</w:t>
            </w:r>
          </w:p>
        </w:tc>
        <w:tc>
          <w:tcPr>
            <w:tcW w:w="300" w:type="dxa"/>
            <w:vAlign w:val="bottom"/>
          </w:tcPr>
          <w:p>
            <w:pPr>
              <w:spacing w:after="0"/>
              <w:rPr>
                <w:sz w:val="22"/>
                <w:szCs w:val="22"/>
                <w:color w:val="auto"/>
              </w:rPr>
            </w:pPr>
          </w:p>
        </w:tc>
        <w:tc>
          <w:tcPr>
            <w:tcW w:w="860" w:type="dxa"/>
            <w:vAlign w:val="bottom"/>
          </w:tcPr>
          <w:p>
            <w:pPr>
              <w:ind w:left="60"/>
              <w:spacing w:after="0"/>
              <w:rPr>
                <w:sz w:val="20"/>
                <w:szCs w:val="20"/>
                <w:color w:val="auto"/>
              </w:rPr>
            </w:pPr>
            <w:r>
              <w:rPr>
                <w:rFonts w:ascii="Arial" w:cs="Arial" w:eastAsia="Arial" w:hAnsi="Arial"/>
                <w:sz w:val="13"/>
                <w:szCs w:val="13"/>
                <w:color w:val="0000FF"/>
                <w:w w:val="93"/>
              </w:rPr>
              <w:t>11/28/2008</w:t>
            </w:r>
            <w:r>
              <w:rPr>
                <w:rFonts w:ascii="Arial" w:cs="Arial" w:eastAsia="Arial" w:hAnsi="Arial"/>
                <w:sz w:val="22"/>
                <w:szCs w:val="22"/>
                <w:color w:val="008000"/>
                <w:w w:val="93"/>
                <w:vertAlign w:val="superscript"/>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11/28/2017</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17,400</w:t>
            </w: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17,400</w:t>
            </w:r>
          </w:p>
        </w:tc>
        <w:tc>
          <w:tcPr>
            <w:tcW w:w="78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22"/>
                <w:szCs w:val="22"/>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49.9524 Common Stock Units acquired by the reporting person on October 17, 2007 under the dividend reinvestment feature of The Toro Company Deferred Compensation Plan for Officers.</w:t>
      </w:r>
    </w:p>
    <w:p>
      <w:pPr>
        <w:spacing w:after="0" w:line="62"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24.9763 Matching Units acquired by the reporting person on October 17, 2007 under the dividend reinvestment feature of The Toro Company Deferred Compensation Plan for Officers.</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423.3138 Performance Share Units acquired by the reporting person on October 17, 2007 under the dividend reinvestment feature of The Toro Company Deferred Compensation Plan for Officers.</w:t>
      </w:r>
    </w:p>
    <w:p>
      <w:pPr>
        <w:spacing w:after="0" w:line="62" w:lineRule="exact"/>
        <w:rPr>
          <w:rFonts w:ascii="Arial" w:cs="Arial" w:eastAsia="Arial" w:hAnsi="Arial"/>
          <w:sz w:val="12"/>
          <w:szCs w:val="12"/>
          <w:color w:val="008000"/>
        </w:rPr>
      </w:pPr>
    </w:p>
    <w:p>
      <w:pPr>
        <w:ind w:left="40" w:right="3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52.2982 Shares of Common Stock acquired by the reporting person on July 12, 2007 and 57.035 Shares of Common Stock acquired by the reporting person on October 17, 2007 under the dividend reinvestment feature of The Toro Company Investment, Savings &amp; ESOP Plan.</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Pr>
          <w:p>
            <w:pPr>
              <w:spacing w:after="0"/>
              <w:rPr>
                <w:sz w:val="20"/>
                <w:szCs w:val="20"/>
                <w:color w:val="auto"/>
              </w:rPr>
            </w:pPr>
            <w:r>
              <w:rPr>
                <w:rFonts w:ascii="Arial" w:cs="Arial" w:eastAsia="Arial" w:hAnsi="Arial"/>
                <w:sz w:val="17"/>
                <w:szCs w:val="17"/>
                <w:color w:val="0000FF"/>
                <w:w w:val="95"/>
              </w:rPr>
              <w:t>Stacy L. Bogart, Atty-In-Fact</w:t>
            </w:r>
          </w:p>
        </w:tc>
        <w:tc>
          <w:tcPr>
            <w:tcW w:w="1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Arial" w:cs="Arial" w:eastAsia="Arial" w:hAnsi="Arial"/>
                <w:sz w:val="17"/>
                <w:szCs w:val="17"/>
                <w:color w:val="0000FF"/>
                <w:w w:val="89"/>
              </w:rPr>
              <w:t>11/30/2007</w:t>
            </w:r>
          </w:p>
        </w:tc>
      </w:tr>
      <w:tr>
        <w:trPr>
          <w:trHeight w:val="20"/>
        </w:trPr>
        <w:tc>
          <w:tcPr>
            <w:tcW w:w="2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4"/>
        </w:trPr>
        <w:tc>
          <w:tcPr>
            <w:tcW w:w="206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2019-12-17T07:39:20Z</dcterms:created>
  <dcterms:modified xsi:type="dcterms:W3CDTF">2019-12-17T07:39:20Z</dcterms:modified>
</cp:coreProperties>
</file>