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11/01/2017</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932</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7,377.704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3"/>
          </w:tcPr>
          <w:p>
            <w:pPr>
              <w:jc w:val="right"/>
              <w:ind w:right="339"/>
              <w:spacing w:after="0"/>
              <w:rPr>
                <w:sz w:val="20"/>
                <w:szCs w:val="20"/>
                <w:color w:val="auto"/>
              </w:rPr>
            </w:pPr>
            <w:r>
              <w:rPr>
                <w:rFonts w:ascii="Arial" w:cs="Arial" w:eastAsia="Arial" w:hAnsi="Arial"/>
                <w:sz w:val="17"/>
                <w:szCs w:val="17"/>
                <w:color w:val="0000FF"/>
              </w:rPr>
              <w:t>71,672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63.14</w:t>
            </w:r>
          </w:p>
        </w:tc>
        <w:tc>
          <w:tcPr>
            <w:tcW w:w="1020" w:type="dxa"/>
            <w:vAlign w:val="bottom"/>
          </w:tcPr>
          <w:p>
            <w:pPr>
              <w:jc w:val="right"/>
              <w:ind w:right="158"/>
              <w:spacing w:after="0"/>
              <w:rPr>
                <w:sz w:val="20"/>
                <w:szCs w:val="20"/>
                <w:color w:val="auto"/>
              </w:rPr>
            </w:pPr>
            <w:r>
              <w:rPr>
                <w:rFonts w:ascii="Arial" w:cs="Arial" w:eastAsia="Arial" w:hAnsi="Arial"/>
                <w:sz w:val="13"/>
                <w:szCs w:val="13"/>
                <w:color w:val="0000FF"/>
              </w:rPr>
              <w:t>11/01/2017</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3,846</w:t>
            </w:r>
            <w:r>
              <w:rPr>
                <w:rFonts w:ascii="Arial" w:cs="Arial" w:eastAsia="Arial" w:hAnsi="Arial"/>
                <w:sz w:val="22"/>
                <w:szCs w:val="22"/>
                <w:color w:val="008000"/>
                <w:vertAlign w:val="superscript"/>
              </w:rPr>
              <w:t>(3)</w:t>
            </w:r>
          </w:p>
        </w:tc>
        <w:tc>
          <w:tcPr>
            <w:tcW w:w="280" w:type="dxa"/>
            <w:vAlign w:val="bottom"/>
          </w:tcPr>
          <w:p>
            <w:pPr>
              <w:spacing w:after="0"/>
              <w:rPr>
                <w:sz w:val="17"/>
                <w:szCs w:val="17"/>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11/01/2027</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3,846</w:t>
            </w:r>
          </w:p>
        </w:tc>
        <w:tc>
          <w:tcPr>
            <w:tcW w:w="7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3,846</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17.996 common stock units acquired by the reporting person under the dividend reinvestment feature of the Deferred Plan since the date of her last report.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11/03/2017</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2019-12-23T21:09:36Z</dcterms:created>
  <dcterms:modified xsi:type="dcterms:W3CDTF">2019-12-23T21:09:36Z</dcterms:modified>
</cp:coreProperties>
</file>