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6, 2018</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On December 6, 2018, The Toro Company announced its earnings for the three and twelve months ended October 31, 2018.</w:t>
      </w:r>
    </w:p>
    <w:p>
      <w:pPr>
        <w:spacing w:after="0" w:line="227"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4720" w:type="dxa"/>
            <w:vAlign w:val="bottom"/>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720" w:type="dxa"/>
            <w:vAlign w:val="bottom"/>
            <w:tcBorders>
              <w:bottom w:val="single" w:sz="8" w:color="0000FF"/>
            </w:tcBorders>
          </w:tcPr>
          <w:p>
            <w:pPr>
              <w:spacing w:after="0"/>
              <w:rPr>
                <w:rFonts w:ascii="Arial" w:cs="Arial" w:eastAsia="Arial" w:hAnsi="Arial"/>
                <w:sz w:val="20"/>
                <w:szCs w:val="20"/>
                <w:color w:val="0000FF"/>
                <w:w w:val="87"/>
              </w:rPr>
            </w:pPr>
            <w:hyperlink w:anchor="page6">
              <w:r>
                <w:rPr>
                  <w:rFonts w:ascii="Arial" w:cs="Arial" w:eastAsia="Arial" w:hAnsi="Arial"/>
                  <w:sz w:val="20"/>
                  <w:szCs w:val="20"/>
                  <w:color w:val="0000FF"/>
                  <w:w w:val="87"/>
                </w:rPr>
                <w:t>Press release dated December 6, 2018 (furnished herewith).</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December 6, 2018</w:t>
      </w:r>
      <w:r>
        <w:rPr>
          <w:sz w:val="20"/>
          <w:szCs w:val="20"/>
          <w:color w:val="auto"/>
        </w:rPr>
        <w:tab/>
      </w:r>
      <w:r>
        <w:rPr>
          <w:rFonts w:ascii="Arial" w:cs="Arial" w:eastAsia="Arial" w:hAnsi="Arial"/>
          <w:sz w:val="16"/>
          <w:szCs w:val="16"/>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2"/>
          </w:tcPr>
          <w:p>
            <w:pPr>
              <w:ind w:left="202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0"/>
        </w:trPr>
        <w:tc>
          <w:tcPr>
            <w:tcW w:w="290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gridSpan w:val="3"/>
          </w:tcPr>
          <w:p>
            <w:pPr>
              <w:ind w:left="20"/>
              <w:spacing w:after="0" w:line="209" w:lineRule="exact"/>
              <w:rPr>
                <w:rFonts w:ascii="Arial" w:cs="Arial" w:eastAsia="Arial" w:hAnsi="Arial"/>
                <w:sz w:val="20"/>
                <w:szCs w:val="20"/>
                <w:color w:val="0000FF"/>
              </w:rPr>
            </w:pPr>
            <w:hyperlink w:anchor="page6">
              <w:r>
                <w:rPr>
                  <w:rFonts w:ascii="Arial" w:cs="Arial" w:eastAsia="Arial" w:hAnsi="Arial"/>
                  <w:sz w:val="20"/>
                  <w:szCs w:val="20"/>
                  <w:color w:val="0000FF"/>
                </w:rPr>
                <w:t>Press release dated December 6, 2018 (furnished herewith).</w:t>
              </w:r>
            </w:hyperlink>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720" w:type="dxa"/>
            <w:vAlign w:val="bottom"/>
            <w:tcBorders>
              <w:top w:val="single" w:sz="8" w:color="0000FF"/>
              <w:bottom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Reports Record Fiscal 2018 Results</w:t>
      </w:r>
    </w:p>
    <w:p>
      <w:pPr>
        <w:spacing w:after="0" w:line="235" w:lineRule="exact"/>
        <w:rPr>
          <w:sz w:val="20"/>
          <w:szCs w:val="20"/>
          <w:color w:val="auto"/>
        </w:rPr>
      </w:pPr>
    </w:p>
    <w:p>
      <w:pPr>
        <w:ind w:left="340" w:right="14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Full-year revenue up 4.5 percent over prior year to a record $2.6 billion with rebound by residential segment in second half of 2018</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Professional segment grew 7.5 percent in 2018 due to strong performance across all businesses</w:t>
      </w:r>
    </w:p>
    <w:p>
      <w:pPr>
        <w:ind w:left="340" w:right="4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Reported full-year EPS of $2.50; adjusted full-year EPS of $2.67, up 19.7 percent over comparable 2017 period adjusted EPS of $2.23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Quarterly cash dividend increased 12.5 percent to $0.225 per share</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BLOOMINGTON, Minn. (December 6, 2018) - The Toro Company (NYSE: TTC) today reported net earnings of $271.9 million, or $2.50 per share, on a net sales increase of 4.5 percent to $2,618.7 million for its fiscal year ended October 31, 2018. Adjusted 2018 full-year net earnings were $ 290.1 million, or $2.67 per share, compared to adjusted net earnings of $248.0 million, or $2.23 per share in the comparable 2017 period, an increase of 19.7 percent.</w:t>
      </w:r>
    </w:p>
    <w:p>
      <w:pPr>
        <w:spacing w:after="0" w:line="22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For the fourth quarter, Toro reported net earnings of $39.0 million, or $0.36 per share, on a net sales increase of 10.4 percent to $539.3 million. For the fourth quarter, adjusted net earnings were $34.2 million, or $0.32 per share, compared to adjusted net earnings of $33.0 million, or $0.30 per share, in the comparable 2017 period, an increase of 6.7 percent. Please see the tables provided for a reconciliation of non-GAAP adjusted net earnings and adjusted diluted earnings per share to the comparable GAAP measures.</w:t>
      </w:r>
    </w:p>
    <w:p>
      <w:pPr>
        <w:spacing w:after="0" w:line="22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company also announced that its board of directors has declared a quarterly cash dividend of $0.225 per share, a 12.5 percent increase from its previous quarterly dividend rate of $0.20 per share. This dividend is payable on January 9, 2019 to shareholders of record on December 20, 2018. For the fiscal year, the company returned just over $245 million to shareholders through the payment of approximately $85 million in dividends and the purchase of approximately $160 million of common stock. Additionally, the board authorized the repurchase of an additional 5 million shares of Toro’s common stock through open-market or in privately negotiated transactions from time to time and in such amounts as management deems appropriate.</w:t>
      </w:r>
    </w:p>
    <w:p>
      <w:pPr>
        <w:spacing w:after="0" w:line="222"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“We are pleased to deliver another record year with solid revenue growth led by the professional segment and a strong rebound by our residential business in the second half of the year, driven by an exciting lineup of new products and innovative technologies,” said Richard M. Olson, Toro’s chairman and chief executive officer. “Our landscape contractor business performed well throughout the year as customers saw the value in our new Exmark® and Toro® zero-turn mower platforms, designed to increase productivity while enhancing ease of operation. Higher shipments of mowers, sprayers and vehicles in our golf and grounds businesses also contributed to the full-year performance, as momentum experienced early in the fiscal year continued through the fourth quarter.”</w:t>
      </w:r>
    </w:p>
    <w:p>
      <w:pPr>
        <w:sectPr>
          <w:pgSz w:w="11900" w:h="16838" w:orient="portrait"/>
          <w:cols w:equalWidth="0" w:num="1">
            <w:col w:w="11380"/>
          </w:cols>
          <w:pgMar w:left="240" w:top="1440" w:right="27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“In our residential business, we saw demand for walk power mowers and riding products extend through the fall months and the sell-in of snow products was favorable in the fourth quarter, as the next generation of our Power Max® HD two-stage snow thrower was well received. BOSS also had a successful year due to new product introductions like the rear-mounted plow and the newly acquired Snowrator, part of the L.T. Rich acquisition completed earlier this fiscal year. With recent snowfalls in key regions of the United States, we are encouraged by retail activity and we remain well positioned to help our customers battle the winter ahead.”</w:t>
      </w:r>
    </w:p>
    <w:p>
      <w:pPr>
        <w:spacing w:after="0" w:line="2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“Like many other industries, the inflationary environment presented challenges for us that escalated throughout the year, particularly in the fourth quarter. Rising steel prices, the impacts of tariffs, and increased freight rates, all had a negative impact on our input costs. While we expect these pressures to continue into the first part of fiscal 2019, we are confident that our intense focus on prudent sourcing strategies, productivity and cost improvement initiatives, as well as strategic capital investments and price adjustments, will more than offset these headwinds by the end of fiscal 2019."</w:t>
      </w:r>
    </w:p>
    <w:p>
      <w:pPr>
        <w:spacing w:after="0" w:line="223" w:lineRule="exact"/>
        <w:rPr>
          <w:sz w:val="20"/>
          <w:szCs w:val="20"/>
          <w:color w:val="auto"/>
        </w:rPr>
      </w:pPr>
    </w:p>
    <w:p>
      <w:pPr>
        <w:jc w:val="both"/>
        <w:ind w:right="360"/>
        <w:spacing w:after="0" w:line="242" w:lineRule="auto"/>
        <w:rPr>
          <w:sz w:val="20"/>
          <w:szCs w:val="20"/>
          <w:color w:val="auto"/>
        </w:rPr>
      </w:pPr>
      <w:r>
        <w:rPr>
          <w:rFonts w:ascii="Arial" w:cs="Arial" w:eastAsia="Arial" w:hAnsi="Arial"/>
          <w:sz w:val="20"/>
          <w:szCs w:val="20"/>
          <w:color w:val="auto"/>
        </w:rPr>
        <w:t>“With the first quarter of fiscal 2019 underway, we are encouraged by the retail activity in our professional and residential snow and ice management businesses. Looking ahead, as customers start to prepare for the spring turf season, sentiment remains positive among contractors and turf professionals. Excitement is building around our new product introductions like the Dingo® TXL 2000 compact utility loader, the Outcross® turf tractor and the Exmark® Staris™ stand-on zero-turn mower.”</w:t>
      </w:r>
    </w:p>
    <w:p>
      <w:pPr>
        <w:spacing w:after="0" w:line="22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“We remain focused on our Vision 2020 employee initiative. With year two of the three-year initiative already underway, we remain committed to our long-term strategic priorities, while delivering value for all of our stakeholders. I would like to thank our team and channel partners for their dedication in managing through this dynamic time with consistent execution and a continued focus on our end customers.”</w:t>
      </w:r>
    </w:p>
    <w:p>
      <w:pPr>
        <w:spacing w:after="0" w:line="22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For fiscal 2019, the company expects revenue growth to exceed 5 percent. Approximately 1 percent of the growth is attributed to a recently acquired distributor partner. For the full-year, we expect adjusted net earnings to be about $2.90 to $2.95 per share. For the first quarter, the company expects adjusted net earnings to be about $ 0.48 to $0.50 per share, which includes an unfavorable, one-time impact in the quarter of $0.02 related to acquisition costs. These adjusted estimates exclude the benefit of the excess tax deduction for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right="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fiscal 2018 were $1,947.0 million, up 7.5 percent from $1,811.7 million last year. For the fourth quarter, professional segment net sales were $400.5 million, up 11.1 percent from $360.4 million last year. For both periods, strong sales of our landscape contractor equipment driven by successful new product introductions in our zero-turn mower categories, bolstered the results. Similarly, continued momentum in our golf and grounds businesses, led by solid sales of our reel and rotary mowers, greens mowers and vehicles, all contributed to the positive results. Our rental and specialty construction portfolio performed well with the Dingo® TX 1000 compact utility loader and the new tracked Mud Buggy® delivering increased sales. Finally, BOSS also contributed to the positive performance driven by new products like the EXT extendable plow and the rear-mounted plow, which continue to receive a favorable reception from customers.</w:t>
      </w:r>
    </w:p>
    <w:p>
      <w:pPr>
        <w:spacing w:after="0" w:line="226" w:lineRule="exact"/>
        <w:rPr>
          <w:rFonts w:ascii="Arial" w:cs="Arial" w:eastAsia="Arial" w:hAnsi="Arial"/>
          <w:sz w:val="20"/>
          <w:szCs w:val="20"/>
          <w:color w:val="auto"/>
        </w:rPr>
      </w:pPr>
    </w:p>
    <w:p>
      <w:pPr>
        <w:jc w:val="both"/>
        <w:ind w:left="340" w:right="180" w:hanging="332"/>
        <w:spacing w:after="0" w:line="243"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fiscal 2018 were $399.8 million, up 5.4 percent from $379.5 million in the same period last year. Professional segment earnings for the fourth quarter were $61.2 million, down 5.8 percent from $65.0 million compared to the same period last year.</w:t>
      </w:r>
    </w:p>
    <w:p>
      <w:pPr>
        <w:sectPr>
          <w:pgSz w:w="11900" w:h="16838" w:orient="portrait"/>
          <w:cols w:equalWidth="0" w:num="1">
            <w:col w:w="11420"/>
          </w:cols>
          <w:pgMar w:left="240" w:top="760"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40" w:hanging="332"/>
        <w:spacing w:after="0"/>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fiscal 2018 were $654.4 million, down 2.8 percent from $673.2 million last year. For the fourth quarter, residential segment sales were $133.2 million, up 8.7 percent from $122.6 million last year. The full-year results were impacted by poor winter conditions early in the year, followed by a late start to spring in many parts of North America, which significantly impacted sales of both snow and turf products respectively. The second half of the fiscal year saw warmer weather and favorable moisture, which triggered demand for both walk power and zero-turn riding mowers. This momentum continued in the fourth quarter as results were driven by increased demand for mowers, as well as higher shipments of the next generation of Power Max HD two-stage snow thrower, featuring increased productivity with a larger 32-inch clearing width.</w:t>
      </w:r>
    </w:p>
    <w:p>
      <w:pPr>
        <w:spacing w:after="0" w:line="226" w:lineRule="exact"/>
        <w:rPr>
          <w:rFonts w:ascii="Arial" w:cs="Arial" w:eastAsia="Arial" w:hAnsi="Arial"/>
          <w:sz w:val="20"/>
          <w:szCs w:val="20"/>
          <w:color w:val="auto"/>
        </w:rPr>
      </w:pPr>
    </w:p>
    <w:p>
      <w:pPr>
        <w:ind w:left="340" w:right="40" w:hanging="332"/>
        <w:spacing w:after="0" w:line="243"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fiscal 2018 were $64.8 million, down 13.2 percent from $74.7 million in the comparable period last year. Residential segment earnings for the fourth quarter were $6.8 million, down 42.2 percent from $11.7 million in the same period last year.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Gross margin as a percent of sales for fiscal 2018 was 35.9 percent, a decrease of 90 basis points compared to last year. For the fourth quarter, gross margin as a percent of sales was 33.2 percent, a decrease of 450 basis points. For the full-year, unfavorable commodity and freight costs, as well as supply challenges contributed to the decline. These margin pressures were partially offset by net price realization, productivity initiatives and favorable foreign currency rates. For the quarter, unfavorable commodity and freight costs, supplier challenges and unfavorable foreign currency, were partially offset by net price realization. Looking ahead, we expect continued margin pressure in the first part of fiscal 2019, however, we are confident that our increased productivity initiatives, prudent sourcing strategies and pricing actions will more than negate these headwinds, resulting in year-over-year gross margin improvement in fiscal 2019.</w:t>
      </w:r>
    </w:p>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Selling, general and administrative (SG&amp;A) expense as a percent of sales for fiscal 2018 was 21.7 percent, a decrease of 90 basis points from the same period last year. For the fourth quarter, SG&amp;A expense as a percent of sales was 25.2 percent, a decrease of 280 basis points. Prudent expense management, lower incentives and leveraging of costs over higher sales, contributed to the improvement in both periods. For the year, SG&amp;A improvements were offset in part by continued investment in our key strategic initiatives, including new product development.</w:t>
      </w:r>
    </w:p>
    <w:p>
      <w:pPr>
        <w:spacing w:after="0" w:line="182" w:lineRule="exact"/>
        <w:rPr>
          <w:sz w:val="20"/>
          <w:szCs w:val="20"/>
          <w:color w:val="auto"/>
        </w:rPr>
      </w:pPr>
    </w:p>
    <w:p>
      <w:pPr>
        <w:jc w:val="both"/>
        <w:ind w:right="380"/>
        <w:spacing w:after="0" w:line="243" w:lineRule="auto"/>
        <w:rPr>
          <w:sz w:val="20"/>
          <w:szCs w:val="20"/>
          <w:color w:val="auto"/>
        </w:rPr>
      </w:pPr>
      <w:r>
        <w:rPr>
          <w:rFonts w:ascii="Arial" w:cs="Arial" w:eastAsia="Arial" w:hAnsi="Arial"/>
          <w:sz w:val="20"/>
          <w:szCs w:val="20"/>
          <w:color w:val="auto"/>
        </w:rPr>
        <w:t>For fiscal 2018, operating earnings as a percent of sales were 14.2 percent, consistent with 14.2 percent reported in the same period last year. Operating earnings as a percent of sales for the fourth quarter was 8.0 percent, a decline of 170 basis points compared to the same period last year.</w:t>
      </w:r>
    </w:p>
    <w:p>
      <w:pPr>
        <w:spacing w:after="0" w:line="179"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The reported tax rate for fiscal 2018 was 27.0 percent compared to 24.2 percent last year. The adjusted tax rate for fiscal 2018 was 22.1 percent compared to the adjusted tax rate of 29.8 percent in the same period last year. For the full-year, the adjusted rates were significantly impacted by the enactment of U.S. tax reform as previously reported. The unfavorable impact of one-time charges associated with the provisional re-measurement of deferred tax assets and liabilities, and provisional calculation of the deemed repatriation tax, were partially offset by the benefit resulting from the reduction in the federal corporate tax rate. For the fourth quarter, the reported tax rate was 10.4 percent, down from 27.9 percent in the same period last year. The adjusted tax rate for the fourth quarter was 21.5 percent compared to the adjusted tax rate of 29.7 percent in the same period last year. For the quarter, the adjusted tax rate excludes the benefit of the excess tax deduction for share-based compensation, as well as adjustments to the provisional tax items recorded in previous quarters of fiscal 2018. For fiscal 2019, the company estimates that its full year adjusted effective income tax rate will be about 21.5 percent.</w:t>
      </w:r>
    </w:p>
    <w:p>
      <w:pPr>
        <w:spacing w:after="0" w:line="185"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Accounts receivable at the end of the fiscal year were $193.2 million, up 5.5 percent from last year. Net inventories were $358.3 million, up 8.9 percent from last year. This increase was mainly due to slightly</w:t>
      </w:r>
    </w:p>
    <w:p>
      <w:pPr>
        <w:sectPr>
          <w:pgSz w:w="11900" w:h="16838" w:orient="portrait"/>
          <w:cols w:equalWidth="0" w:num="1">
            <w:col w:w="11400"/>
          </w:cols>
          <w:pgMar w:left="240" w:top="760" w:right="25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elevated inventory levels across multiple businesses in preparation for the upcoming selling seasons, as well as increased WIP inventory related to supply challenges. Trade payables were $256.6 million, up 21.2 percent from the comparable period last year.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maintenance, snow and ice management, landscape, rental and specialty construction equipment, and irrigation and outdoor lighting solutions. With sales of $2.6 billion in fiscal 2018,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t>
      </w:r>
      <w:r>
        <w:rPr>
          <w:rFonts w:ascii="Arial" w:cs="Arial" w:eastAsia="Arial" w:hAnsi="Arial"/>
          <w:sz w:val="20"/>
          <w:szCs w:val="20"/>
          <w:u w:val="single" w:color="auto"/>
          <w:color w:val="0563C1"/>
        </w:rPr>
        <w:t>www.thetorocompany.com</w:t>
      </w:r>
      <w:r>
        <w:rPr>
          <w:rFonts w:ascii="Arial" w:cs="Arial" w:eastAsia="Arial" w:hAnsi="Arial"/>
          <w:sz w:val="20"/>
          <w:szCs w:val="20"/>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6, 2018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8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December 6, 2018.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4"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This press release and our related earnings call contain certain non-GAAP financial measures, consisting of “adjusted" effective tax rate, net earnings and net earnings per diluted share as measures of our operating performance. Management believes these measures may be useful in performing meaningful comparisons of past and present operating results, to understand the performance of its ongoing operations and how</w:t>
      </w:r>
    </w:p>
    <w:p>
      <w:pPr>
        <w:spacing w:after="0" w:line="2"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management views the business. Reconciliations of adjusted non-GAAP measures to reported GAAP measures are included in the financial tables contained in this press release. These measures, however, should not be construed as an alternative to any other measure of performance determined in accordance with GAAP.</w:t>
      </w:r>
    </w:p>
    <w:p>
      <w:pPr>
        <w:spacing w:after="0" w:line="179"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 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w:t>
      </w:r>
    </w:p>
    <w:p>
      <w:pPr>
        <w:spacing w:after="0" w:line="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fluctuations in the cost and availability of raw materials and components, including steel, aluminum,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w:t>
      </w:r>
    </w:p>
    <w:p>
      <w:pPr>
        <w:sectPr>
          <w:pgSz w:w="11900" w:h="16838" w:orient="portrait"/>
          <w:cols w:equalWidth="0" w:num="1">
            <w:col w:w="11380"/>
          </w:cols>
          <w:pgMar w:left="240" w:top="760" w:right="27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trade and tariff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76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Fiscal Years Ended</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28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October 31,</w:t>
            </w: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13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4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539,303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488,627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2,618,650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2,505,176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179,063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184,258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941,011</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920,837</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 percentage</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7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136,067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136,798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567,926</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565,727</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42,996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47,460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373,085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355,110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(4,882)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(4,804)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(19,096)</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(19,113)</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5,457</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18,408</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17,187</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1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43,571</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46,927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372,397</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353,184</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4,534</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13,079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100,458</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85,467</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740" w:type="dxa"/>
            <w:vAlign w:val="bottom"/>
            <w:tcBorders>
              <w:top w:val="single" w:sz="8" w:color="auto"/>
            </w:tcBorders>
          </w:tcPr>
          <w:p>
            <w:pPr>
              <w:jc w:val="right"/>
              <w:ind w:right="208"/>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39,037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33,848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271,939</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267,717</w:t>
            </w:r>
          </w:p>
        </w:tc>
      </w:tr>
      <w:tr>
        <w:trPr>
          <w:trHeight w:val="67"/>
        </w:trPr>
        <w:tc>
          <w:tcPr>
            <w:tcW w:w="40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40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740" w:type="dxa"/>
            <w:vAlign w:val="bottom"/>
          </w:tcPr>
          <w:p>
            <w:pPr>
              <w:jc w:val="right"/>
              <w:ind w:right="20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0.37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2.56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2.47</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0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740" w:type="dxa"/>
            <w:vAlign w:val="bottom"/>
          </w:tcPr>
          <w:p>
            <w:pPr>
              <w:jc w:val="right"/>
              <w:ind w:right="20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2.41</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9"/>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Basic</w:t>
            </w:r>
          </w:p>
        </w:tc>
        <w:tc>
          <w:tcPr>
            <w:tcW w:w="17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106,042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107,929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106,369</w:t>
            </w:r>
          </w:p>
        </w:tc>
        <w:tc>
          <w:tcPr>
            <w:tcW w:w="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108,312</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40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9"/>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107,916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110,731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108,657</w:t>
            </w:r>
          </w:p>
        </w:tc>
        <w:tc>
          <w:tcPr>
            <w:tcW w:w="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111,252</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11"/>
        </w:trPr>
        <w:tc>
          <w:tcPr>
            <w:tcW w:w="404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Arial" w:cs="Arial" w:eastAsia="Arial" w:hAnsi="Arial"/>
                <w:sz w:val="20"/>
                <w:szCs w:val="20"/>
                <w:b w:val="1"/>
                <w:bCs w:val="1"/>
                <w:color w:val="auto"/>
              </w:rPr>
              <w:t>Segment Data (Unaudited)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4040" w:type="dxa"/>
            <w:vAlign w:val="bottom"/>
          </w:tcPr>
          <w:p>
            <w:pPr>
              <w:spacing w:after="0"/>
              <w:rPr>
                <w:sz w:val="22"/>
                <w:szCs w:val="22"/>
                <w:color w:val="auto"/>
              </w:rPr>
            </w:pPr>
          </w:p>
        </w:tc>
        <w:tc>
          <w:tcPr>
            <w:tcW w:w="2880" w:type="dxa"/>
            <w:vAlign w:val="bottom"/>
            <w:gridSpan w:val="2"/>
          </w:tcPr>
          <w:p>
            <w:pPr>
              <w:jc w:val="right"/>
              <w:ind w:right="190"/>
              <w:spacing w:after="0"/>
              <w:rPr>
                <w:sz w:val="20"/>
                <w:szCs w:val="20"/>
                <w:color w:val="auto"/>
              </w:rPr>
            </w:pPr>
            <w:r>
              <w:rPr>
                <w:rFonts w:ascii="Arial" w:cs="Arial" w:eastAsia="Arial" w:hAnsi="Arial"/>
                <w:sz w:val="20"/>
                <w:szCs w:val="20"/>
                <w:b w:val="1"/>
                <w:bCs w:val="1"/>
                <w:color w:val="auto"/>
              </w:rPr>
              <w:t>(Dollars in thousands)</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96"/>
        </w:trPr>
        <w:tc>
          <w:tcPr>
            <w:tcW w:w="4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Fiscal Years Ended</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October 31,</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Segment Net Sales</w:t>
            </w:r>
          </w:p>
        </w:tc>
        <w:tc>
          <w:tcPr>
            <w:tcW w:w="174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400,463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1,946,999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1,811,705</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133,224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654,413</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673,247</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17,238</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20,224</w:t>
            </w:r>
          </w:p>
        </w:tc>
      </w:tr>
      <w:tr>
        <w:trPr>
          <w:trHeight w:val="237"/>
        </w:trPr>
        <w:tc>
          <w:tcPr>
            <w:tcW w:w="40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net sales*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539,303</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488,627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2,618,650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2,505,176</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*Includes international net sales of:</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643,088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611,927</w:t>
            </w:r>
          </w:p>
        </w:tc>
      </w:tr>
      <w:tr>
        <w:trPr>
          <w:trHeight w:val="372"/>
        </w:trPr>
        <w:tc>
          <w:tcPr>
            <w:tcW w:w="40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Fiscal Years Ended</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October 31,</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Segment Earnings (Loss)</w:t>
            </w:r>
          </w:p>
        </w:tc>
        <w:tc>
          <w:tcPr>
            <w:tcW w:w="174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399,806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379,496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64,807</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74,704</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(24,416)</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(92,216)</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(101,016)</w:t>
            </w:r>
          </w:p>
        </w:tc>
      </w:tr>
      <w:tr>
        <w:trPr>
          <w:trHeight w:val="237"/>
        </w:trPr>
        <w:tc>
          <w:tcPr>
            <w:tcW w:w="40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segment earnings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43,571</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46,927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372,397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353,184</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October 31,</w:t>
            </w:r>
          </w:p>
        </w:tc>
        <w:tc>
          <w:tcPr>
            <w:tcW w:w="2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31,</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289,124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193,178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183,073</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358,259</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328,992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37,565</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894,637</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859,886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271,459</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235,230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64,083</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366,636</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334,588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1,570,984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1,493,787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26,258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256,575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211,752</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276,060</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283,786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532,635</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521,796</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312,549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305,629</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24,909</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24,761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30,578</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22,783</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668,916</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617,092</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1,570,984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1,493,787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8 -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44"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October 31,</w:t>
            </w:r>
          </w:p>
        </w:tc>
        <w:tc>
          <w:tcPr>
            <w:tcW w:w="2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31,</w:t>
            </w:r>
          </w:p>
        </w:tc>
      </w:tr>
      <w:tr>
        <w:trPr>
          <w:trHeight w:val="234"/>
        </w:trPr>
        <w:tc>
          <w:tcPr>
            <w:tcW w:w="7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271,939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267,717</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(11,143)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(9,960)</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9,228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8,050</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61,277</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64,986</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12,161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25,255</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(6,887)</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(17,701)</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(29,770)</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(15,611)</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47,460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59,859</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364,805</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360,748</w:t>
            </w:r>
          </w:p>
        </w:tc>
      </w:tr>
      <w:tr>
        <w:trPr>
          <w:trHeight w:val="318"/>
        </w:trPr>
        <w:tc>
          <w:tcPr>
            <w:tcW w:w="74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(90,124)</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(58,276)</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Investments in unconsolidated entities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(6,750)</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(31,202)</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(24,181)</w:t>
            </w:r>
          </w:p>
        </w:tc>
      </w:tr>
      <w:tr>
        <w:trPr>
          <w:trHeight w:val="237"/>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(127,925)</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(83,758)</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(19,136)</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17,243</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10,274</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(160,435)</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(159,354)</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(85,031)</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(75,758)</w:t>
            </w:r>
          </w:p>
        </w:tc>
      </w:tr>
      <w:tr>
        <w:trPr>
          <w:trHeight w:val="237"/>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(252,075)</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(245,268)</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(5,937)</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4,979</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(21,132)</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36,701</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310,256</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289,124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color w:val="auto"/>
        </w:rPr>
        <w:t>9 - The Toro Company Reports Record Fiscal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Reconciliation of Non-GAAP Financial Measures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2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Such non-GAAP financial measures should not be considered superior to, as a substitute for, or as an alternative to, and should be considered in conjunction with, the GAAP financial measures presented in the press release. The non-GAAP financial measures in the accompanying press release may differ from similar measures used by other companies.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tables provide reconciliations of financial measures calculated and reported in accordance with GAAP as well as adjusted non-GAAP financial measures presented in the accompanying press release for the three and twelve month periods ended October 31, 2018 and October 31, 2017. The company believes these measures may be useful in performing meaningful comparisons of past and present operating results, to understand the performance of its ongoing operations, and how management views the business. The following is a reconciliation of our net earnings, diluted earnings per share ("EPS"), and effective tax rate to our adjusted net earnings, adjusted diluted EPS, and adjusted effective tax rate: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spacing w:after="0"/>
              <w:rPr>
                <w:sz w:val="18"/>
                <w:szCs w:val="18"/>
                <w:color w:val="auto"/>
              </w:rPr>
            </w:pPr>
          </w:p>
        </w:tc>
        <w:tc>
          <w:tcPr>
            <w:tcW w:w="258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Diluted EPS</w:t>
            </w:r>
          </w:p>
        </w:tc>
        <w:tc>
          <w:tcPr>
            <w:tcW w:w="272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October 31,</w:t>
            </w:r>
          </w:p>
        </w:tc>
        <w:tc>
          <w:tcPr>
            <w:tcW w:w="22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October 31,</w:t>
            </w:r>
          </w:p>
        </w:tc>
        <w:tc>
          <w:tcPr>
            <w:tcW w:w="22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October 31,</w:t>
            </w:r>
          </w:p>
        </w:tc>
        <w:tc>
          <w:tcPr>
            <w:tcW w:w="22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October 31,</w:t>
            </w: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October 31,</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w:t>
            </w: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33,848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0.31</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Benefit of the excess tax deduction for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(0.01)</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31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34,209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32,989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0.30</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21.5 %</w:t>
            </w:r>
          </w:p>
        </w:tc>
        <w:tc>
          <w:tcPr>
            <w:tcW w:w="12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spacing w:after="0"/>
              <w:rPr>
                <w:sz w:val="18"/>
                <w:szCs w:val="18"/>
                <w:color w:val="auto"/>
              </w:rPr>
            </w:pPr>
          </w:p>
        </w:tc>
        <w:tc>
          <w:tcPr>
            <w:tcW w:w="258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Diluted EPS</w:t>
            </w:r>
          </w:p>
        </w:tc>
        <w:tc>
          <w:tcPr>
            <w:tcW w:w="272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October 31,</w:t>
            </w:r>
          </w:p>
        </w:tc>
        <w:tc>
          <w:tcPr>
            <w:tcW w:w="22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October 31,</w:t>
            </w:r>
          </w:p>
        </w:tc>
        <w:tc>
          <w:tcPr>
            <w:tcW w:w="22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October 31,</w:t>
            </w:r>
          </w:p>
        </w:tc>
        <w:tc>
          <w:tcPr>
            <w:tcW w:w="22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October 31,</w:t>
            </w: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October 31,</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w:t>
            </w: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Fiscal Years Ended</w:t>
            </w:r>
          </w:p>
        </w:tc>
        <w:tc>
          <w:tcPr>
            <w:tcW w:w="28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271,939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267,717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2.41</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19,274</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0.18</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13,428</w:t>
            </w:r>
          </w:p>
        </w:tc>
        <w:tc>
          <w:tcPr>
            <w:tcW w:w="22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0.12</w:t>
            </w:r>
          </w:p>
        </w:tc>
        <w:tc>
          <w:tcPr>
            <w:tcW w:w="220" w:type="dxa"/>
            <w:vAlign w:val="bottom"/>
          </w:tcPr>
          <w:p>
            <w:pPr>
              <w:spacing w:after="0"/>
              <w:rPr>
                <w:sz w:val="23"/>
                <w:szCs w:val="23"/>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Benefit of the excess tax deduction for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(14,555)</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(19,720)</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(0.18)</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1"/>
        </w:trPr>
        <w:tc>
          <w:tcPr>
            <w:tcW w:w="31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290,086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247,997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2.23</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22.1 %</w:t>
            </w:r>
          </w:p>
        </w:tc>
        <w:tc>
          <w:tcPr>
            <w:tcW w:w="126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3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right="20" w:hanging="172"/>
        <w:spacing w:after="0" w:line="276" w:lineRule="auto"/>
        <w:tabs>
          <w:tab w:leader="none" w:pos="180" w:val="left"/>
        </w:tabs>
        <w:numPr>
          <w:ilvl w:val="0"/>
          <w:numId w:val="7"/>
        </w:numPr>
        <w:rPr>
          <w:rFonts w:ascii="Arial" w:cs="Arial" w:eastAsia="Arial" w:hAnsi="Arial"/>
          <w:sz w:val="13"/>
          <w:szCs w:val="13"/>
          <w:color w:val="auto"/>
        </w:rPr>
      </w:pPr>
      <w:r>
        <w:rPr>
          <w:rFonts w:ascii="Arial" w:cs="Arial" w:eastAsia="Arial" w:hAnsi="Arial"/>
          <w:sz w:val="15"/>
          <w:szCs w:val="15"/>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30" w:lineRule="exact"/>
        <w:rPr>
          <w:sz w:val="20"/>
          <w:szCs w:val="20"/>
          <w:color w:val="auto"/>
        </w:rPr>
      </w:pPr>
    </w:p>
    <w:p>
      <w:pPr>
        <w:jc w:val="both"/>
        <w:ind w:left="180" w:hanging="172"/>
        <w:spacing w:after="0" w:line="255" w:lineRule="auto"/>
        <w:tabs>
          <w:tab w:leader="none" w:pos="180" w:val="left"/>
        </w:tabs>
        <w:numPr>
          <w:ilvl w:val="0"/>
          <w:numId w:val="8"/>
        </w:numPr>
        <w:rPr>
          <w:rFonts w:ascii="Arial" w:cs="Arial" w:eastAsia="Arial" w:hAnsi="Arial"/>
          <w:sz w:val="13"/>
          <w:szCs w:val="13"/>
          <w:color w:val="auto"/>
        </w:rPr>
      </w:pPr>
      <w:r>
        <w:rPr>
          <w:rFonts w:ascii="Arial" w:cs="Arial" w:eastAsia="Arial" w:hAnsi="Arial"/>
          <w:sz w:val="15"/>
          <w:szCs w:val="15"/>
          <w:color w:val="auto"/>
        </w:rPr>
        <w:t>Signed into law on December 22, 2017, the Tax Cuts and Jobs Act ("Tax Act"), reduced the U.S. federal corporate tax rate from 35.0 percent to 21.0 percent, effective January 1, 2018, which resulted in a blended U.S. federal statutory tax rate for the company of 23.3 percent for the fiscal year ended October 31, 2018. This reduction in rate requires the re-measurement of the company's net deferred taxes as of the date of enactment, which resulted in a non-cash benefit of $0.0 million and a non-cash charge of $19.3 million during the three and twelve month periods ended October 31, 2018, respectively.</w:t>
      </w:r>
    </w:p>
    <w:p>
      <w:pPr>
        <w:spacing w:after="0" w:line="145" w:lineRule="exact"/>
        <w:rPr>
          <w:sz w:val="20"/>
          <w:szCs w:val="20"/>
          <w:color w:val="auto"/>
        </w:rPr>
      </w:pPr>
    </w:p>
    <w:p>
      <w:pPr>
        <w:ind w:left="180" w:hanging="172"/>
        <w:spacing w:after="0" w:line="276" w:lineRule="auto"/>
        <w:tabs>
          <w:tab w:leader="none" w:pos="180" w:val="left"/>
        </w:tabs>
        <w:numPr>
          <w:ilvl w:val="0"/>
          <w:numId w:val="9"/>
        </w:numPr>
        <w:rPr>
          <w:rFonts w:ascii="Arial" w:cs="Arial" w:eastAsia="Arial" w:hAnsi="Arial"/>
          <w:sz w:val="13"/>
          <w:szCs w:val="13"/>
          <w:color w:val="auto"/>
        </w:rPr>
      </w:pPr>
      <w:r>
        <w:rPr>
          <w:rFonts w:ascii="Arial" w:cs="Arial" w:eastAsia="Arial" w:hAnsi="Arial"/>
          <w:sz w:val="15"/>
          <w:szCs w:val="15"/>
          <w:color w:val="auto"/>
        </w:rPr>
        <w:t>The Tax Act imposed a one-time deemed repatriation tax on the company's historical undistributed earnings and profits of foreign affiliates, which resulted in charges of $0.1 million and $13.4 million during the three and twelve month periods ended October 31, 2018, respectively, payable over eight years.</w:t>
      </w:r>
    </w:p>
    <w:p>
      <w:pPr>
        <w:spacing w:after="0" w:line="130" w:lineRule="exact"/>
        <w:rPr>
          <w:sz w:val="20"/>
          <w:szCs w:val="20"/>
          <w:color w:val="auto"/>
        </w:rPr>
      </w:pPr>
    </w:p>
    <w:p>
      <w:pPr>
        <w:jc w:val="both"/>
        <w:ind w:left="180" w:hanging="172"/>
        <w:spacing w:after="0" w:line="252" w:lineRule="auto"/>
        <w:tabs>
          <w:tab w:leader="none" w:pos="180" w:val="left"/>
        </w:tabs>
        <w:numPr>
          <w:ilvl w:val="0"/>
          <w:numId w:val="10"/>
        </w:numPr>
        <w:rPr>
          <w:rFonts w:ascii="Arial" w:cs="Arial" w:eastAsia="Arial" w:hAnsi="Arial"/>
          <w:sz w:val="13"/>
          <w:szCs w:val="13"/>
          <w:color w:val="auto"/>
        </w:rPr>
      </w:pPr>
      <w:r>
        <w:rPr>
          <w:rFonts w:ascii="Arial" w:cs="Arial" w:eastAsia="Arial" w:hAnsi="Arial"/>
          <w:sz w:val="15"/>
          <w:szCs w:val="15"/>
          <w:color w:val="auto"/>
        </w:rPr>
        <w:t xml:space="preserve">In the first quarter of fiscal 2017, the company adopted Accounting Standards Update No. 2016-09, </w:t>
      </w:r>
      <w:r>
        <w:rPr>
          <w:rFonts w:ascii="Arial" w:cs="Arial" w:eastAsia="Arial" w:hAnsi="Arial"/>
          <w:sz w:val="15"/>
          <w:szCs w:val="15"/>
          <w:i w:val="1"/>
          <w:iCs w:val="1"/>
          <w:color w:val="auto"/>
        </w:rPr>
        <w:t>Stock-based Compensation: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which requires that any excess tax deduction for share-based compensation be immediately recorded within income tax expense. The company recorded discrete tax</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of $4.9 million and $14.6 million as excess tax deductions for share-based compensation during the three and twelve months ended October 31, 2018, respectively. The Tax Act reduced the U.S. federal corporate tax rate, which reduced the tax benefit related to share-based compensation by $1.9 million and $6.1 million for the three and twelve month periods ended October 31,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2019-12-28T17:24:23Z</dcterms:created>
  <dcterms:modified xsi:type="dcterms:W3CDTF">2019-12-28T17:24:23Z</dcterms:modified>
</cp:coreProperties>
</file>