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tbl>
      <w:tblPr>
        <w:tblLayout w:type="fixed"/>
        <w:tblInd w:w="1180" w:type="dxa"/>
        <w:tblCellMar>
          <w:top w:w="0" w:type="dxa"/>
          <w:left w:w="0" w:type="dxa"/>
          <w:bottom w:w="0" w:type="dxa"/>
          <w:right w:w="0" w:type="dxa"/>
        </w:tblCellMar>
      </w:tblPr>
      <w:tr>
        <w:trPr>
          <w:trHeight w:val="222"/>
        </w:trPr>
        <w:tc>
          <w:tcPr>
            <w:tcW w:w="5360" w:type="dxa"/>
            <w:vAlign w:val="bottom"/>
          </w:tcPr>
          <w:p>
            <w:pPr>
              <w:spacing w:after="0"/>
              <w:rPr>
                <w:sz w:val="20"/>
                <w:szCs w:val="20"/>
                <w:color w:val="auto"/>
              </w:rPr>
            </w:pPr>
            <w:r>
              <w:rPr>
                <w:rFonts w:ascii="Arial" w:cs="Arial" w:eastAsia="Arial" w:hAnsi="Arial"/>
                <w:sz w:val="18"/>
                <w:szCs w:val="18"/>
                <w:color w:val="auto"/>
              </w:rPr>
              <w:t>Date of Report (Date of Earliest Event Reported):</w:t>
            </w:r>
          </w:p>
        </w:tc>
        <w:tc>
          <w:tcPr>
            <w:tcW w:w="2860" w:type="dxa"/>
            <w:vAlign w:val="bottom"/>
          </w:tcPr>
          <w:p>
            <w:pPr>
              <w:ind w:left="1880"/>
              <w:spacing w:after="0"/>
              <w:rPr>
                <w:sz w:val="20"/>
                <w:szCs w:val="20"/>
                <w:color w:val="auto"/>
              </w:rPr>
            </w:pPr>
            <w:r>
              <w:rPr>
                <w:rFonts w:ascii="Arial" w:cs="Arial" w:eastAsia="Arial" w:hAnsi="Arial"/>
                <w:sz w:val="18"/>
                <w:szCs w:val="18"/>
                <w:color w:val="auto"/>
                <w:w w:val="87"/>
              </w:rPr>
              <w:t>May 24, 2005</w:t>
            </w:r>
          </w:p>
        </w:tc>
      </w:tr>
    </w:tbl>
    <w:p>
      <w:pPr>
        <w:spacing w:after="0" w:line="200" w:lineRule="exact"/>
        <w:rPr>
          <w:sz w:val="24"/>
          <w:szCs w:val="24"/>
          <w:color w:val="auto"/>
        </w:rPr>
      </w:pPr>
    </w:p>
    <w:p>
      <w:pPr>
        <w:spacing w:after="0" w:line="230" w:lineRule="exact"/>
        <w:rPr>
          <w:sz w:val="24"/>
          <w:szCs w:val="24"/>
          <w:color w:val="auto"/>
        </w:rPr>
      </w:pPr>
    </w:p>
    <w:p>
      <w:pPr>
        <w:ind w:left="3980"/>
        <w:spacing w:after="0"/>
        <w:rPr>
          <w:sz w:val="20"/>
          <w:szCs w:val="20"/>
          <w:color w:val="auto"/>
        </w:rPr>
      </w:pPr>
      <w:r>
        <w:rPr>
          <w:rFonts w:ascii="Arial" w:cs="Arial" w:eastAsia="Arial" w:hAnsi="Arial"/>
          <w:sz w:val="43"/>
          <w:szCs w:val="43"/>
          <w:color w:val="auto"/>
        </w:rPr>
        <w:t>The Toro Company</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6"/>
              </w:rPr>
              <w:t>Delaware</w:t>
            </w:r>
          </w:p>
        </w:tc>
        <w:tc>
          <w:tcPr>
            <w:tcW w:w="4600" w:type="dxa"/>
            <w:vAlign w:val="bottom"/>
          </w:tcPr>
          <w:p>
            <w:pPr>
              <w:jc w:val="right"/>
              <w:ind w:right="2072"/>
              <w:spacing w:after="0"/>
              <w:rPr>
                <w:sz w:val="20"/>
                <w:szCs w:val="20"/>
                <w:color w:val="auto"/>
              </w:rPr>
            </w:pPr>
            <w:r>
              <w:rPr>
                <w:rFonts w:ascii="Arial" w:cs="Arial" w:eastAsia="Arial" w:hAnsi="Arial"/>
                <w:sz w:val="18"/>
                <w:szCs w:val="18"/>
                <w:color w:val="auto"/>
              </w:rPr>
              <w:t>1-8649</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41-0580470</w:t>
            </w:r>
          </w:p>
        </w:tc>
      </w:tr>
      <w:tr>
        <w:trPr>
          <w:trHeight w:val="216"/>
        </w:trPr>
        <w:tc>
          <w:tcPr>
            <w:tcW w:w="3140" w:type="dxa"/>
            <w:vAlign w:val="bottom"/>
          </w:tcPr>
          <w:p>
            <w:pPr>
              <w:jc w:val="right"/>
              <w:ind w:right="612"/>
              <w:spacing w:after="0"/>
              <w:rPr>
                <w:sz w:val="20"/>
                <w:szCs w:val="20"/>
                <w:color w:val="auto"/>
              </w:rPr>
            </w:pPr>
            <w:r>
              <w:rPr>
                <w:rFonts w:ascii="Arial" w:cs="Arial" w:eastAsia="Arial" w:hAnsi="Arial"/>
                <w:sz w:val="18"/>
                <w:szCs w:val="18"/>
                <w:color w:val="auto"/>
              </w:rPr>
              <w:t>_____________________</w:t>
            </w:r>
          </w:p>
        </w:tc>
        <w:tc>
          <w:tcPr>
            <w:tcW w:w="460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(State or other jurisdiction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of incorporation)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140" w:type="dxa"/>
            <w:vAlign w:val="bottom"/>
          </w:tcPr>
          <w:p>
            <w:pPr>
              <w:jc w:val="center"/>
              <w:ind w:right="12"/>
              <w:spacing w:after="0"/>
              <w:rPr>
                <w:sz w:val="20"/>
                <w:szCs w:val="20"/>
                <w:color w:val="auto"/>
              </w:rPr>
            </w:pPr>
            <w:r>
              <w:rPr>
                <w:rFonts w:ascii="Arial" w:cs="Arial" w:eastAsia="Arial" w:hAnsi="Arial"/>
                <w:sz w:val="18"/>
                <w:szCs w:val="18"/>
                <w:color w:val="auto"/>
                <w:w w:val="89"/>
              </w:rPr>
              <w:t>8111 Lyndale Avenue South, Bloomington,</w:t>
            </w:r>
          </w:p>
        </w:tc>
        <w:tc>
          <w:tcPr>
            <w:tcW w:w="460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55420</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9"/>
              </w:rPr>
              <w:t>Minnesota</w:t>
            </w:r>
          </w:p>
        </w:tc>
        <w:tc>
          <w:tcPr>
            <w:tcW w:w="46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140" w:type="dxa"/>
            <w:vAlign w:val="bottom"/>
          </w:tcPr>
          <w:p>
            <w:pPr>
              <w:jc w:val="right"/>
              <w:ind w:right="92"/>
              <w:spacing w:after="0"/>
              <w:rPr>
                <w:sz w:val="20"/>
                <w:szCs w:val="20"/>
                <w:color w:val="auto"/>
              </w:rPr>
            </w:pPr>
            <w:r>
              <w:rPr>
                <w:rFonts w:ascii="Arial" w:cs="Arial" w:eastAsia="Arial" w:hAnsi="Arial"/>
                <w:sz w:val="18"/>
                <w:szCs w:val="18"/>
                <w:color w:val="auto"/>
                <w:w w:val="89"/>
              </w:rPr>
              <w:t>_________________________________</w:t>
            </w:r>
          </w:p>
        </w:tc>
        <w:tc>
          <w:tcPr>
            <w:tcW w:w="460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(Address of principal executive offices)</w:t>
            </w:r>
          </w:p>
        </w:tc>
        <w:tc>
          <w:tcPr>
            <w:tcW w:w="460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740" w:type="dxa"/>
            <w:vAlign w:val="bottom"/>
            <w:gridSpan w:val="2"/>
          </w:tcPr>
          <w:p>
            <w:pPr>
              <w:ind w:left="72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952-888-8801</w:t>
            </w:r>
          </w:p>
        </w:tc>
      </w:tr>
      <w:tr>
        <w:trPr>
          <w:trHeight w:val="426"/>
        </w:trPr>
        <w:tc>
          <w:tcPr>
            <w:tcW w:w="3140" w:type="dxa"/>
            <w:vAlign w:val="bottom"/>
          </w:tcPr>
          <w:p>
            <w:pPr>
              <w:spacing w:after="0"/>
              <w:rPr>
                <w:sz w:val="24"/>
                <w:szCs w:val="24"/>
                <w:color w:val="auto"/>
              </w:rPr>
            </w:pPr>
          </w:p>
        </w:tc>
        <w:tc>
          <w:tcPr>
            <w:tcW w:w="4600" w:type="dxa"/>
            <w:vAlign w:val="bottom"/>
          </w:tcPr>
          <w:p>
            <w:pPr>
              <w:ind w:left="164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4600" w:type="dxa"/>
            <w:vAlign w:val="bottom"/>
          </w:tcPr>
          <w:p>
            <w:pPr>
              <w:jc w:val="right"/>
              <w:ind w:right="292"/>
              <w:spacing w:after="0"/>
              <w:rPr>
                <w:sz w:val="20"/>
                <w:szCs w:val="20"/>
                <w:color w:val="auto"/>
              </w:rPr>
            </w:pPr>
            <w:r>
              <w:rPr>
                <w:rFonts w:ascii="Arial" w:cs="Arial" w:eastAsia="Arial" w:hAnsi="Arial"/>
                <w:sz w:val="18"/>
                <w:szCs w:val="18"/>
                <w:color w:val="auto"/>
                <w:w w:val="91"/>
              </w:rPr>
              <w:t>______________________________________________</w:t>
            </w:r>
          </w:p>
        </w:tc>
        <w:tc>
          <w:tcPr>
            <w:tcW w:w="2080" w:type="dxa"/>
            <w:vAlign w:val="bottom"/>
          </w:tcPr>
          <w:p>
            <w:pPr>
              <w:spacing w:after="0"/>
              <w:rPr>
                <w:sz w:val="18"/>
                <w:szCs w:val="18"/>
                <w:color w:val="auto"/>
              </w:rPr>
            </w:pPr>
          </w:p>
        </w:tc>
      </w:tr>
      <w:tr>
        <w:trPr>
          <w:trHeight w:val="222"/>
        </w:trPr>
        <w:tc>
          <w:tcPr>
            <w:tcW w:w="3140" w:type="dxa"/>
            <w:vAlign w:val="bottom"/>
          </w:tcPr>
          <w:p>
            <w:pPr>
              <w:spacing w:after="0"/>
              <w:rPr>
                <w:sz w:val="19"/>
                <w:szCs w:val="19"/>
                <w:color w:val="auto"/>
              </w:rPr>
            </w:pP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On May 24, 2005, The Toro Company announced its earnings for the three and six months ended April 29, 2005. Attached to this Current Report on Form 8-K as Exhibit 99 is a copy of The Toro Company’s press release in connection with the announcement. The information in this report is being furnished and shall not be deemed to be filed for purposes of Section 18 of the Securities Exchange Act of 1934, or otherwise subject to the liability of that section, and shall not be deemed to be incorporated by reference by any general statements by The Toro Company incorporating by reference this report or future filings into any filings under the Securities Act of 1933 or the Securities Exchange Act of 1934, except to the extent The Toro Company specifically incorporates the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855345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 Toro Company</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May 24, 2005</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4"/>
          <w:szCs w:val="14"/>
          <w:i w:val="1"/>
          <w:iCs w:val="1"/>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Stephen P. Wolfe</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6"/>
          <w:szCs w:val="16"/>
          <w:i w:val="1"/>
          <w:iCs w:val="1"/>
          <w:color w:val="auto"/>
        </w:rPr>
        <w:t>Title: Vice President Finance, Treasurer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99</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88"/>
              </w:rPr>
              <w:t>Other - Registrant's press release dated May 24, 2005 (furnished</w:t>
            </w:r>
          </w:p>
        </w:tc>
      </w:t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herewith).</w:t>
            </w:r>
          </w:p>
        </w:tc>
      </w:tr>
    </w:tbl>
    <w:p>
      <w:pPr>
        <w:sectPr>
          <w:pgSz w:w="11900" w:h="16838" w:orient="portrait"/>
          <w:cols w:equalWidth="0" w:num="1">
            <w:col w:w="10219"/>
          </w:cols>
          <w:pgMar w:left="240" w:top="125" w:right="1440" w:bottom="1440" w:gutter="0" w:footer="0" w:header="0"/>
        </w:sectPr>
      </w:pPr>
    </w:p>
    <w:bookmarkStart w:id="4" w:name="page5"/>
    <w:bookmarkEnd w:id="4"/>
    <w:p>
      <w:pPr>
        <w:spacing w:after="0" w:line="80"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auto"/>
        </w:rPr>
        <w:t>The Toro Company</w:t>
      </w:r>
    </w:p>
    <w:p>
      <w:pPr>
        <w:spacing w:after="0" w:line="38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8111 Lyndale Avenue South,</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Bloomington, Minnesota 55420-1196</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952/888-8801 • FAX 952/887-8258</w:t>
      </w:r>
    </w:p>
    <w:p>
      <w:pPr>
        <w:spacing w:after="0" w:line="207" w:lineRule="exact"/>
        <w:rPr>
          <w:sz w:val="20"/>
          <w:szCs w:val="20"/>
          <w:color w:val="auto"/>
        </w:rPr>
      </w:pPr>
    </w:p>
    <w:tbl>
      <w:tblPr>
        <w:tblLayout w:type="fixed"/>
        <w:tblInd w:w="300" w:type="dxa"/>
        <w:tblCellMar>
          <w:top w:w="0" w:type="dxa"/>
          <w:left w:w="0" w:type="dxa"/>
          <w:bottom w:w="0" w:type="dxa"/>
          <w:right w:w="0" w:type="dxa"/>
        </w:tblCellMar>
      </w:tblPr>
      <w:tr>
        <w:trPr>
          <w:trHeight w:val="220"/>
        </w:trPr>
        <w:tc>
          <w:tcPr>
            <w:tcW w:w="2060" w:type="dxa"/>
            <w:vAlign w:val="bottom"/>
            <w:vMerge w:val="restart"/>
          </w:tcPr>
          <w:p>
            <w:pPr>
              <w:spacing w:after="0"/>
              <w:rPr>
                <w:sz w:val="20"/>
                <w:szCs w:val="20"/>
                <w:color w:val="auto"/>
              </w:rPr>
            </w:pPr>
            <w:r>
              <w:rPr>
                <w:rFonts w:ascii="Arial" w:cs="Arial" w:eastAsia="Arial" w:hAnsi="Arial"/>
                <w:sz w:val="18"/>
                <w:szCs w:val="18"/>
                <w:b w:val="1"/>
                <w:bCs w:val="1"/>
                <w:color w:val="auto"/>
              </w:rPr>
              <w:t>Investor Relations</w:t>
            </w:r>
          </w:p>
        </w:tc>
        <w:tc>
          <w:tcPr>
            <w:tcW w:w="3280" w:type="dxa"/>
            <w:vAlign w:val="bottom"/>
          </w:tcPr>
          <w:p>
            <w:pPr>
              <w:spacing w:after="0"/>
              <w:rPr>
                <w:sz w:val="19"/>
                <w:szCs w:val="19"/>
                <w:color w:val="auto"/>
              </w:rPr>
            </w:pPr>
          </w:p>
        </w:tc>
        <w:tc>
          <w:tcPr>
            <w:tcW w:w="2760" w:type="dxa"/>
            <w:vAlign w:val="bottom"/>
          </w:tcPr>
          <w:p>
            <w:pPr>
              <w:ind w:left="1140"/>
              <w:spacing w:after="0"/>
              <w:rPr>
                <w:sz w:val="20"/>
                <w:szCs w:val="20"/>
                <w:color w:val="auto"/>
              </w:rPr>
            </w:pPr>
            <w:r>
              <w:rPr>
                <w:rFonts w:ascii="Arial" w:cs="Arial" w:eastAsia="Arial" w:hAnsi="Arial"/>
                <w:sz w:val="18"/>
                <w:szCs w:val="18"/>
                <w:b w:val="1"/>
                <w:bCs w:val="1"/>
                <w:color w:val="auto"/>
              </w:rPr>
              <w:t>Media Relations</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vMerge w:val="continue"/>
          </w:tcPr>
          <w:p>
            <w:pPr>
              <w:spacing w:after="0"/>
              <w:rPr>
                <w:sz w:val="18"/>
                <w:szCs w:val="18"/>
                <w:color w:val="auto"/>
              </w:rPr>
            </w:pPr>
          </w:p>
        </w:tc>
        <w:tc>
          <w:tcPr>
            <w:tcW w:w="3280" w:type="dxa"/>
            <w:vAlign w:val="bottom"/>
          </w:tcPr>
          <w:p>
            <w:pPr>
              <w:ind w:left="560"/>
              <w:spacing w:after="0"/>
              <w:rPr>
                <w:sz w:val="20"/>
                <w:szCs w:val="20"/>
                <w:color w:val="auto"/>
              </w:rPr>
            </w:pPr>
            <w:r>
              <w:rPr>
                <w:rFonts w:ascii="Arial" w:cs="Arial" w:eastAsia="Arial" w:hAnsi="Arial"/>
                <w:sz w:val="18"/>
                <w:szCs w:val="18"/>
                <w:color w:val="auto"/>
              </w:rPr>
              <w:t>John Wright</w:t>
            </w:r>
          </w:p>
        </w:tc>
        <w:tc>
          <w:tcPr>
            <w:tcW w:w="2760" w:type="dxa"/>
            <w:vAlign w:val="bottom"/>
          </w:tcPr>
          <w:p>
            <w:pPr>
              <w:ind w:left="740"/>
              <w:spacing w:after="0"/>
              <w:rPr>
                <w:sz w:val="20"/>
                <w:szCs w:val="20"/>
                <w:color w:val="auto"/>
              </w:rPr>
            </w:pPr>
            <w:r>
              <w:rPr>
                <w:rFonts w:ascii="Arial" w:cs="Arial" w:eastAsia="Arial" w:hAnsi="Arial"/>
                <w:sz w:val="18"/>
                <w:szCs w:val="18"/>
                <w:color w:val="auto"/>
              </w:rPr>
              <w:t>Connie Kotke</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Stephen P. Wolfe</w:t>
            </w:r>
          </w:p>
        </w:tc>
        <w:tc>
          <w:tcPr>
            <w:tcW w:w="3280" w:type="dxa"/>
            <w:vAlign w:val="bottom"/>
          </w:tcPr>
          <w:p>
            <w:pPr>
              <w:ind w:left="560"/>
              <w:spacing w:after="0"/>
              <w:rPr>
                <w:sz w:val="20"/>
                <w:szCs w:val="20"/>
                <w:color w:val="auto"/>
              </w:rPr>
            </w:pPr>
            <w:r>
              <w:rPr>
                <w:rFonts w:ascii="Arial" w:cs="Arial" w:eastAsia="Arial" w:hAnsi="Arial"/>
                <w:sz w:val="18"/>
                <w:szCs w:val="18"/>
                <w:color w:val="auto"/>
              </w:rPr>
              <w:t>Director, Investor Relations</w:t>
            </w:r>
          </w:p>
        </w:tc>
        <w:tc>
          <w:tcPr>
            <w:tcW w:w="2760" w:type="dxa"/>
            <w:vAlign w:val="bottom"/>
          </w:tcPr>
          <w:p>
            <w:pPr>
              <w:ind w:left="740"/>
              <w:spacing w:after="0"/>
              <w:rPr>
                <w:sz w:val="20"/>
                <w:szCs w:val="20"/>
                <w:color w:val="auto"/>
              </w:rPr>
            </w:pPr>
            <w:r>
              <w:rPr>
                <w:rFonts w:ascii="Arial" w:cs="Arial" w:eastAsia="Arial" w:hAnsi="Arial"/>
                <w:sz w:val="18"/>
                <w:szCs w:val="18"/>
                <w:color w:val="auto"/>
              </w:rPr>
              <w:t>Toro Media Relations</w:t>
            </w:r>
          </w:p>
        </w:tc>
        <w:tc>
          <w:tcPr>
            <w:tcW w:w="2060" w:type="dxa"/>
            <w:vAlign w:val="bottom"/>
          </w:tcPr>
          <w:p>
            <w:pPr>
              <w:ind w:left="360"/>
              <w:spacing w:after="0"/>
              <w:rPr>
                <w:sz w:val="20"/>
                <w:szCs w:val="20"/>
                <w:color w:val="auto"/>
              </w:rPr>
            </w:pPr>
            <w:r>
              <w:rPr>
                <w:rFonts w:ascii="Arial" w:cs="Arial" w:eastAsia="Arial" w:hAnsi="Arial"/>
                <w:sz w:val="18"/>
                <w:szCs w:val="18"/>
                <w:color w:val="auto"/>
              </w:rPr>
              <w:t>Web Site</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Vice President, CFO</w:t>
            </w:r>
          </w:p>
        </w:tc>
        <w:tc>
          <w:tcPr>
            <w:tcW w:w="3280" w:type="dxa"/>
            <w:vAlign w:val="bottom"/>
          </w:tcPr>
          <w:p>
            <w:pPr>
              <w:ind w:left="560"/>
              <w:spacing w:after="0"/>
              <w:rPr>
                <w:sz w:val="20"/>
                <w:szCs w:val="20"/>
                <w:color w:val="auto"/>
              </w:rPr>
            </w:pPr>
            <w:r>
              <w:rPr>
                <w:rFonts w:ascii="Arial" w:cs="Arial" w:eastAsia="Arial" w:hAnsi="Arial"/>
                <w:sz w:val="18"/>
                <w:szCs w:val="18"/>
                <w:color w:val="auto"/>
              </w:rPr>
              <w:t>(952) 887-8865</w:t>
            </w:r>
          </w:p>
        </w:tc>
        <w:tc>
          <w:tcPr>
            <w:tcW w:w="2760" w:type="dxa"/>
            <w:vAlign w:val="bottom"/>
          </w:tcPr>
          <w:p>
            <w:pPr>
              <w:ind w:left="740"/>
              <w:spacing w:after="0"/>
              <w:rPr>
                <w:sz w:val="20"/>
                <w:szCs w:val="20"/>
                <w:color w:val="auto"/>
              </w:rPr>
            </w:pPr>
            <w:r>
              <w:rPr>
                <w:rFonts w:ascii="Arial" w:cs="Arial" w:eastAsia="Arial" w:hAnsi="Arial"/>
                <w:sz w:val="18"/>
                <w:szCs w:val="18"/>
                <w:color w:val="auto"/>
              </w:rPr>
              <w:t>(952) 887-8984</w:t>
            </w:r>
          </w:p>
        </w:tc>
        <w:tc>
          <w:tcPr>
            <w:tcW w:w="2060" w:type="dxa"/>
            <w:vAlign w:val="bottom"/>
          </w:tcPr>
          <w:p>
            <w:pPr>
              <w:ind w:left="360"/>
              <w:spacing w:after="0"/>
              <w:rPr>
                <w:sz w:val="20"/>
                <w:szCs w:val="20"/>
                <w:color w:val="auto"/>
              </w:rPr>
            </w:pPr>
            <w:r>
              <w:rPr>
                <w:rFonts w:ascii="Arial" w:cs="Arial" w:eastAsia="Arial" w:hAnsi="Arial"/>
                <w:sz w:val="18"/>
                <w:szCs w:val="18"/>
                <w:color w:val="auto"/>
                <w:w w:val="89"/>
              </w:rPr>
              <w:t>www.thetorocompany.c</w:t>
            </w: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(952) 887-8076</w:t>
            </w:r>
          </w:p>
        </w:tc>
        <w:tc>
          <w:tcPr>
            <w:tcW w:w="3280" w:type="dxa"/>
            <w:vAlign w:val="bottom"/>
          </w:tcPr>
          <w:p>
            <w:pPr>
              <w:spacing w:after="0"/>
              <w:rPr>
                <w:sz w:val="20"/>
                <w:szCs w:val="20"/>
                <w:color w:val="auto"/>
              </w:rPr>
            </w:pPr>
          </w:p>
        </w:tc>
        <w:tc>
          <w:tcPr>
            <w:tcW w:w="2760" w:type="dxa"/>
            <w:vAlign w:val="bottom"/>
          </w:tcPr>
          <w:p>
            <w:pPr>
              <w:ind w:left="740"/>
              <w:spacing w:after="0"/>
              <w:rPr>
                <w:sz w:val="20"/>
                <w:szCs w:val="20"/>
                <w:color w:val="auto"/>
              </w:rPr>
            </w:pPr>
            <w:r>
              <w:rPr>
                <w:rFonts w:ascii="Arial" w:cs="Arial" w:eastAsia="Arial" w:hAnsi="Arial"/>
                <w:sz w:val="18"/>
                <w:szCs w:val="18"/>
                <w:color w:val="auto"/>
              </w:rPr>
              <w:t>www, pr@toro.com</w:t>
            </w:r>
          </w:p>
        </w:tc>
        <w:tc>
          <w:tcPr>
            <w:tcW w:w="2060" w:type="dxa"/>
            <w:vAlign w:val="bottom"/>
          </w:tcPr>
          <w:p>
            <w:pPr>
              <w:ind w:left="360"/>
              <w:spacing w:after="0"/>
              <w:rPr>
                <w:sz w:val="20"/>
                <w:szCs w:val="20"/>
                <w:color w:val="auto"/>
              </w:rPr>
            </w:pPr>
            <w:r>
              <w:rPr>
                <w:rFonts w:ascii="Arial" w:cs="Arial" w:eastAsia="Arial" w:hAnsi="Arial"/>
                <w:sz w:val="18"/>
                <w:szCs w:val="18"/>
                <w:color w:val="auto"/>
              </w:rPr>
              <w:t>om</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TORO SECOND QUARTER NET EARNINGS PER SHARE UP 33%</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ON 14.7% SALES GROWTH</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Company Raises Outlook for Fiscal 2005 Earnings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LIVE CONFERENCE CALL</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May 24, 10:00 a.m. CT</w:t>
      </w:r>
    </w:p>
    <w:p>
      <w:pPr>
        <w:jc w:val="center"/>
        <w:ind w:right="-59"/>
        <w:spacing w:after="0"/>
        <w:rPr>
          <w:sz w:val="20"/>
          <w:szCs w:val="20"/>
          <w:color w:val="auto"/>
        </w:rPr>
      </w:pPr>
      <w:r>
        <w:rPr>
          <w:rFonts w:ascii="Arial" w:cs="Arial" w:eastAsia="Arial" w:hAnsi="Arial"/>
          <w:sz w:val="22"/>
          <w:szCs w:val="22"/>
          <w:u w:val="single" w:color="auto"/>
          <w:color w:val="auto"/>
        </w:rPr>
        <w:t>www.thetorocompany.com/invest</w:t>
      </w:r>
    </w:p>
    <w:p>
      <w:pPr>
        <w:spacing w:after="0" w:line="188" w:lineRule="exact"/>
        <w:rPr>
          <w:sz w:val="20"/>
          <w:szCs w:val="20"/>
          <w:color w:val="auto"/>
        </w:rPr>
      </w:pPr>
    </w:p>
    <w:p>
      <w:pPr>
        <w:ind w:firstLine="456"/>
        <w:spacing w:after="0" w:line="238" w:lineRule="auto"/>
        <w:rPr>
          <w:sz w:val="20"/>
          <w:szCs w:val="20"/>
          <w:color w:val="auto"/>
        </w:rPr>
      </w:pPr>
      <w:r>
        <w:rPr>
          <w:rFonts w:ascii="Arial" w:cs="Arial" w:eastAsia="Arial" w:hAnsi="Arial"/>
          <w:sz w:val="22"/>
          <w:szCs w:val="22"/>
          <w:color w:val="auto"/>
        </w:rPr>
        <w:t>BLOOMINGTON, Minn. (May 24, 2005) – The Toro Company (NYSE: TTC) today reported record fiscal second quarter net earnings of $62 million, or $1.33 per diluted share, on net sales of $628.4 million for the quarter ended April 29, 2005. In the comparable fiscal 2004 period, the company reported net earnings of $52.2 million, or $1.00 per diluted share, on net sales of $548 million.</w:t>
      </w:r>
    </w:p>
    <w:p>
      <w:pPr>
        <w:spacing w:after="0" w:line="185" w:lineRule="exact"/>
        <w:rPr>
          <w:sz w:val="20"/>
          <w:szCs w:val="20"/>
          <w:color w:val="auto"/>
        </w:rPr>
      </w:pPr>
    </w:p>
    <w:p>
      <w:pPr>
        <w:jc w:val="both"/>
        <w:ind w:firstLine="456"/>
        <w:spacing w:after="0"/>
        <w:rPr>
          <w:sz w:val="20"/>
          <w:szCs w:val="20"/>
          <w:color w:val="auto"/>
        </w:rPr>
      </w:pPr>
      <w:r>
        <w:rPr>
          <w:rFonts w:ascii="Arial" w:cs="Arial" w:eastAsia="Arial" w:hAnsi="Arial"/>
          <w:sz w:val="22"/>
          <w:szCs w:val="22"/>
          <w:color w:val="auto"/>
        </w:rPr>
        <w:t>For the six months ended April 29, 2005, Toro reported net earnings of $73.1 million, or $1.55 per diluted share, on net sales of $975.4 million compared with net earnings of $61.5 million, or $1.18 per diluted share, on net sales of $861.6 million in the first six months of fiscal 2004.</w:t>
      </w:r>
    </w:p>
    <w:p>
      <w:pPr>
        <w:spacing w:after="0" w:line="186" w:lineRule="exact"/>
        <w:rPr>
          <w:sz w:val="20"/>
          <w:szCs w:val="20"/>
          <w:color w:val="auto"/>
        </w:rPr>
      </w:pPr>
    </w:p>
    <w:p>
      <w:pPr>
        <w:ind w:right="340" w:firstLine="456"/>
        <w:spacing w:after="0" w:line="251" w:lineRule="auto"/>
        <w:rPr>
          <w:sz w:val="20"/>
          <w:szCs w:val="20"/>
          <w:color w:val="auto"/>
        </w:rPr>
      </w:pPr>
      <w:r>
        <w:rPr>
          <w:rFonts w:ascii="Arial" w:cs="Arial" w:eastAsia="Arial" w:hAnsi="Arial"/>
          <w:sz w:val="22"/>
          <w:szCs w:val="22"/>
          <w:color w:val="auto"/>
        </w:rPr>
        <w:t>Earnings per share figures for all periods reported have been adjusted to reflect the effects of a 2-for-1 stock split effective March 28, 2005.</w:t>
      </w:r>
    </w:p>
    <w:p>
      <w:pPr>
        <w:spacing w:after="0" w:line="173" w:lineRule="exact"/>
        <w:rPr>
          <w:sz w:val="20"/>
          <w:szCs w:val="20"/>
          <w:color w:val="auto"/>
        </w:rPr>
      </w:pPr>
    </w:p>
    <w:p>
      <w:pPr>
        <w:ind w:right="120" w:firstLine="456"/>
        <w:spacing w:after="0" w:line="282" w:lineRule="auto"/>
        <w:rPr>
          <w:sz w:val="20"/>
          <w:szCs w:val="20"/>
          <w:color w:val="auto"/>
        </w:rPr>
      </w:pPr>
      <w:r>
        <w:rPr>
          <w:rFonts w:ascii="Arial" w:cs="Arial" w:eastAsia="Arial" w:hAnsi="Arial"/>
          <w:sz w:val="19"/>
          <w:szCs w:val="19"/>
          <w:color w:val="auto"/>
        </w:rPr>
        <w:t>Kendrick B. Melrose, The Toro Company’s executive chairman, said strong shipments of both professional and residential products, especially in international markets, were responsible for the 14.7 percent increase in second quarter net sales. Excluding the effects of Hayter Ltd., a U.K.-based manufacturer of residential and commercial mowing equipment which Toro acquired in February 2005, net sales would have increased 11.4 percent. International sales increased 41.1% compared with the fiscal 2004 second quarter as a result of strong international demand and contributions from Hayter Ltd.</w:t>
      </w:r>
    </w:p>
    <w:p>
      <w:pPr>
        <w:spacing w:after="0" w:line="148" w:lineRule="exact"/>
        <w:rPr>
          <w:sz w:val="20"/>
          <w:szCs w:val="20"/>
          <w:color w:val="auto"/>
        </w:rPr>
      </w:pPr>
    </w:p>
    <w:p>
      <w:pPr>
        <w:ind w:right="100" w:firstLine="456"/>
        <w:spacing w:after="0" w:line="238" w:lineRule="auto"/>
        <w:rPr>
          <w:sz w:val="20"/>
          <w:szCs w:val="20"/>
          <w:color w:val="auto"/>
        </w:rPr>
      </w:pPr>
      <w:r>
        <w:rPr>
          <w:rFonts w:ascii="Arial" w:cs="Arial" w:eastAsia="Arial" w:hAnsi="Arial"/>
          <w:sz w:val="22"/>
          <w:szCs w:val="22"/>
          <w:color w:val="auto"/>
        </w:rPr>
        <w:t>“We continued to realize impressive results from our leadership position in the professional segment markets, where demand from landscape contractor, golf course and other commercial customers remained strong,” said Melrose. “Moreover, international sales increased from growth in the residential and golf markets, a host of innovative products introduced across several markets, and the relative weakness of the U.S. dollar.”</w:t>
      </w:r>
    </w:p>
    <w:p>
      <w:pPr>
        <w:spacing w:after="0" w:line="185" w:lineRule="exact"/>
        <w:rPr>
          <w:sz w:val="20"/>
          <w:szCs w:val="20"/>
          <w:color w:val="auto"/>
        </w:rPr>
      </w:pPr>
    </w:p>
    <w:p>
      <w:pPr>
        <w:ind w:right="100" w:firstLine="456"/>
        <w:spacing w:after="0"/>
        <w:rPr>
          <w:sz w:val="20"/>
          <w:szCs w:val="20"/>
          <w:color w:val="auto"/>
        </w:rPr>
      </w:pPr>
      <w:r>
        <w:rPr>
          <w:rFonts w:ascii="Arial" w:cs="Arial" w:eastAsia="Arial" w:hAnsi="Arial"/>
          <w:sz w:val="22"/>
          <w:szCs w:val="22"/>
          <w:color w:val="auto"/>
        </w:rPr>
        <w:t>Melrose noted that, as in the company’s fiscal 2005 first quarter, net earnings for the second quarter benefited from double-digit revenue growth and the leveraging of selling, general and administrative expense (SG&amp;A) resulting, in part, from substantial progress on the company’s “No Waste” profitability improvement initiative.</w:t>
      </w:r>
    </w:p>
    <w:p>
      <w:pPr>
        <w:spacing w:after="0" w:line="176" w:lineRule="exact"/>
        <w:rPr>
          <w:sz w:val="20"/>
          <w:szCs w:val="20"/>
          <w:color w:val="auto"/>
        </w:rPr>
      </w:pPr>
    </w:p>
    <w:p>
      <w:pPr>
        <w:spacing w:after="0"/>
        <w:rPr>
          <w:sz w:val="20"/>
          <w:szCs w:val="20"/>
          <w:color w:val="auto"/>
        </w:rPr>
      </w:pPr>
      <w:r>
        <w:rPr>
          <w:rFonts w:ascii="Arial" w:cs="Arial" w:eastAsia="Arial" w:hAnsi="Arial"/>
          <w:sz w:val="23"/>
          <w:szCs w:val="23"/>
          <w:b w:val="1"/>
          <w:bCs w:val="1"/>
          <w:u w:val="single" w:color="auto"/>
          <w:color w:val="auto"/>
        </w:rPr>
        <w:t>SEGMENT RESULTS</w:t>
      </w:r>
    </w:p>
    <w:p>
      <w:pPr>
        <w:spacing w:after="0" w:line="259" w:lineRule="exact"/>
        <w:rPr>
          <w:sz w:val="20"/>
          <w:szCs w:val="20"/>
          <w:color w:val="auto"/>
        </w:rPr>
      </w:pPr>
    </w:p>
    <w:p>
      <w:pPr>
        <w:ind w:right="1960" w:firstLine="456"/>
        <w:spacing w:after="0" w:line="442" w:lineRule="auto"/>
        <w:rPr>
          <w:sz w:val="20"/>
          <w:szCs w:val="20"/>
          <w:color w:val="auto"/>
        </w:rPr>
      </w:pPr>
      <w:r>
        <w:rPr>
          <w:rFonts w:ascii="Arial" w:cs="Arial" w:eastAsia="Arial" w:hAnsi="Arial"/>
          <w:sz w:val="22"/>
          <w:szCs w:val="22"/>
          <w:color w:val="auto"/>
        </w:rPr>
        <w:t xml:space="preserve">Segment data is provided in the table following the “Condensed Consolidated Statements of Earnings.” </w:t>
      </w:r>
      <w:r>
        <w:rPr>
          <w:rFonts w:ascii="Arial" w:cs="Arial" w:eastAsia="Arial" w:hAnsi="Arial"/>
          <w:sz w:val="22"/>
          <w:szCs w:val="22"/>
          <w:b w:val="1"/>
          <w:bCs w:val="1"/>
          <w:color w:val="auto"/>
        </w:rPr>
        <w:t>Professional</w:t>
      </w:r>
    </w:p>
    <w:p>
      <w:pPr>
        <w:ind w:right="20" w:firstLine="456"/>
        <w:spacing w:after="0"/>
        <w:rPr>
          <w:sz w:val="20"/>
          <w:szCs w:val="20"/>
          <w:color w:val="auto"/>
        </w:rPr>
      </w:pPr>
      <w:r>
        <w:rPr>
          <w:rFonts w:ascii="Arial" w:cs="Arial" w:eastAsia="Arial" w:hAnsi="Arial"/>
          <w:sz w:val="22"/>
          <w:szCs w:val="22"/>
          <w:color w:val="auto"/>
        </w:rPr>
        <w:t>Compared with the prior year, fiscal 2005 second quarter professional segment sales increased 14.9 percent to $389.1 million. For the second consecutive year, volume increased in nearly all product categories. In addition, net sales for the 2005 second quarter included contributions from Hayter’s professional products.</w:t>
      </w:r>
    </w:p>
    <w:p>
      <w:pPr>
        <w:spacing w:after="0" w:line="186" w:lineRule="exact"/>
        <w:rPr>
          <w:sz w:val="20"/>
          <w:szCs w:val="20"/>
          <w:color w:val="auto"/>
        </w:rPr>
      </w:pPr>
    </w:p>
    <w:p>
      <w:pPr>
        <w:ind w:right="100" w:firstLine="456"/>
        <w:spacing w:after="0" w:line="236" w:lineRule="auto"/>
        <w:rPr>
          <w:sz w:val="20"/>
          <w:szCs w:val="20"/>
          <w:color w:val="auto"/>
        </w:rPr>
      </w:pPr>
      <w:r>
        <w:rPr>
          <w:rFonts w:ascii="Arial" w:cs="Arial" w:eastAsia="Arial" w:hAnsi="Arial"/>
          <w:sz w:val="22"/>
          <w:szCs w:val="22"/>
          <w:color w:val="auto"/>
        </w:rPr>
        <w:t>“Equipment sales to the landscape contractor market continued to be robust as our landscape contractor customers remained optimistic about the year and are investing in new equipment,” said Michael J. Hoffman, chief executive officer, The Toro Company. “Domestically, we are seeing healthy retail demand for golf and grounds maintenance equipment resulting in strong shipments and market share growth. In our international markets, golf course renovation and improvement projects as well as new course construction helped drive increased demand.”</w:t>
      </w:r>
    </w:p>
    <w:p>
      <w:pPr>
        <w:spacing w:after="0" w:line="188" w:lineRule="exact"/>
        <w:rPr>
          <w:sz w:val="20"/>
          <w:szCs w:val="20"/>
          <w:color w:val="auto"/>
        </w:rPr>
      </w:pPr>
    </w:p>
    <w:p>
      <w:pPr>
        <w:ind w:right="260" w:firstLine="456"/>
        <w:spacing w:after="0" w:line="328" w:lineRule="auto"/>
        <w:rPr>
          <w:sz w:val="20"/>
          <w:szCs w:val="20"/>
          <w:color w:val="auto"/>
        </w:rPr>
      </w:pPr>
      <w:r>
        <w:rPr>
          <w:rFonts w:ascii="Arial" w:cs="Arial" w:eastAsia="Arial" w:hAnsi="Arial"/>
          <w:sz w:val="19"/>
          <w:szCs w:val="19"/>
          <w:color w:val="auto"/>
        </w:rPr>
        <w:t>Professional segment earnings for the fiscal 2005 second quarter totaled $84.6 million, up 18 percent from $71.7 million in last year’s second quarter. The increase resulted primarily from higher sales in the quarter and expense leveraging.</w:t>
      </w:r>
    </w:p>
    <w:p>
      <w:pPr>
        <w:spacing w:after="0" w:line="105" w:lineRule="exact"/>
        <w:rPr>
          <w:sz w:val="20"/>
          <w:szCs w:val="20"/>
          <w:color w:val="auto"/>
        </w:rPr>
      </w:pPr>
    </w:p>
    <w:p>
      <w:pPr>
        <w:ind w:right="560" w:firstLine="456"/>
        <w:spacing w:after="0" w:line="251" w:lineRule="auto"/>
        <w:rPr>
          <w:sz w:val="20"/>
          <w:szCs w:val="20"/>
          <w:color w:val="auto"/>
        </w:rPr>
      </w:pPr>
      <w:r>
        <w:rPr>
          <w:rFonts w:ascii="Arial" w:cs="Arial" w:eastAsia="Arial" w:hAnsi="Arial"/>
          <w:sz w:val="22"/>
          <w:szCs w:val="22"/>
          <w:color w:val="auto"/>
        </w:rPr>
        <w:t>For the year to date, professional segment earnings totaled $123.5 million on net sales of $634.3 million compared with earnings of $100.2 million on net sales of $546.2 million in last year’s first six months.</w:t>
      </w:r>
    </w:p>
    <w:p>
      <w:pPr>
        <w:sectPr>
          <w:pgSz w:w="11900" w:h="16919" w:orient="portrait"/>
          <w:cols w:equalWidth="0" w:num="1">
            <w:col w:w="11360"/>
          </w:cols>
          <w:pgMar w:left="240" w:top="314" w:right="299" w:bottom="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Residential</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9"/>
          <w:szCs w:val="19"/>
          <w:color w:val="auto"/>
        </w:rPr>
        <w:t>Residential segment sales for the second quarter totaled $227.7 million, up 16.9 percent compared with last year’s second</w:t>
      </w:r>
    </w:p>
    <w:p>
      <w:pPr>
        <w:spacing w:after="0" w:line="48" w:lineRule="exact"/>
        <w:rPr>
          <w:sz w:val="20"/>
          <w:szCs w:val="20"/>
          <w:color w:val="auto"/>
        </w:rPr>
      </w:pPr>
    </w:p>
    <w:p>
      <w:pPr>
        <w:ind w:right="40"/>
        <w:spacing w:after="0" w:line="211" w:lineRule="auto"/>
        <w:rPr>
          <w:sz w:val="20"/>
          <w:szCs w:val="20"/>
          <w:color w:val="auto"/>
        </w:rPr>
      </w:pPr>
      <w:r>
        <w:rPr>
          <w:rFonts w:ascii="Arial" w:cs="Arial" w:eastAsia="Arial" w:hAnsi="Arial"/>
          <w:sz w:val="22"/>
          <w:szCs w:val="22"/>
          <w:color w:val="auto"/>
        </w:rPr>
        <w:t>quarter. Strong shipments of both Toro</w:t>
      </w:r>
      <w:r>
        <w:rPr>
          <w:rFonts w:ascii="Arial" w:cs="Arial" w:eastAsia="Arial" w:hAnsi="Arial"/>
          <w:sz w:val="36"/>
          <w:szCs w:val="36"/>
          <w:color w:val="auto"/>
          <w:vertAlign w:val="superscript"/>
        </w:rPr>
        <w:t>®</w:t>
      </w:r>
      <w:r>
        <w:rPr>
          <w:rFonts w:ascii="Arial" w:cs="Arial" w:eastAsia="Arial" w:hAnsi="Arial"/>
          <w:sz w:val="22"/>
          <w:szCs w:val="22"/>
          <w:color w:val="auto"/>
        </w:rPr>
        <w:t xml:space="preserve"> and Lawn-Boy</w:t>
      </w:r>
      <w:r>
        <w:rPr>
          <w:rFonts w:ascii="Arial" w:cs="Arial" w:eastAsia="Arial" w:hAnsi="Arial"/>
          <w:sz w:val="36"/>
          <w:szCs w:val="36"/>
          <w:color w:val="auto"/>
          <w:vertAlign w:val="superscript"/>
        </w:rPr>
        <w:t>®</w:t>
      </w:r>
      <w:r>
        <w:rPr>
          <w:rFonts w:ascii="Arial" w:cs="Arial" w:eastAsia="Arial" w:hAnsi="Arial"/>
          <w:sz w:val="22"/>
          <w:szCs w:val="22"/>
          <w:color w:val="auto"/>
        </w:rPr>
        <w:t xml:space="preserve"> brand walk power mowers and contributions from Hayter were the primary sources of sales growth in the quarter and more than offset the decline in retail irrigation and riding mower sales compared with last year’s second quarter. “Our expanded presence and innovative offerings of the Toro and Lawn-Boy brands in large retailers and dealers have resulted in strong sales growth for us,” said Hoffman.</w:t>
      </w:r>
    </w:p>
    <w:p>
      <w:pPr>
        <w:spacing w:after="0" w:line="188" w:lineRule="exact"/>
        <w:rPr>
          <w:sz w:val="20"/>
          <w:szCs w:val="20"/>
          <w:color w:val="auto"/>
        </w:rPr>
      </w:pPr>
    </w:p>
    <w:p>
      <w:pPr>
        <w:ind w:right="200" w:firstLine="456"/>
        <w:spacing w:after="0" w:line="251" w:lineRule="auto"/>
        <w:rPr>
          <w:sz w:val="20"/>
          <w:szCs w:val="20"/>
          <w:color w:val="auto"/>
        </w:rPr>
      </w:pPr>
      <w:r>
        <w:rPr>
          <w:rFonts w:ascii="Arial" w:cs="Arial" w:eastAsia="Arial" w:hAnsi="Arial"/>
          <w:sz w:val="22"/>
          <w:szCs w:val="22"/>
          <w:color w:val="auto"/>
        </w:rPr>
        <w:t>Residential segment earnings for the fiscal 2005 second quarter increased to $29 million from $26.7 million last year, which was less than expected due to increases in commodity costs.</w:t>
      </w:r>
    </w:p>
    <w:p>
      <w:pPr>
        <w:spacing w:after="0" w:line="173" w:lineRule="exact"/>
        <w:rPr>
          <w:sz w:val="20"/>
          <w:szCs w:val="20"/>
          <w:color w:val="auto"/>
        </w:rPr>
      </w:pPr>
    </w:p>
    <w:p>
      <w:pPr>
        <w:ind w:firstLine="456"/>
        <w:spacing w:after="0" w:line="251" w:lineRule="auto"/>
        <w:rPr>
          <w:sz w:val="20"/>
          <w:szCs w:val="20"/>
          <w:color w:val="auto"/>
        </w:rPr>
      </w:pPr>
      <w:r>
        <w:rPr>
          <w:rFonts w:ascii="Arial" w:cs="Arial" w:eastAsia="Arial" w:hAnsi="Arial"/>
          <w:sz w:val="22"/>
          <w:szCs w:val="22"/>
          <w:color w:val="auto"/>
        </w:rPr>
        <w:t>For the year to date, Residential segment earnings totaled $33.4 million on net sales of $323.6 million compared with earnings of $35.1 million on net sales of $292.7 million for the same period last year.</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REVIEW OF OPERATIONS</w:t>
      </w:r>
    </w:p>
    <w:p>
      <w:pPr>
        <w:spacing w:after="0" w:line="212" w:lineRule="exact"/>
        <w:rPr>
          <w:sz w:val="20"/>
          <w:szCs w:val="20"/>
          <w:color w:val="auto"/>
        </w:rPr>
      </w:pPr>
    </w:p>
    <w:p>
      <w:pPr>
        <w:ind w:right="100" w:firstLine="456"/>
        <w:spacing w:after="0" w:line="287" w:lineRule="auto"/>
        <w:rPr>
          <w:sz w:val="20"/>
          <w:szCs w:val="20"/>
          <w:color w:val="auto"/>
        </w:rPr>
      </w:pPr>
      <w:r>
        <w:rPr>
          <w:rFonts w:ascii="Arial" w:cs="Arial" w:eastAsia="Arial" w:hAnsi="Arial"/>
          <w:sz w:val="19"/>
          <w:szCs w:val="19"/>
          <w:color w:val="auto"/>
        </w:rPr>
        <w:t>Gross margin for the second quarter was 34.5 percent compared with 36.3 percent for last year’s quarter. The decline in gross margin resulted primarily from purchase accounting adjustments due to the Hayter acquisition, and increased costs for steel, fuel and petroleum-based resins. The impact of these higher costs was partially offset by price increases and continued cost reductions, resulting from the company’s lean manufacturing initiatives and favorable foreign currency exchange effects.</w:t>
      </w:r>
    </w:p>
    <w:p>
      <w:pPr>
        <w:spacing w:after="0" w:line="143" w:lineRule="exact"/>
        <w:rPr>
          <w:sz w:val="20"/>
          <w:szCs w:val="20"/>
          <w:color w:val="auto"/>
        </w:rPr>
      </w:pPr>
    </w:p>
    <w:p>
      <w:pPr>
        <w:ind w:right="20" w:firstLine="456"/>
        <w:spacing w:after="0" w:line="282" w:lineRule="auto"/>
        <w:rPr>
          <w:sz w:val="20"/>
          <w:szCs w:val="20"/>
          <w:color w:val="auto"/>
        </w:rPr>
      </w:pPr>
      <w:r>
        <w:rPr>
          <w:rFonts w:ascii="Arial" w:cs="Arial" w:eastAsia="Arial" w:hAnsi="Arial"/>
          <w:sz w:val="19"/>
          <w:szCs w:val="19"/>
          <w:color w:val="auto"/>
        </w:rPr>
        <w:t>In contrast, the reduction in SG&amp;A expense as a percent of sales more than offset the decline in gross margin. SG&amp;A declined to 19 percent as a percentage of net sales compared with 21.4 percent in the same period last year. As in the fiscal 2005 first quarter, the improvement resulted primarily from expense leveraging from the company’s “No Waste” initiative. “While we were not able to completely offset commodity cost increases by our strong lean manufacturing initiative, we were very pleased to see that our profit improvement efforts below the gross margin line are now paying off,” said Hoffman.</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21"/>
          <w:szCs w:val="21"/>
          <w:color w:val="auto"/>
        </w:rPr>
        <w:t>Interest expense for the second quarter totaled $4.9 million compared with $3.7 million in the same period last year.</w:t>
      </w:r>
    </w:p>
    <w:p>
      <w:pPr>
        <w:spacing w:after="0" w:line="218" w:lineRule="exact"/>
        <w:rPr>
          <w:sz w:val="20"/>
          <w:szCs w:val="20"/>
          <w:color w:val="auto"/>
        </w:rPr>
      </w:pPr>
    </w:p>
    <w:p>
      <w:pPr>
        <w:ind w:right="20" w:firstLine="456"/>
        <w:spacing w:after="0" w:line="252" w:lineRule="auto"/>
        <w:rPr>
          <w:sz w:val="20"/>
          <w:szCs w:val="20"/>
          <w:color w:val="auto"/>
        </w:rPr>
      </w:pPr>
      <w:r>
        <w:rPr>
          <w:rFonts w:ascii="Arial" w:cs="Arial" w:eastAsia="Arial" w:hAnsi="Arial"/>
          <w:sz w:val="21"/>
          <w:szCs w:val="21"/>
          <w:color w:val="auto"/>
        </w:rPr>
        <w:t>Accounts receivable at the end of the second quarter totaled $544.9 million, up 12.4 percent, but less than the 14.7 percent increase in net sales. Quarter-ending inventory totaled $256.9 million, up only 7.7 percent compared with the end of the fiscal 2004 second quarter. The increases in the quarter-ending accounts receivable and inventories resulted primarily from higher foreign exchange rates and the Hayter acquisition completed early in the fiscal 2005 second quarter.</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BUSINESS OUTLOOK</w:t>
      </w:r>
    </w:p>
    <w:p>
      <w:pPr>
        <w:spacing w:after="0" w:line="212" w:lineRule="exact"/>
        <w:rPr>
          <w:sz w:val="20"/>
          <w:szCs w:val="20"/>
          <w:color w:val="auto"/>
        </w:rPr>
      </w:pPr>
    </w:p>
    <w:p>
      <w:pPr>
        <w:ind w:right="140" w:firstLine="456"/>
        <w:spacing w:after="0" w:line="282" w:lineRule="auto"/>
        <w:rPr>
          <w:sz w:val="20"/>
          <w:szCs w:val="20"/>
          <w:color w:val="auto"/>
        </w:rPr>
      </w:pPr>
      <w:r>
        <w:rPr>
          <w:rFonts w:ascii="Arial" w:cs="Arial" w:eastAsia="Arial" w:hAnsi="Arial"/>
          <w:sz w:val="19"/>
          <w:szCs w:val="19"/>
          <w:color w:val="auto"/>
        </w:rPr>
        <w:t>Commenting on Toro’s outlook for the rest of 2005, Melrose cautioned that sales to homeowners during most of the second quarter were below the company’s expectations, due to unfavorable weather in the U.S. market. “Reorder volume for residential products in our fiscal third quarter will likely be adversely affected,” said Melrose. “If the remainder of the spring retail season does not return to more favorable weather soon, our third quarter earnings target will be at risk. Nonetheless, on the assumption of normal weather patterns resuming for the balance of the season, we are raising our earnings outlook for fiscal 2005 modestly.”</w:t>
      </w:r>
    </w:p>
    <w:p>
      <w:pPr>
        <w:spacing w:after="0" w:line="148" w:lineRule="exact"/>
        <w:rPr>
          <w:sz w:val="20"/>
          <w:szCs w:val="20"/>
          <w:color w:val="auto"/>
        </w:rPr>
      </w:pPr>
    </w:p>
    <w:p>
      <w:pPr>
        <w:ind w:right="40" w:firstLine="456"/>
        <w:spacing w:after="0" w:line="234" w:lineRule="auto"/>
        <w:rPr>
          <w:sz w:val="20"/>
          <w:szCs w:val="20"/>
          <w:color w:val="auto"/>
        </w:rPr>
      </w:pPr>
      <w:r>
        <w:rPr>
          <w:rFonts w:ascii="Arial" w:cs="Arial" w:eastAsia="Arial" w:hAnsi="Arial"/>
          <w:sz w:val="22"/>
          <w:szCs w:val="22"/>
          <w:color w:val="auto"/>
        </w:rPr>
        <w:t>Melrose said he is confident Toro will report another strong year as it continues to focus on its “6+8” profit improvement and growth initiative, international expansion strategies and the development and introduction of innovative new products. “Our performance to date reflects our continuing commitment to industry-leading quality and innovation and our focused application of lean manufacturing and ‘no-waste’ principles,” said Melrose. “As we assimilate the year’s positive and negative prospects, we now expect net earnings per diluted share for fiscal 2005 to exceed last year’s record levels by 15 to 18 percent. Due to the uncertainty of the second quarter’s retail effect on the third quarter’s shipment levels, we are maintaining our sales growth guidance of 9 to 11 percent.”</w:t>
      </w:r>
    </w:p>
    <w:p>
      <w:pPr>
        <w:spacing w:after="0" w:line="191" w:lineRule="exact"/>
        <w:rPr>
          <w:sz w:val="20"/>
          <w:szCs w:val="20"/>
          <w:color w:val="auto"/>
        </w:rPr>
      </w:pPr>
    </w:p>
    <w:p>
      <w:pPr>
        <w:ind w:right="120" w:firstLine="456"/>
        <w:spacing w:after="0" w:line="251" w:lineRule="auto"/>
        <w:rPr>
          <w:sz w:val="20"/>
          <w:szCs w:val="20"/>
          <w:color w:val="auto"/>
        </w:rPr>
      </w:pPr>
      <w:r>
        <w:rPr>
          <w:rFonts w:ascii="Arial" w:cs="Arial" w:eastAsia="Arial" w:hAnsi="Arial"/>
          <w:sz w:val="22"/>
          <w:szCs w:val="22"/>
          <w:color w:val="auto"/>
        </w:rPr>
        <w:t>The Toro Company is a leading worldwide provider of outdoor maintenance and beautification products for home, recreation and commercial landscapes.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The Toro Company will conduct a conference call and webcast for investors beginning at</w:t>
      </w:r>
    </w:p>
    <w:p>
      <w:pPr>
        <w:spacing w:after="0" w:line="206" w:lineRule="exact"/>
        <w:rPr>
          <w:sz w:val="20"/>
          <w:szCs w:val="20"/>
          <w:color w:val="auto"/>
        </w:rPr>
      </w:pPr>
    </w:p>
    <w:p>
      <w:pPr>
        <w:ind w:right="340"/>
        <w:spacing w:after="0"/>
        <w:rPr>
          <w:sz w:val="20"/>
          <w:szCs w:val="20"/>
          <w:color w:val="auto"/>
        </w:rPr>
      </w:pPr>
      <w:r>
        <w:rPr>
          <w:rFonts w:ascii="Arial" w:cs="Arial" w:eastAsia="Arial" w:hAnsi="Arial"/>
          <w:sz w:val="22"/>
          <w:szCs w:val="22"/>
          <w:i w:val="1"/>
          <w:iCs w:val="1"/>
          <w:color w:val="auto"/>
        </w:rPr>
        <w:t xml:space="preserve">10:00 a.m. Central Time (CST) on May 24, 2005. The webcast will be available at </w:t>
      </w:r>
      <w:r>
        <w:rPr>
          <w:rFonts w:ascii="Arial" w:cs="Arial" w:eastAsia="Arial" w:hAnsi="Arial"/>
          <w:sz w:val="22"/>
          <w:szCs w:val="22"/>
          <w:i w:val="1"/>
          <w:iCs w:val="1"/>
          <w:u w:val="single" w:color="auto"/>
          <w:color w:val="auto"/>
        </w:rPr>
        <w:t>www.streetevents.com</w:t>
      </w:r>
      <w:r>
        <w:rPr>
          <w:rFonts w:ascii="Arial" w:cs="Arial" w:eastAsia="Arial" w:hAnsi="Arial"/>
          <w:sz w:val="22"/>
          <w:szCs w:val="22"/>
          <w:i w:val="1"/>
          <w:iCs w:val="1"/>
          <w:color w:val="auto"/>
        </w:rPr>
        <w:t xml:space="preserve"> or at </w:t>
      </w:r>
      <w:r>
        <w:rPr>
          <w:rFonts w:ascii="Arial" w:cs="Arial" w:eastAsia="Arial" w:hAnsi="Arial"/>
          <w:sz w:val="22"/>
          <w:szCs w:val="22"/>
          <w:i w:val="1"/>
          <w:iCs w:val="1"/>
          <w:u w:val="single" w:color="auto"/>
          <w:color w:val="auto"/>
        </w:rPr>
        <w:t>www.thetorocompany.com/invest</w:t>
      </w:r>
      <w:r>
        <w:rPr>
          <w:rFonts w:ascii="Arial" w:cs="Arial" w:eastAsia="Arial" w:hAnsi="Arial"/>
          <w:sz w:val="22"/>
          <w:szCs w:val="22"/>
          <w:i w:val="1"/>
          <w:iCs w:val="1"/>
          <w:color w:val="auto"/>
        </w:rPr>
        <w:t>. Webcast participants will need to complete a brief registration form and should allocate extra time before the webcast begins to register and, if necessary, download and install audio software.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w:t>
      </w:r>
    </w:p>
    <w:p>
      <w:pPr>
        <w:spacing w:after="0" w:line="2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These uncertainties include factors that affect all businesses operating in a global market as well as matters specific to Toro. Particular risks and uncertainties facing the company’s overall financial position at the present include the threat of further terrorist acts and war, which may result in contraction of the U.S. and worldwide economies; slow growth rate in global and domestic economies, resulting in rising unemployment and weakened consumer confidence; our ability to achieve the goals for the “6+8” growth and profit improvement initiative which is intended to improve our revenue growth and after-tax return on sales; the company’s ability to achieve sales and earnings per share growth in fiscal 2005; our ability to successfully integrate acquisitions and manage alliances; ability of management to manage around unplanned events; unforeseen product quality problems in the development and production of new and existing products; potential issues with moving production between facilities; fluctuations in the cost and availability of raw materials, including steel and other commodities; rising cost of transportation; level of growth in the golf market; increased dependence on The Home Depot as a customer for the residential segment; reduced government spending for grounds maintenance equipment due to reduced</w:t>
      </w:r>
    </w:p>
    <w:p>
      <w:pPr>
        <w:sectPr>
          <w:pgSz w:w="11900" w:h="16838" w:orient="portrait"/>
          <w:cols w:equalWidth="0" w:num="1">
            <w:col w:w="11400"/>
          </w:cols>
          <w:pgMar w:left="240" w:top="111" w:right="259" w:bottom="0" w:gutter="0" w:footer="0" w:header="0"/>
        </w:sectPr>
      </w:pPr>
    </w:p>
    <w:bookmarkStart w:id="6" w:name="page7"/>
    <w:bookmarkEnd w:id="6"/>
    <w:p>
      <w:pPr>
        <w:spacing w:after="0" w:line="254" w:lineRule="auto"/>
        <w:rPr>
          <w:sz w:val="20"/>
          <w:szCs w:val="20"/>
          <w:color w:val="auto"/>
        </w:rPr>
      </w:pPr>
      <w:r>
        <w:rPr>
          <w:rFonts w:ascii="Arial" w:cs="Arial" w:eastAsia="Arial" w:hAnsi="Arial"/>
          <w:sz w:val="18"/>
          <w:szCs w:val="18"/>
          <w:color w:val="auto"/>
        </w:rPr>
        <w:t>tax revenue and tighter government budgets; increased competition; elimination of shelf space for our products at retailers; financial viability of distributors and dealers; market acceptance of existing and new products; unforeseen inventory adjustments or changes in purchasing patterns by our customers; the impact of abnormal weather patterns; and the previously disclosed pending litigation against the company and other defendants that challenges the horsepower ratings of lawnmowers, of which the company is currently unable to assess whether the litigation would have a material adverse effect on the company’s consolidated operating results or financial condition. In addition to the factors set forth in this paragraph, market, economic, financial, competitive,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statement.</w:t>
      </w:r>
    </w:p>
    <w:p>
      <w:pPr>
        <w:spacing w:after="0" w:line="185"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(Financial tables follow)</w:t>
      </w:r>
    </w:p>
    <w:p>
      <w:pPr>
        <w:spacing w:after="0" w:line="200"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THE TORO COMPANY AND SUBSIDIARIES</w:t>
      </w:r>
    </w:p>
    <w:p>
      <w:pPr>
        <w:spacing w:after="0" w:line="14" w:lineRule="exact"/>
        <w:rPr>
          <w:sz w:val="20"/>
          <w:szCs w:val="20"/>
          <w:color w:val="auto"/>
        </w:rPr>
      </w:pPr>
    </w:p>
    <w:p>
      <w:pPr>
        <w:ind w:left="2880"/>
        <w:spacing w:after="0"/>
        <w:rPr>
          <w:sz w:val="20"/>
          <w:szCs w:val="20"/>
          <w:color w:val="auto"/>
        </w:rPr>
      </w:pPr>
      <w:r>
        <w:rPr>
          <w:rFonts w:ascii="Arial" w:cs="Arial" w:eastAsia="Arial" w:hAnsi="Arial"/>
          <w:sz w:val="22"/>
          <w:szCs w:val="22"/>
          <w:b w:val="1"/>
          <w:bCs w:val="1"/>
          <w:color w:val="auto"/>
        </w:rPr>
        <w:t>Condensed Consolidated Statements of Earnings (Unaudited)</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(Dollars and shares in thousands, except per-share data)</w:t>
      </w:r>
    </w:p>
    <w:p>
      <w:pPr>
        <w:spacing w:after="0" w:line="382"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5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5"/>
                <w:szCs w:val="15"/>
                <w:color w:val="auto"/>
              </w:rPr>
              <w:t>Three Months Ended</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5"/>
                <w:szCs w:val="15"/>
                <w:color w:val="auto"/>
              </w:rPr>
              <w:t>Six Months Ended</w:t>
            </w:r>
          </w:p>
        </w:tc>
        <w:tc>
          <w:tcPr>
            <w:tcW w:w="0" w:type="dxa"/>
            <w:vAlign w:val="bottom"/>
          </w:tcPr>
          <w:p>
            <w:pPr>
              <w:spacing w:after="0"/>
              <w:rPr>
                <w:sz w:val="1"/>
                <w:szCs w:val="1"/>
                <w:color w:val="auto"/>
              </w:rPr>
            </w:pPr>
          </w:p>
        </w:tc>
      </w:tr>
      <w:tr>
        <w:trPr>
          <w:trHeight w:val="140"/>
        </w:trPr>
        <w:tc>
          <w:tcPr>
            <w:tcW w:w="5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320"/>
              <w:spacing w:after="0" w:line="140" w:lineRule="exact"/>
              <w:rPr>
                <w:sz w:val="20"/>
                <w:szCs w:val="20"/>
                <w:color w:val="auto"/>
              </w:rPr>
            </w:pPr>
            <w:r>
              <w:rPr>
                <w:rFonts w:ascii="Arial" w:cs="Arial" w:eastAsia="Arial" w:hAnsi="Arial"/>
                <w:sz w:val="15"/>
                <w:szCs w:val="15"/>
                <w:b w:val="1"/>
                <w:bCs w:val="1"/>
                <w:color w:val="auto"/>
              </w:rPr>
              <w:t>April 29,</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340"/>
              <w:spacing w:after="0" w:line="140" w:lineRule="exact"/>
              <w:rPr>
                <w:sz w:val="20"/>
                <w:szCs w:val="20"/>
                <w:color w:val="auto"/>
              </w:rPr>
            </w:pPr>
            <w:r>
              <w:rPr>
                <w:rFonts w:ascii="Arial" w:cs="Arial" w:eastAsia="Arial" w:hAnsi="Arial"/>
                <w:sz w:val="15"/>
                <w:szCs w:val="15"/>
                <w:b w:val="1"/>
                <w:bCs w:val="1"/>
                <w:color w:val="auto"/>
              </w:rPr>
              <w:t>April 30,</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340"/>
              <w:spacing w:after="0" w:line="140" w:lineRule="exact"/>
              <w:rPr>
                <w:sz w:val="20"/>
                <w:szCs w:val="20"/>
                <w:color w:val="auto"/>
              </w:rPr>
            </w:pPr>
            <w:r>
              <w:rPr>
                <w:rFonts w:ascii="Arial" w:cs="Arial" w:eastAsia="Arial" w:hAnsi="Arial"/>
                <w:sz w:val="15"/>
                <w:szCs w:val="15"/>
                <w:b w:val="1"/>
                <w:bCs w:val="1"/>
                <w:color w:val="auto"/>
              </w:rPr>
              <w:t>April 29,</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340"/>
              <w:spacing w:after="0" w:line="140" w:lineRule="exact"/>
              <w:rPr>
                <w:sz w:val="20"/>
                <w:szCs w:val="20"/>
                <w:color w:val="auto"/>
              </w:rPr>
            </w:pPr>
            <w:r>
              <w:rPr>
                <w:rFonts w:ascii="Arial" w:cs="Arial" w:eastAsia="Arial" w:hAnsi="Arial"/>
                <w:sz w:val="15"/>
                <w:szCs w:val="15"/>
                <w:b w:val="1"/>
                <w:bCs w:val="1"/>
                <w:color w:val="auto"/>
              </w:rPr>
              <w:t>April 30,</w:t>
            </w:r>
          </w:p>
        </w:tc>
        <w:tc>
          <w:tcPr>
            <w:tcW w:w="0" w:type="dxa"/>
            <w:vAlign w:val="bottom"/>
          </w:tcPr>
          <w:p>
            <w:pPr>
              <w:spacing w:after="0"/>
              <w:rPr>
                <w:sz w:val="1"/>
                <w:szCs w:val="1"/>
                <w:color w:val="auto"/>
              </w:rPr>
            </w:pPr>
          </w:p>
        </w:tc>
      </w:tr>
      <w:tr>
        <w:trPr>
          <w:trHeight w:val="205"/>
        </w:trPr>
        <w:tc>
          <w:tcPr>
            <w:tcW w:w="510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4"/>
                <w:szCs w:val="14"/>
                <w:b w:val="1"/>
                <w:bCs w:val="1"/>
                <w:color w:val="auto"/>
              </w:rPr>
              <w:t>2005</w:t>
            </w:r>
            <w:r>
              <w:rPr>
                <w:rFonts w:ascii="Arial" w:cs="Arial" w:eastAsia="Arial" w:hAnsi="Arial"/>
                <w:sz w:val="23"/>
                <w:szCs w:val="23"/>
                <w:color w:val="auto"/>
                <w:vertAlign w:val="superscript"/>
              </w:rPr>
              <w:t>1</w:t>
            </w:r>
          </w:p>
        </w:tc>
        <w:tc>
          <w:tcPr>
            <w:tcW w:w="3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4"/>
                <w:szCs w:val="14"/>
                <w:b w:val="1"/>
                <w:bCs w:val="1"/>
                <w:color w:val="auto"/>
              </w:rPr>
              <w:t>2004</w:t>
            </w:r>
            <w:r>
              <w:rPr>
                <w:rFonts w:ascii="Arial" w:cs="Arial" w:eastAsia="Arial" w:hAnsi="Arial"/>
                <w:sz w:val="23"/>
                <w:szCs w:val="23"/>
                <w:color w:val="auto"/>
                <w:vertAlign w:val="superscript"/>
              </w:rPr>
              <w:t>2</w:t>
            </w:r>
          </w:p>
        </w:tc>
        <w:tc>
          <w:tcPr>
            <w:tcW w:w="3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4"/>
                <w:szCs w:val="14"/>
                <w:b w:val="1"/>
                <w:bCs w:val="1"/>
                <w:color w:val="auto"/>
              </w:rPr>
              <w:t>2005</w:t>
            </w:r>
            <w:r>
              <w:rPr>
                <w:rFonts w:ascii="Arial" w:cs="Arial" w:eastAsia="Arial" w:hAnsi="Arial"/>
                <w:sz w:val="23"/>
                <w:szCs w:val="23"/>
                <w:color w:val="auto"/>
                <w:vertAlign w:val="superscript"/>
              </w:rPr>
              <w:t>1</w:t>
            </w:r>
          </w:p>
        </w:tc>
        <w:tc>
          <w:tcPr>
            <w:tcW w:w="3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4"/>
                <w:szCs w:val="14"/>
                <w:b w:val="1"/>
                <w:bCs w:val="1"/>
                <w:color w:val="auto"/>
              </w:rPr>
              <w:t>2004</w:t>
            </w:r>
            <w:r>
              <w:rPr>
                <w:rFonts w:ascii="Arial" w:cs="Arial" w:eastAsia="Arial" w:hAnsi="Arial"/>
                <w:sz w:val="23"/>
                <w:szCs w:val="23"/>
                <w:color w:val="auto"/>
                <w:vertAlign w:val="superscript"/>
              </w:rPr>
              <w:t>2</w:t>
            </w:r>
          </w:p>
        </w:tc>
        <w:tc>
          <w:tcPr>
            <w:tcW w:w="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100" w:type="dxa"/>
            <w:vAlign w:val="bottom"/>
            <w:vMerge w:val="continue"/>
          </w:tcPr>
          <w:p>
            <w:pPr>
              <w:spacing w:after="0"/>
              <w:rPr>
                <w:sz w:val="16"/>
                <w:szCs w:val="16"/>
                <w:color w:val="auto"/>
              </w:rPr>
            </w:pPr>
          </w:p>
        </w:tc>
        <w:tc>
          <w:tcPr>
            <w:tcW w:w="2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w w:val="89"/>
              </w:rPr>
              <w:t>628,441</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95" w:lineRule="exact"/>
              <w:rPr>
                <w:sz w:val="20"/>
                <w:szCs w:val="20"/>
                <w:color w:val="auto"/>
              </w:rPr>
            </w:pPr>
            <w:r>
              <w:rPr>
                <w:rFonts w:ascii="Arial" w:cs="Arial" w:eastAsia="Arial" w:hAnsi="Arial"/>
                <w:sz w:val="18"/>
                <w:szCs w:val="18"/>
                <w:color w:val="auto"/>
                <w:w w:val="86"/>
              </w:rPr>
              <w:t>548,027</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95" w:lineRule="exact"/>
              <w:rPr>
                <w:sz w:val="20"/>
                <w:szCs w:val="20"/>
                <w:color w:val="auto"/>
              </w:rPr>
            </w:pPr>
            <w:r>
              <w:rPr>
                <w:rFonts w:ascii="Arial" w:cs="Arial" w:eastAsia="Arial" w:hAnsi="Arial"/>
                <w:sz w:val="18"/>
                <w:szCs w:val="18"/>
                <w:color w:val="auto"/>
                <w:w w:val="86"/>
              </w:rPr>
              <w:t>975,354</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w w:val="89"/>
              </w:rPr>
              <w:t>861,600</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216,643</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198,879</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338,306</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311,489</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40"/>
              <w:spacing w:after="0"/>
              <w:rPr>
                <w:sz w:val="20"/>
                <w:szCs w:val="20"/>
                <w:color w:val="auto"/>
              </w:rPr>
            </w:pPr>
            <w:r>
              <w:rPr>
                <w:rFonts w:ascii="Arial" w:cs="Arial" w:eastAsia="Arial" w:hAnsi="Arial"/>
                <w:sz w:val="18"/>
                <w:szCs w:val="18"/>
                <w:color w:val="auto"/>
              </w:rPr>
              <w:t>Gross profit percent</w:t>
            </w: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34.5%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36.3%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34.7%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2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119,542</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117,147</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221,781</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213,162</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00" w:type="dxa"/>
            <w:vAlign w:val="bottom"/>
          </w:tcPr>
          <w:p>
            <w:pPr>
              <w:ind w:left="140"/>
              <w:spacing w:after="0"/>
              <w:rPr>
                <w:sz w:val="20"/>
                <w:szCs w:val="20"/>
                <w:color w:val="auto"/>
              </w:rPr>
            </w:pPr>
            <w:r>
              <w:rPr>
                <w:rFonts w:ascii="Arial" w:cs="Arial" w:eastAsia="Arial" w:hAnsi="Arial"/>
                <w:sz w:val="18"/>
                <w:szCs w:val="18"/>
                <w:color w:val="auto"/>
              </w:rPr>
              <w:t>Earnings from operations</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97,101</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81,732</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116,525</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98,327</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(4,873)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(3,702)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(8,633)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(7,584)</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00" w:type="dxa"/>
            <w:vAlign w:val="bottom"/>
          </w:tcPr>
          <w:p>
            <w:pPr>
              <w:ind w:left="140"/>
              <w:spacing w:after="0"/>
              <w:rPr>
                <w:sz w:val="20"/>
                <w:szCs w:val="20"/>
                <w:color w:val="auto"/>
              </w:rPr>
            </w:pPr>
            <w:r>
              <w:rPr>
                <w:rFonts w:ascii="Arial" w:cs="Arial" w:eastAsia="Arial" w:hAnsi="Arial"/>
                <w:sz w:val="18"/>
                <w:szCs w:val="18"/>
                <w:color w:val="auto"/>
              </w:rPr>
              <w:t>Earnings before income taxes</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93,170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78,495</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109,975</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92,517</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31,212</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26,296</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36,841</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30,993</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61,958</w:t>
            </w:r>
          </w:p>
        </w:tc>
        <w:tc>
          <w:tcPr>
            <w:tcW w:w="3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52,199</w:t>
            </w:r>
          </w:p>
        </w:tc>
        <w:tc>
          <w:tcPr>
            <w:tcW w:w="3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73,134</w:t>
            </w:r>
          </w:p>
        </w:tc>
        <w:tc>
          <w:tcPr>
            <w:tcW w:w="3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61,524</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color w:val="auto"/>
              </w:rPr>
              <w:t>Basic net earnings per share</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36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3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3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color w:val="auto"/>
              </w:rPr>
              <w:t>Diluted net earnings per share</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36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3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color w:val="auto"/>
                <w:w w:val="95"/>
              </w:rPr>
              <w:t>Weighted average number of shares of common stock outstanding</w:t>
            </w: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40"/>
              <w:spacing w:after="0"/>
              <w:rPr>
                <w:sz w:val="20"/>
                <w:szCs w:val="20"/>
                <w:color w:val="auto"/>
              </w:rPr>
            </w:pPr>
            <w:r>
              <w:rPr>
                <w:rFonts w:ascii="Arial" w:cs="Arial" w:eastAsia="Arial" w:hAnsi="Arial"/>
                <w:sz w:val="18"/>
                <w:szCs w:val="18"/>
                <w:color w:val="auto"/>
              </w:rPr>
              <w:t>– Basic</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44,754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49,599</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45,438</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49,725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w w:val="95"/>
              </w:rPr>
              <w:t>Weighted average number of shares of common stock outstanding</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 Dilutive</w:t>
            </w: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46,592</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52,178</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47,210</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52,230</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3220"/>
        <w:spacing w:after="0" w:line="277" w:lineRule="auto"/>
        <w:rPr>
          <w:sz w:val="20"/>
          <w:szCs w:val="20"/>
          <w:color w:val="auto"/>
        </w:rPr>
      </w:pPr>
      <w:r>
        <w:rPr>
          <w:rFonts w:ascii="Arial" w:cs="Arial" w:eastAsia="Arial" w:hAnsi="Arial"/>
          <w:sz w:val="18"/>
          <w:szCs w:val="18"/>
          <w:color w:val="auto"/>
        </w:rPr>
        <w:t>Shares and per share data have been adjusted for all periods presented to reflect a two-for-one stock split effective March 28, 2005.</w:t>
      </w:r>
    </w:p>
    <w:p>
      <w:pPr>
        <w:spacing w:after="0" w:line="90" w:lineRule="exact"/>
        <w:rPr>
          <w:sz w:val="20"/>
          <w:szCs w:val="20"/>
          <w:color w:val="auto"/>
        </w:rPr>
      </w:pPr>
    </w:p>
    <w:p>
      <w:pPr>
        <w:ind w:left="100" w:hanging="92"/>
        <w:spacing w:after="0"/>
        <w:tabs>
          <w:tab w:leader="none" w:pos="100" w:val="left"/>
        </w:tabs>
        <w:numPr>
          <w:ilvl w:val="0"/>
          <w:numId w:val="2"/>
        </w:numPr>
        <w:rPr>
          <w:rFonts w:ascii="Arial" w:cs="Arial" w:eastAsia="Arial" w:hAnsi="Arial"/>
          <w:sz w:val="24"/>
          <w:szCs w:val="24"/>
          <w:color w:val="auto"/>
          <w:vertAlign w:val="superscript"/>
        </w:rPr>
      </w:pPr>
      <w:r>
        <w:rPr>
          <w:rFonts w:ascii="Arial" w:cs="Arial" w:eastAsia="Arial" w:hAnsi="Arial"/>
          <w:sz w:val="15"/>
          <w:szCs w:val="15"/>
          <w:color w:val="auto"/>
        </w:rPr>
        <w:t>Prepared under the accounting provisions of Statement of Financial Accounting Standard No. 123 (Revised 2004), “Share-Based Payment.”</w:t>
      </w:r>
    </w:p>
    <w:p>
      <w:pPr>
        <w:spacing w:after="0" w:line="6" w:lineRule="exact"/>
        <w:rPr>
          <w:rFonts w:ascii="Arial" w:cs="Arial" w:eastAsia="Arial" w:hAnsi="Arial"/>
          <w:sz w:val="24"/>
          <w:szCs w:val="24"/>
          <w:color w:val="auto"/>
          <w:vertAlign w:val="superscript"/>
        </w:rPr>
      </w:pPr>
    </w:p>
    <w:p>
      <w:pPr>
        <w:spacing w:after="0"/>
        <w:rPr>
          <w:rFonts w:ascii="Arial" w:cs="Arial" w:eastAsia="Arial" w:hAnsi="Arial"/>
          <w:sz w:val="24"/>
          <w:szCs w:val="24"/>
          <w:color w:val="auto"/>
          <w:vertAlign w:val="superscript"/>
        </w:rPr>
      </w:pPr>
      <w:r>
        <w:rPr>
          <w:rFonts w:ascii="Arial" w:cs="Arial" w:eastAsia="Arial" w:hAnsi="Arial"/>
          <w:sz w:val="25"/>
          <w:szCs w:val="25"/>
          <w:color w:val="auto"/>
          <w:vertAlign w:val="superscript"/>
        </w:rPr>
        <w:t>2</w:t>
      </w:r>
      <w:r>
        <w:rPr>
          <w:rFonts w:ascii="Arial" w:cs="Arial" w:eastAsia="Arial" w:hAnsi="Arial"/>
          <w:sz w:val="15"/>
          <w:szCs w:val="15"/>
          <w:color w:val="auto"/>
        </w:rPr>
        <w:t xml:space="preserve"> Prepared under the accounting provisions of Accounting Principles Board Opinion No. 25, “Accounting for Stock Issued to Employees,”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(APB No. 25), and related Interpretations.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TORO COMPANY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Segment Data (Unaudited)</w:t>
      </w:r>
    </w:p>
    <w:p>
      <w:pPr>
        <w:jc w:val="center"/>
        <w:ind w:right="-19"/>
        <w:spacing w:after="0"/>
        <w:rPr>
          <w:sz w:val="20"/>
          <w:szCs w:val="20"/>
          <w:color w:val="auto"/>
        </w:rPr>
      </w:pPr>
      <w:r>
        <w:rPr>
          <w:rFonts w:ascii="Arial" w:cs="Arial" w:eastAsia="Arial" w:hAnsi="Arial"/>
          <w:sz w:val="22"/>
          <w:szCs w:val="22"/>
          <w:b w:val="1"/>
          <w:bCs w:val="1"/>
          <w:color w:val="auto"/>
        </w:rPr>
        <w:t>(Dollars in thousands)</w:t>
      </w:r>
    </w:p>
    <w:p>
      <w:pPr>
        <w:spacing w:after="0" w:line="357"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11"/>
          </w:tcPr>
          <w:p>
            <w:pPr>
              <w:ind w:left="340"/>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11"/>
          </w:tcPr>
          <w:p>
            <w:pPr>
              <w:jc w:val="right"/>
              <w:ind w:right="860"/>
              <w:spacing w:after="0"/>
              <w:rPr>
                <w:sz w:val="20"/>
                <w:szCs w:val="20"/>
                <w:color w:val="auto"/>
              </w:rPr>
            </w:pPr>
            <w:r>
              <w:rPr>
                <w:rFonts w:ascii="Arial" w:cs="Arial" w:eastAsia="Arial" w:hAnsi="Arial"/>
                <w:sz w:val="18"/>
                <w:szCs w:val="18"/>
                <w:color w:val="auto"/>
              </w:rPr>
              <w:t>Six Months Ended</w:t>
            </w:r>
          </w:p>
        </w:tc>
      </w:tr>
      <w:tr>
        <w:trPr>
          <w:trHeight w:val="191"/>
        </w:trPr>
        <w:tc>
          <w:tcPr>
            <w:tcW w:w="3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6"/>
          </w:tcPr>
          <w:p>
            <w:pPr>
              <w:ind w:left="340"/>
              <w:spacing w:after="0" w:line="191" w:lineRule="exact"/>
              <w:rPr>
                <w:sz w:val="20"/>
                <w:szCs w:val="20"/>
                <w:color w:val="auto"/>
              </w:rPr>
            </w:pPr>
            <w:r>
              <w:rPr>
                <w:rFonts w:ascii="Arial" w:cs="Arial" w:eastAsia="Arial" w:hAnsi="Arial"/>
                <w:sz w:val="18"/>
                <w:szCs w:val="18"/>
                <w:b w:val="1"/>
                <w:bCs w:val="1"/>
                <w:color w:val="auto"/>
              </w:rPr>
              <w:t>April 29,</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5"/>
          </w:tcPr>
          <w:p>
            <w:pPr>
              <w:ind w:left="140"/>
              <w:spacing w:after="0" w:line="191" w:lineRule="exact"/>
              <w:rPr>
                <w:sz w:val="20"/>
                <w:szCs w:val="20"/>
                <w:color w:val="auto"/>
              </w:rPr>
            </w:pPr>
            <w:r>
              <w:rPr>
                <w:rFonts w:ascii="Arial" w:cs="Arial" w:eastAsia="Arial" w:hAnsi="Arial"/>
                <w:sz w:val="18"/>
                <w:szCs w:val="18"/>
                <w:b w:val="1"/>
                <w:bCs w:val="1"/>
                <w:color w:val="auto"/>
              </w:rPr>
              <w:t>April 30,</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6"/>
          </w:tcPr>
          <w:p>
            <w:pPr>
              <w:jc w:val="center"/>
              <w:ind w:right="40"/>
              <w:spacing w:after="0" w:line="191" w:lineRule="exact"/>
              <w:rPr>
                <w:sz w:val="20"/>
                <w:szCs w:val="20"/>
                <w:color w:val="auto"/>
              </w:rPr>
            </w:pPr>
            <w:r>
              <w:rPr>
                <w:rFonts w:ascii="Arial" w:cs="Arial" w:eastAsia="Arial" w:hAnsi="Arial"/>
                <w:sz w:val="18"/>
                <w:szCs w:val="18"/>
                <w:b w:val="1"/>
                <w:bCs w:val="1"/>
                <w:color w:val="auto"/>
                <w:w w:val="95"/>
              </w:rPr>
              <w:t>April 29,</w:t>
            </w: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gridSpan w:val="5"/>
          </w:tcPr>
          <w:p>
            <w:pPr>
              <w:jc w:val="center"/>
              <w:ind w:right="40"/>
              <w:spacing w:after="0" w:line="191" w:lineRule="exact"/>
              <w:rPr>
                <w:sz w:val="20"/>
                <w:szCs w:val="20"/>
                <w:color w:val="auto"/>
              </w:rPr>
            </w:pPr>
            <w:r>
              <w:rPr>
                <w:rFonts w:ascii="Arial" w:cs="Arial" w:eastAsia="Arial" w:hAnsi="Arial"/>
                <w:sz w:val="18"/>
                <w:szCs w:val="18"/>
                <w:b w:val="1"/>
                <w:bCs w:val="1"/>
                <w:color w:val="auto"/>
                <w:w w:val="95"/>
              </w:rPr>
              <w:t>April 30,</w:t>
            </w:r>
          </w:p>
        </w:tc>
      </w:tr>
      <w:tr>
        <w:trPr>
          <w:trHeight w:val="234"/>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Segment Net Sales</w:t>
            </w:r>
          </w:p>
        </w:tc>
        <w:tc>
          <w:tcPr>
            <w:tcW w:w="1580" w:type="dxa"/>
            <w:vAlign w:val="bottom"/>
            <w:gridSpan w:val="6"/>
          </w:tcPr>
          <w:p>
            <w:pPr>
              <w:jc w:val="right"/>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2004</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gridSpan w:val="5"/>
          </w:tcPr>
          <w:p>
            <w:pPr>
              <w:jc w:val="center"/>
              <w:ind w:left="610"/>
              <w:spacing w:after="0"/>
              <w:rPr>
                <w:sz w:val="20"/>
                <w:szCs w:val="20"/>
                <w:color w:val="auto"/>
              </w:rPr>
            </w:pPr>
            <w:r>
              <w:rPr>
                <w:rFonts w:ascii="Arial" w:cs="Arial" w:eastAsia="Arial" w:hAnsi="Arial"/>
                <w:sz w:val="18"/>
                <w:szCs w:val="18"/>
                <w:b w:val="1"/>
                <w:bCs w:val="1"/>
                <w:color w:val="auto"/>
                <w:w w:val="89"/>
              </w:rPr>
              <w:t>2005</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8"/>
                <w:szCs w:val="18"/>
                <w:b w:val="1"/>
                <w:bCs w:val="1"/>
                <w:color w:val="auto"/>
                <w:w w:val="89"/>
              </w:rPr>
              <w:t>2004</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195"/>
        </w:trPr>
        <w:tc>
          <w:tcPr>
            <w:tcW w:w="38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Professional</w:t>
            </w:r>
          </w:p>
        </w:tc>
        <w:tc>
          <w:tcPr>
            <w:tcW w:w="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Borders>
              <w:top w:val="single" w:sz="8" w:color="auto"/>
            </w:tcBorders>
            <w:gridSpan w:val="3"/>
          </w:tcPr>
          <w:p>
            <w:pPr>
              <w:jc w:val="right"/>
              <w:spacing w:after="0" w:line="195" w:lineRule="exact"/>
              <w:rPr>
                <w:sz w:val="20"/>
                <w:szCs w:val="20"/>
                <w:color w:val="auto"/>
              </w:rPr>
            </w:pPr>
            <w:r>
              <w:rPr>
                <w:rFonts w:ascii="Arial" w:cs="Arial" w:eastAsia="Arial" w:hAnsi="Arial"/>
                <w:sz w:val="18"/>
                <w:szCs w:val="18"/>
                <w:color w:val="auto"/>
              </w:rPr>
              <w:t>$389,052</w:t>
            </w:r>
          </w:p>
        </w:tc>
        <w:tc>
          <w:tcPr>
            <w:tcW w:w="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Borders>
              <w:top w:val="single" w:sz="8" w:color="auto"/>
            </w:tcBorders>
            <w:gridSpan w:val="4"/>
          </w:tcPr>
          <w:p>
            <w:pPr>
              <w:jc w:val="right"/>
              <w:ind w:right="20"/>
              <w:spacing w:after="0" w:line="195" w:lineRule="exact"/>
              <w:rPr>
                <w:sz w:val="20"/>
                <w:szCs w:val="20"/>
                <w:color w:val="auto"/>
              </w:rPr>
            </w:pPr>
            <w:r>
              <w:rPr>
                <w:rFonts w:ascii="Arial" w:cs="Arial" w:eastAsia="Arial" w:hAnsi="Arial"/>
                <w:sz w:val="18"/>
                <w:szCs w:val="18"/>
                <w:color w:val="auto"/>
              </w:rPr>
              <w:t>$338,524</w:t>
            </w:r>
          </w:p>
        </w:tc>
        <w:tc>
          <w:tcPr>
            <w:tcW w:w="3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Borders>
              <w:top w:val="single" w:sz="8" w:color="auto"/>
            </w:tcBorders>
            <w:gridSpan w:val="4"/>
          </w:tcPr>
          <w:p>
            <w:pPr>
              <w:jc w:val="right"/>
              <w:spacing w:after="0" w:line="195" w:lineRule="exact"/>
              <w:rPr>
                <w:sz w:val="20"/>
                <w:szCs w:val="20"/>
                <w:color w:val="auto"/>
              </w:rPr>
            </w:pPr>
            <w:r>
              <w:rPr>
                <w:rFonts w:ascii="Arial" w:cs="Arial" w:eastAsia="Arial" w:hAnsi="Arial"/>
                <w:sz w:val="18"/>
                <w:szCs w:val="18"/>
                <w:color w:val="auto"/>
              </w:rPr>
              <w:t>$634,282</w:t>
            </w:r>
          </w:p>
        </w:tc>
        <w:tc>
          <w:tcPr>
            <w:tcW w:w="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Borders>
              <w:top w:val="single" w:sz="8" w:color="auto"/>
            </w:tcBorders>
            <w:gridSpan w:val="4"/>
          </w:tcPr>
          <w:p>
            <w:pPr>
              <w:jc w:val="right"/>
              <w:spacing w:after="0" w:line="195" w:lineRule="exact"/>
              <w:rPr>
                <w:sz w:val="20"/>
                <w:szCs w:val="20"/>
                <w:color w:val="auto"/>
              </w:rPr>
            </w:pPr>
            <w:r>
              <w:rPr>
                <w:rFonts w:ascii="Arial" w:cs="Arial" w:eastAsia="Arial" w:hAnsi="Arial"/>
                <w:sz w:val="18"/>
                <w:szCs w:val="18"/>
                <w:color w:val="auto"/>
              </w:rPr>
              <w:t>$546,202</w:t>
            </w:r>
          </w:p>
        </w:tc>
        <w:tc>
          <w:tcPr>
            <w:tcW w:w="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1580" w:type="dxa"/>
            <w:vAlign w:val="bottom"/>
            <w:gridSpan w:val="6"/>
          </w:tcPr>
          <w:p>
            <w:pPr>
              <w:jc w:val="right"/>
              <w:spacing w:after="0"/>
              <w:rPr>
                <w:sz w:val="20"/>
                <w:szCs w:val="20"/>
                <w:color w:val="auto"/>
              </w:rPr>
            </w:pPr>
            <w:r>
              <w:rPr>
                <w:rFonts w:ascii="Arial" w:cs="Arial" w:eastAsia="Arial" w:hAnsi="Arial"/>
                <w:sz w:val="18"/>
                <w:szCs w:val="18"/>
                <w:color w:val="auto"/>
              </w:rPr>
              <w:t>227,722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5"/>
          </w:tcPr>
          <w:p>
            <w:pPr>
              <w:jc w:val="right"/>
              <w:ind w:right="20"/>
              <w:spacing w:after="0"/>
              <w:rPr>
                <w:sz w:val="20"/>
                <w:szCs w:val="20"/>
                <w:color w:val="auto"/>
              </w:rPr>
            </w:pPr>
            <w:r>
              <w:rPr>
                <w:rFonts w:ascii="Arial" w:cs="Arial" w:eastAsia="Arial" w:hAnsi="Arial"/>
                <w:sz w:val="18"/>
                <w:szCs w:val="18"/>
                <w:color w:val="auto"/>
              </w:rPr>
              <w:t>194,838</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5"/>
          </w:tcPr>
          <w:p>
            <w:pPr>
              <w:jc w:val="right"/>
              <w:spacing w:after="0"/>
              <w:rPr>
                <w:sz w:val="20"/>
                <w:szCs w:val="20"/>
                <w:color w:val="auto"/>
              </w:rPr>
            </w:pPr>
            <w:r>
              <w:rPr>
                <w:rFonts w:ascii="Arial" w:cs="Arial" w:eastAsia="Arial" w:hAnsi="Arial"/>
                <w:sz w:val="18"/>
                <w:szCs w:val="18"/>
                <w:color w:val="auto"/>
              </w:rPr>
              <w:t>323,598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5"/>
          </w:tcPr>
          <w:p>
            <w:pPr>
              <w:jc w:val="right"/>
              <w:spacing w:after="0"/>
              <w:rPr>
                <w:sz w:val="20"/>
                <w:szCs w:val="20"/>
                <w:color w:val="auto"/>
              </w:rPr>
            </w:pPr>
            <w:r>
              <w:rPr>
                <w:rFonts w:ascii="Arial" w:cs="Arial" w:eastAsia="Arial" w:hAnsi="Arial"/>
                <w:sz w:val="18"/>
                <w:szCs w:val="18"/>
                <w:color w:val="auto"/>
              </w:rPr>
              <w:t>292,725</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580" w:type="dxa"/>
            <w:vAlign w:val="bottom"/>
            <w:gridSpan w:val="6"/>
          </w:tcPr>
          <w:p>
            <w:pPr>
              <w:jc w:val="right"/>
              <w:spacing w:after="0"/>
              <w:rPr>
                <w:sz w:val="20"/>
                <w:szCs w:val="20"/>
                <w:color w:val="auto"/>
              </w:rPr>
            </w:pPr>
            <w:r>
              <w:rPr>
                <w:rFonts w:ascii="Arial" w:cs="Arial" w:eastAsia="Arial" w:hAnsi="Arial"/>
                <w:sz w:val="18"/>
                <w:szCs w:val="18"/>
                <w:color w:val="auto"/>
              </w:rPr>
              <w:t>11,667</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5"/>
          </w:tcPr>
          <w:p>
            <w:pPr>
              <w:jc w:val="right"/>
              <w:ind w:right="20"/>
              <w:spacing w:after="0"/>
              <w:rPr>
                <w:sz w:val="20"/>
                <w:szCs w:val="20"/>
                <w:color w:val="auto"/>
              </w:rPr>
            </w:pPr>
            <w:r>
              <w:rPr>
                <w:rFonts w:ascii="Arial" w:cs="Arial" w:eastAsia="Arial" w:hAnsi="Arial"/>
                <w:sz w:val="18"/>
                <w:szCs w:val="18"/>
                <w:color w:val="auto"/>
              </w:rPr>
              <w:t>14,665</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gridSpan w:val="5"/>
          </w:tcPr>
          <w:p>
            <w:pPr>
              <w:jc w:val="right"/>
              <w:spacing w:after="0"/>
              <w:rPr>
                <w:sz w:val="20"/>
                <w:szCs w:val="20"/>
                <w:color w:val="auto"/>
              </w:rPr>
            </w:pPr>
            <w:r>
              <w:rPr>
                <w:rFonts w:ascii="Arial" w:cs="Arial" w:eastAsia="Arial" w:hAnsi="Arial"/>
                <w:sz w:val="18"/>
                <w:szCs w:val="18"/>
                <w:color w:val="auto"/>
              </w:rPr>
              <w:t>17,474</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22,673</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23"/>
        </w:trPr>
        <w:tc>
          <w:tcPr>
            <w:tcW w:w="3860" w:type="dxa"/>
            <w:vAlign w:val="bottom"/>
            <w:gridSpan w:val="2"/>
          </w:tcPr>
          <w:p>
            <w:pPr>
              <w:ind w:left="140"/>
              <w:spacing w:after="0"/>
              <w:rPr>
                <w:sz w:val="20"/>
                <w:szCs w:val="20"/>
                <w:color w:val="auto"/>
              </w:rPr>
            </w:pPr>
            <w:r>
              <w:rPr>
                <w:rFonts w:ascii="Arial" w:cs="Arial" w:eastAsia="Arial" w:hAnsi="Arial"/>
                <w:sz w:val="18"/>
                <w:szCs w:val="18"/>
                <w:color w:val="auto"/>
              </w:rPr>
              <w:t>Total *</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628,441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548,027</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975,354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861,600</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1"/>
        </w:trPr>
        <w:tc>
          <w:tcPr>
            <w:tcW w:w="3860" w:type="dxa"/>
            <w:vAlign w:val="bottom"/>
            <w:gridSpan w:val="2"/>
          </w:tcPr>
          <w:p>
            <w:pPr>
              <w:spacing w:after="0"/>
              <w:rPr>
                <w:sz w:val="20"/>
                <w:szCs w:val="20"/>
                <w:color w:val="auto"/>
              </w:rPr>
            </w:pPr>
            <w:r>
              <w:rPr>
                <w:rFonts w:ascii="Arial" w:cs="Arial" w:eastAsia="Arial" w:hAnsi="Arial"/>
                <w:sz w:val="18"/>
                <w:szCs w:val="18"/>
                <w:color w:val="auto"/>
              </w:rPr>
              <w:t>* Includes international sales of</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6"/>
              </w:rPr>
              <w:t>157,722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111,773</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247,369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187,151</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431"/>
        </w:trPr>
        <w:tc>
          <w:tcPr>
            <w:tcW w:w="3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20" w:type="dxa"/>
            <w:vAlign w:val="bottom"/>
            <w:gridSpan w:val="11"/>
          </w:tcPr>
          <w:p>
            <w:pPr>
              <w:ind w:left="20"/>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11"/>
          </w:tcPr>
          <w:p>
            <w:pPr>
              <w:jc w:val="right"/>
              <w:ind w:right="860"/>
              <w:spacing w:after="0"/>
              <w:rPr>
                <w:sz w:val="20"/>
                <w:szCs w:val="20"/>
                <w:color w:val="auto"/>
              </w:rPr>
            </w:pPr>
            <w:r>
              <w:rPr>
                <w:rFonts w:ascii="Arial" w:cs="Arial" w:eastAsia="Arial" w:hAnsi="Arial"/>
                <w:sz w:val="18"/>
                <w:szCs w:val="18"/>
                <w:color w:val="auto"/>
              </w:rPr>
              <w:t>Six Months Ended</w:t>
            </w:r>
          </w:p>
        </w:tc>
      </w:tr>
      <w:tr>
        <w:trPr>
          <w:trHeight w:val="191"/>
        </w:trPr>
        <w:tc>
          <w:tcPr>
            <w:tcW w:w="3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8"/>
          </w:tcPr>
          <w:p>
            <w:pPr>
              <w:ind w:left="80"/>
              <w:spacing w:after="0" w:line="191" w:lineRule="exact"/>
              <w:rPr>
                <w:sz w:val="20"/>
                <w:szCs w:val="20"/>
                <w:color w:val="auto"/>
              </w:rPr>
            </w:pPr>
            <w:r>
              <w:rPr>
                <w:rFonts w:ascii="Arial" w:cs="Arial" w:eastAsia="Arial" w:hAnsi="Arial"/>
                <w:sz w:val="18"/>
                <w:szCs w:val="18"/>
                <w:b w:val="1"/>
                <w:bCs w:val="1"/>
                <w:color w:val="auto"/>
              </w:rPr>
              <w:t>April 29,</w:t>
            </w:r>
          </w:p>
        </w:tc>
        <w:tc>
          <w:tcPr>
            <w:tcW w:w="2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5"/>
          </w:tcPr>
          <w:p>
            <w:pPr>
              <w:jc w:val="right"/>
              <w:ind w:right="460"/>
              <w:spacing w:after="0" w:line="191" w:lineRule="exact"/>
              <w:rPr>
                <w:sz w:val="20"/>
                <w:szCs w:val="20"/>
                <w:color w:val="auto"/>
              </w:rPr>
            </w:pPr>
            <w:r>
              <w:rPr>
                <w:rFonts w:ascii="Arial" w:cs="Arial" w:eastAsia="Arial" w:hAnsi="Arial"/>
                <w:sz w:val="18"/>
                <w:szCs w:val="18"/>
                <w:b w:val="1"/>
                <w:bCs w:val="1"/>
                <w:color w:val="auto"/>
              </w:rPr>
              <w:t>April 30,</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Borders>
              <w:top w:val="single" w:sz="8" w:color="auto"/>
            </w:tcBorders>
            <w:gridSpan w:val="6"/>
          </w:tcPr>
          <w:p>
            <w:pPr>
              <w:jc w:val="center"/>
              <w:ind w:right="40"/>
              <w:spacing w:after="0" w:line="191" w:lineRule="exact"/>
              <w:rPr>
                <w:sz w:val="20"/>
                <w:szCs w:val="20"/>
                <w:color w:val="auto"/>
              </w:rPr>
            </w:pPr>
            <w:r>
              <w:rPr>
                <w:rFonts w:ascii="Arial" w:cs="Arial" w:eastAsia="Arial" w:hAnsi="Arial"/>
                <w:sz w:val="18"/>
                <w:szCs w:val="18"/>
                <w:b w:val="1"/>
                <w:bCs w:val="1"/>
                <w:color w:val="auto"/>
                <w:w w:val="95"/>
              </w:rPr>
              <w:t>April 29,</w:t>
            </w:r>
          </w:p>
        </w:tc>
        <w:tc>
          <w:tcPr>
            <w:tcW w:w="2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4"/>
          </w:tcPr>
          <w:p>
            <w:pPr>
              <w:jc w:val="center"/>
              <w:ind w:right="320"/>
              <w:spacing w:after="0" w:line="191" w:lineRule="exact"/>
              <w:rPr>
                <w:sz w:val="20"/>
                <w:szCs w:val="20"/>
                <w:color w:val="auto"/>
              </w:rPr>
            </w:pPr>
            <w:r>
              <w:rPr>
                <w:rFonts w:ascii="Arial" w:cs="Arial" w:eastAsia="Arial" w:hAnsi="Arial"/>
                <w:sz w:val="18"/>
                <w:szCs w:val="18"/>
                <w:b w:val="1"/>
                <w:bCs w:val="1"/>
                <w:color w:val="auto"/>
                <w:w w:val="95"/>
              </w:rPr>
              <w:t>April 30,</w:t>
            </w:r>
          </w:p>
        </w:tc>
      </w:tr>
      <w:tr>
        <w:trPr>
          <w:trHeight w:val="234"/>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w w:val="95"/>
              </w:rPr>
              <w:t>Segment Earnings (Loss) Before Income Taxes</w:t>
            </w:r>
          </w:p>
        </w:tc>
        <w:tc>
          <w:tcPr>
            <w:tcW w:w="1000" w:type="dxa"/>
            <w:vAlign w:val="bottom"/>
            <w:gridSpan w:val="4"/>
          </w:tcPr>
          <w:p>
            <w:pPr>
              <w:jc w:val="right"/>
              <w:spacing w:after="0"/>
              <w:rPr>
                <w:sz w:val="20"/>
                <w:szCs w:val="20"/>
                <w:color w:val="auto"/>
              </w:rPr>
            </w:pPr>
            <w:r>
              <w:rPr>
                <w:rFonts w:ascii="Arial" w:cs="Arial" w:eastAsia="Arial" w:hAnsi="Arial"/>
                <w:sz w:val="18"/>
                <w:szCs w:val="18"/>
                <w:b w:val="1"/>
                <w:bCs w:val="1"/>
                <w:color w:val="auto"/>
              </w:rPr>
              <w:t>2005</w:t>
            </w: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4"/>
          </w:tcPr>
          <w:p>
            <w:pPr>
              <w:ind w:left="620"/>
              <w:spacing w:after="0"/>
              <w:rPr>
                <w:sz w:val="20"/>
                <w:szCs w:val="20"/>
                <w:color w:val="auto"/>
              </w:rPr>
            </w:pPr>
            <w:r>
              <w:rPr>
                <w:rFonts w:ascii="Arial" w:cs="Arial" w:eastAsia="Arial" w:hAnsi="Arial"/>
                <w:sz w:val="18"/>
                <w:szCs w:val="18"/>
                <w:b w:val="1"/>
                <w:bCs w:val="1"/>
                <w:color w:val="auto"/>
                <w:w w:val="99"/>
              </w:rPr>
              <w:t>2004</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gridSpan w:val="5"/>
          </w:tcPr>
          <w:p>
            <w:pPr>
              <w:jc w:val="center"/>
              <w:ind w:left="610"/>
              <w:spacing w:after="0"/>
              <w:rPr>
                <w:sz w:val="20"/>
                <w:szCs w:val="20"/>
                <w:color w:val="auto"/>
              </w:rPr>
            </w:pPr>
            <w:r>
              <w:rPr>
                <w:rFonts w:ascii="Arial" w:cs="Arial" w:eastAsia="Arial" w:hAnsi="Arial"/>
                <w:sz w:val="18"/>
                <w:szCs w:val="18"/>
                <w:b w:val="1"/>
                <w:bCs w:val="1"/>
                <w:color w:val="auto"/>
                <w:w w:val="89"/>
              </w:rPr>
              <w:t>2005</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8"/>
                <w:szCs w:val="18"/>
                <w:b w:val="1"/>
                <w:bCs w:val="1"/>
                <w:color w:val="auto"/>
                <w:w w:val="89"/>
              </w:rPr>
              <w:t>2004</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195"/>
        </w:trPr>
        <w:tc>
          <w:tcPr>
            <w:tcW w:w="3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Professional</w:t>
            </w:r>
          </w:p>
        </w:tc>
        <w:tc>
          <w:tcPr>
            <w:tcW w:w="280" w:type="dxa"/>
            <w:vAlign w:val="bottom"/>
          </w:tcPr>
          <w:p>
            <w:pPr>
              <w:spacing w:after="0"/>
              <w:rPr>
                <w:sz w:val="16"/>
                <w:szCs w:val="16"/>
                <w:color w:val="auto"/>
              </w:rPr>
            </w:pPr>
          </w:p>
        </w:tc>
        <w:tc>
          <w:tcPr>
            <w:tcW w:w="1040" w:type="dxa"/>
            <w:vAlign w:val="bottom"/>
            <w:tcBorders>
              <w:top w:val="single" w:sz="8" w:color="auto"/>
            </w:tcBorders>
            <w:gridSpan w:val="5"/>
          </w:tcPr>
          <w:p>
            <w:pPr>
              <w:jc w:val="right"/>
              <w:spacing w:after="0" w:line="195" w:lineRule="exact"/>
              <w:rPr>
                <w:sz w:val="20"/>
                <w:szCs w:val="20"/>
                <w:color w:val="auto"/>
              </w:rPr>
            </w:pPr>
            <w:r>
              <w:rPr>
                <w:rFonts w:ascii="Arial" w:cs="Arial" w:eastAsia="Arial" w:hAnsi="Arial"/>
                <w:sz w:val="18"/>
                <w:szCs w:val="18"/>
                <w:color w:val="auto"/>
              </w:rPr>
              <w:t>$ 84,623</w:t>
            </w:r>
          </w:p>
        </w:tc>
        <w:tc>
          <w:tcPr>
            <w:tcW w:w="5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4"/>
          </w:tcPr>
          <w:p>
            <w:pPr>
              <w:jc w:val="right"/>
              <w:spacing w:after="0" w:line="195" w:lineRule="exact"/>
              <w:rPr>
                <w:sz w:val="20"/>
                <w:szCs w:val="20"/>
                <w:color w:val="auto"/>
              </w:rPr>
            </w:pPr>
            <w:r>
              <w:rPr>
                <w:rFonts w:ascii="Arial" w:cs="Arial" w:eastAsia="Arial" w:hAnsi="Arial"/>
                <w:sz w:val="18"/>
                <w:szCs w:val="18"/>
                <w:color w:val="auto"/>
              </w:rPr>
              <w:t>$ 71,704</w:t>
            </w:r>
          </w:p>
        </w:tc>
        <w:tc>
          <w:tcPr>
            <w:tcW w:w="1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gridSpan w:val="2"/>
          </w:tcPr>
          <w:p>
            <w:pPr>
              <w:spacing w:after="0"/>
              <w:rPr>
                <w:sz w:val="16"/>
                <w:szCs w:val="16"/>
                <w:color w:val="auto"/>
              </w:rPr>
            </w:pPr>
          </w:p>
        </w:tc>
        <w:tc>
          <w:tcPr>
            <w:tcW w:w="940" w:type="dxa"/>
            <w:vAlign w:val="bottom"/>
            <w:tcBorders>
              <w:top w:val="single" w:sz="8" w:color="auto"/>
            </w:tcBorders>
            <w:gridSpan w:val="4"/>
          </w:tcPr>
          <w:p>
            <w:pPr>
              <w:jc w:val="right"/>
              <w:ind w:right="20"/>
              <w:spacing w:after="0" w:line="195" w:lineRule="exact"/>
              <w:rPr>
                <w:sz w:val="20"/>
                <w:szCs w:val="20"/>
                <w:color w:val="auto"/>
              </w:rPr>
            </w:pPr>
            <w:r>
              <w:rPr>
                <w:rFonts w:ascii="Arial" w:cs="Arial" w:eastAsia="Arial" w:hAnsi="Arial"/>
                <w:sz w:val="18"/>
                <w:szCs w:val="18"/>
                <w:color w:val="auto"/>
              </w:rPr>
              <w:t>$123,488</w:t>
            </w:r>
          </w:p>
        </w:tc>
        <w:tc>
          <w:tcPr>
            <w:tcW w:w="3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gridSpan w:val="2"/>
          </w:tcPr>
          <w:p>
            <w:pPr>
              <w:spacing w:after="0"/>
              <w:rPr>
                <w:sz w:val="16"/>
                <w:szCs w:val="16"/>
                <w:color w:val="auto"/>
              </w:rPr>
            </w:pPr>
          </w:p>
        </w:tc>
        <w:tc>
          <w:tcPr>
            <w:tcW w:w="36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w w:val="86"/>
              </w:rPr>
              <w:t>100,153</w:t>
            </w:r>
          </w:p>
        </w:tc>
        <w:tc>
          <w:tcPr>
            <w:tcW w:w="400" w:type="dxa"/>
            <w:vAlign w:val="bottom"/>
            <w:tcBorders>
              <w:top w:val="single" w:sz="8" w:color="auto"/>
            </w:tcBorders>
          </w:tcPr>
          <w:p>
            <w:pPr>
              <w:spacing w:after="0"/>
              <w:rPr>
                <w:sz w:val="16"/>
                <w:szCs w:val="16"/>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28,963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26,719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6"/>
          </w:tcPr>
          <w:p>
            <w:pPr>
              <w:jc w:val="right"/>
              <w:spacing w:after="0"/>
              <w:rPr>
                <w:sz w:val="20"/>
                <w:szCs w:val="20"/>
                <w:color w:val="auto"/>
              </w:rPr>
            </w:pPr>
            <w:r>
              <w:rPr>
                <w:rFonts w:ascii="Arial" w:cs="Arial" w:eastAsia="Arial" w:hAnsi="Arial"/>
                <w:sz w:val="18"/>
                <w:szCs w:val="18"/>
                <w:color w:val="auto"/>
              </w:rPr>
              <w:t>33,397</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35,056</w:t>
            </w:r>
          </w:p>
        </w:tc>
        <w:tc>
          <w:tcPr>
            <w:tcW w:w="400" w:type="dxa"/>
            <w:vAlign w:val="bottom"/>
          </w:tcPr>
          <w:p>
            <w:pPr>
              <w:spacing w:after="0"/>
              <w:rPr>
                <w:sz w:val="18"/>
                <w:szCs w:val="18"/>
                <w:color w:val="auto"/>
              </w:rPr>
            </w:pP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580" w:type="dxa"/>
            <w:vAlign w:val="bottom"/>
            <w:gridSpan w:val="6"/>
          </w:tcPr>
          <w:p>
            <w:pPr>
              <w:jc w:val="right"/>
              <w:ind w:right="390"/>
              <w:spacing w:after="0"/>
              <w:rPr>
                <w:sz w:val="20"/>
                <w:szCs w:val="20"/>
                <w:color w:val="auto"/>
              </w:rPr>
            </w:pPr>
            <w:r>
              <w:rPr>
                <w:rFonts w:ascii="Arial" w:cs="Arial" w:eastAsia="Arial" w:hAnsi="Arial"/>
                <w:sz w:val="18"/>
                <w:szCs w:val="18"/>
                <w:color w:val="auto"/>
              </w:rPr>
              <w:t>(20,416)</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5"/>
          </w:tcPr>
          <w:p>
            <w:pPr>
              <w:jc w:val="right"/>
              <w:ind w:right="120"/>
              <w:spacing w:after="0"/>
              <w:rPr>
                <w:sz w:val="20"/>
                <w:szCs w:val="20"/>
                <w:color w:val="auto"/>
              </w:rPr>
            </w:pPr>
            <w:r>
              <w:rPr>
                <w:rFonts w:ascii="Arial" w:cs="Arial" w:eastAsia="Arial" w:hAnsi="Arial"/>
                <w:sz w:val="18"/>
                <w:szCs w:val="18"/>
                <w:color w:val="auto"/>
              </w:rPr>
              <w:t>(19,928)</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gridSpan w:val="7"/>
          </w:tcPr>
          <w:p>
            <w:pPr>
              <w:jc w:val="right"/>
              <w:ind w:right="340"/>
              <w:spacing w:after="0"/>
              <w:rPr>
                <w:sz w:val="20"/>
                <w:szCs w:val="20"/>
                <w:color w:val="auto"/>
              </w:rPr>
            </w:pPr>
            <w:r>
              <w:rPr>
                <w:rFonts w:ascii="Arial" w:cs="Arial" w:eastAsia="Arial" w:hAnsi="Arial"/>
                <w:sz w:val="18"/>
                <w:szCs w:val="18"/>
                <w:color w:val="auto"/>
              </w:rPr>
              <w:t>(46,910)</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w w:val="92"/>
              </w:rPr>
              <w:t>(42,692)</w:t>
            </w:r>
          </w:p>
        </w:tc>
      </w:tr>
      <w:tr>
        <w:trPr>
          <w:trHeight w:val="223"/>
        </w:trPr>
        <w:tc>
          <w:tcPr>
            <w:tcW w:w="386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93,170</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78,495</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109,975</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92,517</w:t>
            </w:r>
          </w:p>
        </w:tc>
        <w:tc>
          <w:tcPr>
            <w:tcW w:w="40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Condensed Consolidated Balance Sheets (Unaudited)</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(Dollars in thousands)</w:t>
      </w:r>
    </w:p>
    <w:p>
      <w:pPr>
        <w:spacing w:after="0" w:line="36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5"/>
              </w:rPr>
              <w:t>April 29,</w:t>
            </w:r>
          </w:p>
        </w:tc>
        <w:tc>
          <w:tcPr>
            <w:tcW w:w="4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5"/>
              </w:rPr>
              <w:t>April 30,</w:t>
            </w:r>
          </w:p>
        </w:tc>
        <w:tc>
          <w:tcPr>
            <w:tcW w:w="0" w:type="dxa"/>
            <w:vAlign w:val="bottom"/>
          </w:tcPr>
          <w:p>
            <w:pPr>
              <w:spacing w:after="0"/>
              <w:rPr>
                <w:sz w:val="1"/>
                <w:szCs w:val="1"/>
                <w:color w:val="auto"/>
              </w:rPr>
            </w:pPr>
          </w:p>
        </w:tc>
      </w:tr>
      <w:tr>
        <w:trPr>
          <w:trHeight w:val="234"/>
        </w:trPr>
        <w:tc>
          <w:tcPr>
            <w:tcW w:w="698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17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2005</w:t>
            </w:r>
          </w:p>
        </w:tc>
        <w:tc>
          <w:tcPr>
            <w:tcW w:w="460" w:type="dxa"/>
            <w:vAlign w:val="bottom"/>
          </w:tcPr>
          <w:p>
            <w:pPr>
              <w:spacing w:after="0"/>
              <w:rPr>
                <w:sz w:val="20"/>
                <w:szCs w:val="20"/>
                <w:color w:val="auto"/>
              </w:rPr>
            </w:pPr>
          </w:p>
        </w:tc>
        <w:tc>
          <w:tcPr>
            <w:tcW w:w="17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2004</w:t>
            </w:r>
          </w:p>
        </w:tc>
        <w:tc>
          <w:tcPr>
            <w:tcW w:w="0" w:type="dxa"/>
            <w:vAlign w:val="bottom"/>
          </w:tcPr>
          <w:p>
            <w:pPr>
              <w:spacing w:after="0"/>
              <w:rPr>
                <w:sz w:val="1"/>
                <w:szCs w:val="1"/>
                <w:color w:val="auto"/>
              </w:rPr>
            </w:pPr>
          </w:p>
        </w:tc>
      </w:tr>
      <w:tr>
        <w:trPr>
          <w:trHeight w:val="210"/>
        </w:trPr>
        <w:tc>
          <w:tcPr>
            <w:tcW w:w="6980" w:type="dxa"/>
            <w:vAlign w:val="bottom"/>
            <w:gridSpan w:val="3"/>
            <w:vMerge w:val="continue"/>
          </w:tcPr>
          <w:p>
            <w:pPr>
              <w:spacing w:after="0"/>
              <w:rPr>
                <w:sz w:val="18"/>
                <w:szCs w:val="18"/>
                <w:color w:val="auto"/>
              </w:rPr>
            </w:pPr>
          </w:p>
        </w:tc>
        <w:tc>
          <w:tcPr>
            <w:tcW w:w="1700" w:type="dxa"/>
            <w:vAlign w:val="bottom"/>
            <w:vMerge w:val="restart"/>
          </w:tcPr>
          <w:p>
            <w:pPr>
              <w:jc w:val="right"/>
              <w:ind w:right="390"/>
              <w:spacing w:after="0"/>
              <w:rPr>
                <w:sz w:val="20"/>
                <w:szCs w:val="20"/>
                <w:color w:val="auto"/>
              </w:rPr>
            </w:pPr>
            <w:r>
              <w:rPr>
                <w:rFonts w:ascii="Arial" w:cs="Arial" w:eastAsia="Arial" w:hAnsi="Arial"/>
                <w:sz w:val="18"/>
                <w:szCs w:val="18"/>
                <w:color w:val="auto"/>
              </w:rPr>
              <w:t>$   14,449</w:t>
            </w:r>
          </w:p>
        </w:tc>
        <w:tc>
          <w:tcPr>
            <w:tcW w:w="2160" w:type="dxa"/>
            <w:vAlign w:val="bottom"/>
            <w:gridSpan w:val="2"/>
            <w:vMerge w:val="restart"/>
          </w:tcPr>
          <w:p>
            <w:pPr>
              <w:jc w:val="right"/>
              <w:ind w:right="390"/>
              <w:spacing w:after="0"/>
              <w:rPr>
                <w:sz w:val="20"/>
                <w:szCs w:val="20"/>
                <w:color w:val="auto"/>
              </w:rPr>
            </w:pPr>
            <w:r>
              <w:rPr>
                <w:rFonts w:ascii="Arial" w:cs="Arial" w:eastAsia="Arial" w:hAnsi="Arial"/>
                <w:sz w:val="18"/>
                <w:szCs w:val="18"/>
                <w:color w:val="auto"/>
              </w:rPr>
              <w:t>$   31,825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2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Receivables, net</w:t>
            </w: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544,871</w:t>
            </w:r>
          </w:p>
        </w:tc>
        <w:tc>
          <w:tcPr>
            <w:tcW w:w="1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484,763</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256,926</w:t>
            </w:r>
          </w:p>
        </w:tc>
        <w:tc>
          <w:tcPr>
            <w:tcW w:w="1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238,472</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13,476</w:t>
            </w:r>
          </w:p>
        </w:tc>
        <w:tc>
          <w:tcPr>
            <w:tcW w:w="1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13,422</w:t>
            </w:r>
          </w:p>
        </w:tc>
        <w:tc>
          <w:tcPr>
            <w:tcW w:w="0" w:type="dxa"/>
            <w:vAlign w:val="bottom"/>
          </w:tcPr>
          <w:p>
            <w:pPr>
              <w:spacing w:after="0"/>
              <w:rPr>
                <w:sz w:val="1"/>
                <w:szCs w:val="1"/>
                <w:color w:val="auto"/>
              </w:rPr>
            </w:pPr>
          </w:p>
        </w:tc>
      </w:t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96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56,265</w:t>
            </w:r>
          </w:p>
        </w:tc>
        <w:tc>
          <w:tcPr>
            <w:tcW w:w="144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Total current assets</w:t>
            </w:r>
          </w:p>
        </w:tc>
        <w:tc>
          <w:tcPr>
            <w:tcW w:w="9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885,987</w:t>
            </w:r>
          </w:p>
        </w:tc>
        <w:tc>
          <w:tcPr>
            <w:tcW w:w="14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812,738</w:t>
            </w:r>
          </w:p>
        </w:tc>
        <w:tc>
          <w:tcPr>
            <w:tcW w:w="0" w:type="dxa"/>
            <w:vAlign w:val="bottom"/>
          </w:tcPr>
          <w:p>
            <w:pPr>
              <w:spacing w:after="0"/>
              <w:rPr>
                <w:sz w:val="1"/>
                <w:szCs w:val="1"/>
                <w:color w:val="auto"/>
              </w:rPr>
            </w:pPr>
          </w:p>
        </w:tc>
      </w:tr>
      <w:tr>
        <w:trPr>
          <w:trHeight w:val="209"/>
        </w:trPr>
        <w:tc>
          <w:tcPr>
            <w:tcW w:w="652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170,334</w:t>
            </w:r>
          </w:p>
        </w:tc>
        <w:tc>
          <w:tcPr>
            <w:tcW w:w="1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163,097</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c>
          <w:tcPr>
            <w:tcW w:w="1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Goodwill and other assets</w:t>
            </w:r>
          </w:p>
        </w:tc>
        <w:tc>
          <w:tcPr>
            <w:tcW w:w="96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105,517</w:t>
            </w:r>
          </w:p>
        </w:tc>
        <w:tc>
          <w:tcPr>
            <w:tcW w:w="144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1,161,877</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1,076,663</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9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gridSpan w:val="2"/>
            <w:vMerge w:val="continue"/>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Current portion of long-term debt</w:t>
            </w:r>
          </w:p>
        </w:tc>
        <w:tc>
          <w:tcPr>
            <w:tcW w:w="96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Short-term debt</w:t>
            </w: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151,137</w:t>
            </w:r>
          </w:p>
        </w:tc>
        <w:tc>
          <w:tcPr>
            <w:tcW w:w="1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29,991</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114,915</w:t>
            </w:r>
          </w:p>
        </w:tc>
        <w:tc>
          <w:tcPr>
            <w:tcW w:w="1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96,636</w:t>
            </w:r>
          </w:p>
        </w:tc>
        <w:tc>
          <w:tcPr>
            <w:tcW w:w="0" w:type="dxa"/>
            <w:vAlign w:val="bottom"/>
          </w:tcPr>
          <w:p>
            <w:pPr>
              <w:spacing w:after="0"/>
              <w:rPr>
                <w:sz w:val="1"/>
                <w:szCs w:val="1"/>
                <w:color w:val="auto"/>
              </w:rPr>
            </w:pPr>
          </w:p>
        </w:tc>
      </w:t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Accrued liabilities</w:t>
            </w:r>
          </w:p>
        </w:tc>
        <w:tc>
          <w:tcPr>
            <w:tcW w:w="96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293,333</w:t>
            </w:r>
          </w:p>
        </w:tc>
        <w:tc>
          <w:tcPr>
            <w:tcW w:w="144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Total current liabilities</w:t>
            </w:r>
          </w:p>
        </w:tc>
        <w:tc>
          <w:tcPr>
            <w:tcW w:w="9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559,430</w:t>
            </w:r>
          </w:p>
        </w:tc>
        <w:tc>
          <w:tcPr>
            <w:tcW w:w="14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387,011</w:t>
            </w:r>
          </w:p>
        </w:tc>
        <w:tc>
          <w:tcPr>
            <w:tcW w:w="0" w:type="dxa"/>
            <w:vAlign w:val="bottom"/>
          </w:tcPr>
          <w:p>
            <w:pPr>
              <w:spacing w:after="0"/>
              <w:rPr>
                <w:sz w:val="1"/>
                <w:szCs w:val="1"/>
                <w:color w:val="auto"/>
              </w:rPr>
            </w:pPr>
          </w:p>
        </w:tc>
      </w:tr>
      <w:tr>
        <w:trPr>
          <w:trHeight w:val="209"/>
        </w:trPr>
        <w:tc>
          <w:tcPr>
            <w:tcW w:w="652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175,024</w:t>
            </w:r>
          </w:p>
        </w:tc>
        <w:tc>
          <w:tcPr>
            <w:tcW w:w="1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175,069</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Long-term deferred income taxes</w:t>
            </w: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3,837</w:t>
            </w:r>
          </w:p>
        </w:tc>
        <w:tc>
          <w:tcPr>
            <w:tcW w:w="1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Deferred revenue and other long-term liabilities</w:t>
            </w: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13,065</w:t>
            </w:r>
          </w:p>
        </w:tc>
        <w:tc>
          <w:tcPr>
            <w:tcW w:w="1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12,228</w:t>
            </w:r>
          </w:p>
        </w:tc>
        <w:tc>
          <w:tcPr>
            <w:tcW w:w="0" w:type="dxa"/>
            <w:vAlign w:val="bottom"/>
          </w:tcPr>
          <w:p>
            <w:pPr>
              <w:spacing w:after="0"/>
              <w:rPr>
                <w:sz w:val="1"/>
                <w:szCs w:val="1"/>
                <w:color w:val="auto"/>
              </w:rPr>
            </w:pPr>
          </w:p>
        </w:tc>
      </w:t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96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410,521</w:t>
            </w:r>
          </w:p>
        </w:tc>
        <w:tc>
          <w:tcPr>
            <w:tcW w:w="144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502,355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Total liabilities and stockholders’ equity</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1,161,877</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1,076,663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THE TORO COMPANY AND SUBSIDIARIES</w:t>
      </w:r>
    </w:p>
    <w:p>
      <w:pPr>
        <w:spacing w:after="0" w:line="206" w:lineRule="exact"/>
        <w:rPr>
          <w:sz w:val="20"/>
          <w:szCs w:val="20"/>
          <w:color w:val="auto"/>
        </w:rPr>
      </w:pPr>
    </w:p>
    <w:p>
      <w:pPr>
        <w:ind w:left="2480"/>
        <w:spacing w:after="0"/>
        <w:rPr>
          <w:sz w:val="20"/>
          <w:szCs w:val="20"/>
          <w:color w:val="auto"/>
        </w:rPr>
      </w:pPr>
      <w:r>
        <w:rPr>
          <w:rFonts w:ascii="Arial" w:cs="Arial" w:eastAsia="Arial" w:hAnsi="Arial"/>
          <w:sz w:val="22"/>
          <w:szCs w:val="22"/>
          <w:b w:val="1"/>
          <w:bCs w:val="1"/>
          <w:color w:val="auto"/>
        </w:rPr>
        <w:t>Condensed Consolidated Statements of Cash Flows (Unaudited)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(Dollars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7"/>
          </w:tcPr>
          <w:p>
            <w:pPr>
              <w:jc w:val="right"/>
              <w:ind w:right="10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91"/>
        </w:trPr>
        <w:tc>
          <w:tcPr>
            <w:tcW w:w="7280" w:type="dxa"/>
            <w:vAlign w:val="bottom"/>
          </w:tcPr>
          <w:p>
            <w:pPr>
              <w:spacing w:after="0"/>
              <w:rPr>
                <w:sz w:val="16"/>
                <w:szCs w:val="16"/>
                <w:color w:val="auto"/>
              </w:rPr>
            </w:pPr>
          </w:p>
        </w:tc>
        <w:tc>
          <w:tcPr>
            <w:tcW w:w="1620" w:type="dxa"/>
            <w:vAlign w:val="bottom"/>
            <w:gridSpan w:val="5"/>
          </w:tcPr>
          <w:p>
            <w:pPr>
              <w:jc w:val="right"/>
              <w:ind w:right="440"/>
              <w:spacing w:after="0" w:line="191" w:lineRule="exact"/>
              <w:rPr>
                <w:sz w:val="20"/>
                <w:szCs w:val="20"/>
                <w:color w:val="auto"/>
              </w:rPr>
            </w:pPr>
            <w:r>
              <w:rPr>
                <w:rFonts w:ascii="Arial" w:cs="Arial" w:eastAsia="Arial" w:hAnsi="Arial"/>
                <w:sz w:val="18"/>
                <w:szCs w:val="18"/>
                <w:b w:val="1"/>
                <w:bCs w:val="1"/>
                <w:color w:val="auto"/>
              </w:rPr>
              <w:t>April 29,</w:t>
            </w:r>
          </w:p>
        </w:tc>
        <w:tc>
          <w:tcPr>
            <w:tcW w:w="300" w:type="dxa"/>
            <w:vAlign w:val="bottom"/>
          </w:tcPr>
          <w:p>
            <w:pPr>
              <w:spacing w:after="0"/>
              <w:rPr>
                <w:sz w:val="16"/>
                <w:szCs w:val="16"/>
                <w:color w:val="auto"/>
              </w:rPr>
            </w:pPr>
          </w:p>
        </w:tc>
        <w:tc>
          <w:tcPr>
            <w:tcW w:w="1640" w:type="dxa"/>
            <w:vAlign w:val="bottom"/>
            <w:gridSpan w:val="3"/>
          </w:tcPr>
          <w:p>
            <w:pPr>
              <w:jc w:val="right"/>
              <w:ind w:right="440"/>
              <w:spacing w:after="0" w:line="191" w:lineRule="exact"/>
              <w:rPr>
                <w:sz w:val="20"/>
                <w:szCs w:val="20"/>
                <w:color w:val="auto"/>
              </w:rPr>
            </w:pPr>
            <w:r>
              <w:rPr>
                <w:rFonts w:ascii="Arial" w:cs="Arial" w:eastAsia="Arial" w:hAnsi="Arial"/>
                <w:sz w:val="18"/>
                <w:szCs w:val="18"/>
                <w:b w:val="1"/>
                <w:bCs w:val="1"/>
                <w:color w:val="auto"/>
              </w:rPr>
              <w:t>April 30,</w:t>
            </w:r>
          </w:p>
        </w:tc>
        <w:tc>
          <w:tcPr>
            <w:tcW w:w="0" w:type="dxa"/>
            <w:vAlign w:val="bottom"/>
          </w:tcPr>
          <w:p>
            <w:pPr>
              <w:spacing w:after="0"/>
              <w:rPr>
                <w:sz w:val="1"/>
                <w:szCs w:val="1"/>
                <w:color w:val="auto"/>
              </w:rPr>
            </w:pPr>
          </w:p>
        </w:tc>
      </w:tr>
      <w:tr>
        <w:trPr>
          <w:trHeight w:val="234"/>
        </w:trPr>
        <w:tc>
          <w:tcPr>
            <w:tcW w:w="728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4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2005</w:t>
            </w: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2004</w:t>
            </w:r>
          </w:p>
        </w:tc>
        <w:tc>
          <w:tcPr>
            <w:tcW w:w="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2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Net earnings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73,134</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61,524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Adjustments to reconcile net earnings to net cash used in operating activities:</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Non-cash asset impairment recovery</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Equity losses from an investment</w:t>
            </w:r>
          </w:p>
        </w:tc>
        <w:tc>
          <w:tcPr>
            <w:tcW w:w="4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302</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Provision for depreciation and amortization</w:t>
            </w:r>
          </w:p>
        </w:tc>
        <w:tc>
          <w:tcPr>
            <w:tcW w:w="4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18,592</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17,052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Gain on disposal of property, plant, and equipment</w:t>
            </w:r>
          </w:p>
        </w:tc>
        <w:tc>
          <w:tcPr>
            <w:tcW w:w="480" w:type="dxa"/>
            <w:vAlign w:val="bottom"/>
          </w:tcPr>
          <w:p>
            <w:pPr>
              <w:spacing w:after="0"/>
              <w:rPr>
                <w:sz w:val="18"/>
                <w:szCs w:val="18"/>
                <w:color w:val="auto"/>
              </w:rPr>
            </w:pPr>
          </w:p>
        </w:tc>
        <w:tc>
          <w:tcPr>
            <w:tcW w:w="1140" w:type="dxa"/>
            <w:vAlign w:val="bottom"/>
            <w:gridSpan w:val="4"/>
          </w:tcPr>
          <w:p>
            <w:pPr>
              <w:jc w:val="right"/>
              <w:ind w:right="380"/>
              <w:spacing w:after="0"/>
              <w:rPr>
                <w:sz w:val="20"/>
                <w:szCs w:val="20"/>
                <w:color w:val="auto"/>
              </w:rPr>
            </w:pPr>
            <w:r>
              <w:rPr>
                <w:rFonts w:ascii="Arial" w:cs="Arial" w:eastAsia="Arial" w:hAnsi="Arial"/>
                <w:sz w:val="18"/>
                <w:szCs w:val="18"/>
                <w:color w:val="auto"/>
              </w:rPr>
              <w:t>(242)</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4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4,819</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4,317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Increase in deferred income taxes</w:t>
            </w:r>
          </w:p>
        </w:tc>
        <w:tc>
          <w:tcPr>
            <w:tcW w:w="480" w:type="dxa"/>
            <w:vAlign w:val="bottom"/>
          </w:tcPr>
          <w:p>
            <w:pPr>
              <w:spacing w:after="0"/>
              <w:rPr>
                <w:sz w:val="18"/>
                <w:szCs w:val="18"/>
                <w:color w:val="auto"/>
              </w:rPr>
            </w:pPr>
          </w:p>
        </w:tc>
        <w:tc>
          <w:tcPr>
            <w:tcW w:w="1140" w:type="dxa"/>
            <w:vAlign w:val="bottom"/>
            <w:gridSpan w:val="4"/>
          </w:tcPr>
          <w:p>
            <w:pPr>
              <w:jc w:val="right"/>
              <w:ind w:right="380"/>
              <w:spacing w:after="0"/>
              <w:rPr>
                <w:sz w:val="20"/>
                <w:szCs w:val="20"/>
                <w:color w:val="auto"/>
              </w:rPr>
            </w:pPr>
            <w:r>
              <w:rPr>
                <w:rFonts w:ascii="Arial" w:cs="Arial" w:eastAsia="Arial" w:hAnsi="Arial"/>
                <w:sz w:val="18"/>
                <w:szCs w:val="18"/>
                <w:color w:val="auto"/>
              </w:rPr>
              <w:t>(11,792)</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260"/>
              <w:spacing w:after="0"/>
              <w:rPr>
                <w:sz w:val="20"/>
                <w:szCs w:val="20"/>
                <w:color w:val="auto"/>
              </w:rPr>
            </w:pPr>
            <w:r>
              <w:rPr>
                <w:rFonts w:ascii="Arial" w:cs="Arial" w:eastAsia="Arial" w:hAnsi="Arial"/>
                <w:sz w:val="18"/>
                <w:szCs w:val="18"/>
                <w:color w:val="auto"/>
              </w:rPr>
              <w:t>Receivables, net</w:t>
            </w:r>
          </w:p>
        </w:tc>
        <w:tc>
          <w:tcPr>
            <w:tcW w:w="480" w:type="dxa"/>
            <w:vAlign w:val="bottom"/>
          </w:tcPr>
          <w:p>
            <w:pPr>
              <w:spacing w:after="0"/>
              <w:rPr>
                <w:sz w:val="18"/>
                <w:szCs w:val="18"/>
                <w:color w:val="auto"/>
              </w:rPr>
            </w:pPr>
          </w:p>
        </w:tc>
        <w:tc>
          <w:tcPr>
            <w:tcW w:w="1140" w:type="dxa"/>
            <w:vAlign w:val="bottom"/>
            <w:gridSpan w:val="4"/>
          </w:tcPr>
          <w:p>
            <w:pPr>
              <w:jc w:val="right"/>
              <w:ind w:right="380"/>
              <w:spacing w:after="0"/>
              <w:rPr>
                <w:sz w:val="20"/>
                <w:szCs w:val="20"/>
                <w:color w:val="auto"/>
              </w:rPr>
            </w:pPr>
            <w:r>
              <w:rPr>
                <w:rFonts w:ascii="Arial" w:cs="Arial" w:eastAsia="Arial" w:hAnsi="Arial"/>
                <w:sz w:val="18"/>
                <w:szCs w:val="18"/>
                <w:color w:val="auto"/>
                <w:w w:val="90"/>
              </w:rPr>
              <w:t>(238,162)</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(211,449)</w:t>
            </w:r>
          </w:p>
        </w:tc>
        <w:tc>
          <w:tcPr>
            <w:tcW w:w="0" w:type="dxa"/>
            <w:vAlign w:val="bottom"/>
          </w:tcPr>
          <w:p>
            <w:pPr>
              <w:spacing w:after="0"/>
              <w:rPr>
                <w:sz w:val="1"/>
                <w:szCs w:val="1"/>
                <w:color w:val="auto"/>
              </w:rPr>
            </w:pPr>
          </w:p>
        </w:tc>
      </w:tr>
      <w:tr>
        <w:trPr>
          <w:trHeight w:val="216"/>
        </w:trPr>
        <w:tc>
          <w:tcPr>
            <w:tcW w:w="7280" w:type="dxa"/>
            <w:vAlign w:val="bottom"/>
          </w:tcPr>
          <w:p>
            <w:pPr>
              <w:ind w:left="260"/>
              <w:spacing w:after="0"/>
              <w:rPr>
                <w:sz w:val="20"/>
                <w:szCs w:val="20"/>
                <w:color w:val="auto"/>
              </w:rPr>
            </w:pPr>
            <w:r>
              <w:rPr>
                <w:rFonts w:ascii="Arial" w:cs="Arial" w:eastAsia="Arial" w:hAnsi="Arial"/>
                <w:sz w:val="18"/>
                <w:szCs w:val="18"/>
                <w:color w:val="auto"/>
              </w:rPr>
              <w:t>Inventories, net</w:t>
            </w:r>
          </w:p>
        </w:tc>
        <w:tc>
          <w:tcPr>
            <w:tcW w:w="480" w:type="dxa"/>
            <w:vAlign w:val="bottom"/>
          </w:tcPr>
          <w:p>
            <w:pPr>
              <w:spacing w:after="0"/>
              <w:rPr>
                <w:sz w:val="18"/>
                <w:szCs w:val="18"/>
                <w:color w:val="auto"/>
              </w:rPr>
            </w:pPr>
          </w:p>
        </w:tc>
        <w:tc>
          <w:tcPr>
            <w:tcW w:w="1140" w:type="dxa"/>
            <w:vAlign w:val="bottom"/>
            <w:gridSpan w:val="4"/>
          </w:tcPr>
          <w:p>
            <w:pPr>
              <w:jc w:val="right"/>
              <w:ind w:right="380"/>
              <w:spacing w:after="0"/>
              <w:rPr>
                <w:sz w:val="20"/>
                <w:szCs w:val="20"/>
                <w:color w:val="auto"/>
              </w:rPr>
            </w:pPr>
            <w:r>
              <w:rPr>
                <w:rFonts w:ascii="Arial" w:cs="Arial" w:eastAsia="Arial" w:hAnsi="Arial"/>
                <w:sz w:val="18"/>
                <w:szCs w:val="18"/>
                <w:color w:val="auto"/>
              </w:rPr>
              <w:t>(20,248)</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(8,937)</w:t>
            </w:r>
          </w:p>
        </w:tc>
        <w:tc>
          <w:tcPr>
            <w:tcW w:w="0" w:type="dxa"/>
            <w:vAlign w:val="bottom"/>
          </w:tcPr>
          <w:p>
            <w:pPr>
              <w:spacing w:after="0"/>
              <w:rPr>
                <w:sz w:val="1"/>
                <w:szCs w:val="1"/>
                <w:color w:val="auto"/>
              </w:rPr>
            </w:pPr>
          </w:p>
        </w:tc>
      </w:tr>
      <w:tr>
        <w:trPr>
          <w:trHeight w:val="216"/>
        </w:trPr>
        <w:tc>
          <w:tcPr>
            <w:tcW w:w="728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4,189</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rPr>
              <w:t>Accounts payable, accrued expenses, and deferred revenue</w:t>
            </w:r>
          </w:p>
        </w:tc>
        <w:tc>
          <w:tcPr>
            <w:tcW w:w="48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81,000</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75,888</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400"/>
              <w:spacing w:after="0"/>
              <w:rPr>
                <w:sz w:val="20"/>
                <w:szCs w:val="20"/>
                <w:color w:val="auto"/>
              </w:rPr>
            </w:pPr>
            <w:r>
              <w:rPr>
                <w:rFonts w:ascii="Arial" w:cs="Arial" w:eastAsia="Arial" w:hAnsi="Arial"/>
                <w:sz w:val="18"/>
                <w:szCs w:val="18"/>
                <w:color w:val="auto"/>
              </w:rPr>
              <w:t>Net cash used in operating activities</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(88,408</w:t>
            </w:r>
          </w:p>
        </w:tc>
        <w:tc>
          <w:tcPr>
            <w:tcW w:w="460" w:type="dxa"/>
            <w:vAlign w:val="bottom"/>
          </w:tcPr>
          <w:p>
            <w:pPr>
              <w:jc w:val="right"/>
              <w:ind w:right="380"/>
              <w:spacing w:after="0"/>
              <w:rPr>
                <w:sz w:val="20"/>
                <w:szCs w:val="20"/>
                <w:color w:val="auto"/>
              </w:rPr>
            </w:pPr>
            <w:r>
              <w:rPr>
                <w:rFonts w:ascii="Arial" w:cs="Arial" w:eastAsia="Arial" w:hAnsi="Arial"/>
                <w:sz w:val="8"/>
                <w:szCs w:val="8"/>
                <w:color w:val="auto"/>
                <w:w w:val="73"/>
              </w:rPr>
              <w:t>)</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(63,047</w:t>
            </w:r>
          </w:p>
        </w:tc>
        <w:tc>
          <w:tcPr>
            <w:tcW w:w="480" w:type="dxa"/>
            <w:vAlign w:val="bottom"/>
          </w:tcPr>
          <w:p>
            <w:pPr>
              <w:jc w:val="right"/>
              <w:ind w:right="40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9"/>
        </w:trPr>
        <w:tc>
          <w:tcPr>
            <w:tcW w:w="72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Purchases of property, plant, and equipment</w:t>
            </w:r>
          </w:p>
        </w:tc>
        <w:tc>
          <w:tcPr>
            <w:tcW w:w="480" w:type="dxa"/>
            <w:vAlign w:val="bottom"/>
          </w:tcPr>
          <w:p>
            <w:pPr>
              <w:spacing w:after="0"/>
              <w:rPr>
                <w:sz w:val="18"/>
                <w:szCs w:val="18"/>
                <w:color w:val="auto"/>
              </w:rPr>
            </w:pPr>
          </w:p>
        </w:tc>
        <w:tc>
          <w:tcPr>
            <w:tcW w:w="1140" w:type="dxa"/>
            <w:vAlign w:val="bottom"/>
            <w:gridSpan w:val="4"/>
          </w:tcPr>
          <w:p>
            <w:pPr>
              <w:jc w:val="right"/>
              <w:ind w:right="380"/>
              <w:spacing w:after="0"/>
              <w:rPr>
                <w:sz w:val="20"/>
                <w:szCs w:val="20"/>
                <w:color w:val="auto"/>
              </w:rPr>
            </w:pPr>
            <w:r>
              <w:rPr>
                <w:rFonts w:ascii="Arial" w:cs="Arial" w:eastAsia="Arial" w:hAnsi="Arial"/>
                <w:sz w:val="18"/>
                <w:szCs w:val="18"/>
                <w:color w:val="auto"/>
              </w:rPr>
              <w:t>(15,106)</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(21,356)</w:t>
            </w: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Proceeds from disposal of property, plant, and equipment</w:t>
            </w:r>
          </w:p>
        </w:tc>
        <w:tc>
          <w:tcPr>
            <w:tcW w:w="4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2,351</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Increase in investment in affiliates</w:t>
            </w:r>
          </w:p>
        </w:tc>
        <w:tc>
          <w:tcPr>
            <w:tcW w:w="480" w:type="dxa"/>
            <w:vAlign w:val="bottom"/>
          </w:tcPr>
          <w:p>
            <w:pPr>
              <w:spacing w:after="0"/>
              <w:rPr>
                <w:sz w:val="18"/>
                <w:szCs w:val="18"/>
                <w:color w:val="auto"/>
              </w:rPr>
            </w:pPr>
          </w:p>
        </w:tc>
        <w:tc>
          <w:tcPr>
            <w:tcW w:w="1140" w:type="dxa"/>
            <w:vAlign w:val="bottom"/>
            <w:gridSpan w:val="4"/>
          </w:tcPr>
          <w:p>
            <w:pPr>
              <w:jc w:val="right"/>
              <w:ind w:right="380"/>
              <w:spacing w:after="0"/>
              <w:rPr>
                <w:sz w:val="20"/>
                <w:szCs w:val="20"/>
                <w:color w:val="auto"/>
              </w:rPr>
            </w:pPr>
            <w:r>
              <w:rPr>
                <w:rFonts w:ascii="Arial" w:cs="Arial" w:eastAsia="Arial" w:hAnsi="Arial"/>
                <w:sz w:val="18"/>
                <w:szCs w:val="18"/>
                <w:color w:val="auto"/>
              </w:rPr>
              <w:t>(197)</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Increase in other assets</w:t>
            </w:r>
          </w:p>
        </w:tc>
        <w:tc>
          <w:tcPr>
            <w:tcW w:w="480" w:type="dxa"/>
            <w:vAlign w:val="bottom"/>
          </w:tcPr>
          <w:p>
            <w:pPr>
              <w:spacing w:after="0"/>
              <w:rPr>
                <w:sz w:val="18"/>
                <w:szCs w:val="18"/>
                <w:color w:val="auto"/>
              </w:rPr>
            </w:pPr>
          </w:p>
        </w:tc>
        <w:tc>
          <w:tcPr>
            <w:tcW w:w="1140" w:type="dxa"/>
            <w:vAlign w:val="bottom"/>
            <w:gridSpan w:val="4"/>
          </w:tcPr>
          <w:p>
            <w:pPr>
              <w:jc w:val="right"/>
              <w:ind w:right="380"/>
              <w:spacing w:after="0"/>
              <w:rPr>
                <w:sz w:val="20"/>
                <w:szCs w:val="20"/>
                <w:color w:val="auto"/>
              </w:rPr>
            </w:pPr>
            <w:r>
              <w:rPr>
                <w:rFonts w:ascii="Arial" w:cs="Arial" w:eastAsia="Arial" w:hAnsi="Arial"/>
                <w:sz w:val="18"/>
                <w:szCs w:val="18"/>
                <w:color w:val="auto"/>
              </w:rPr>
              <w:t>(538)</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Proceeds from sale of a business</w:t>
            </w:r>
          </w:p>
        </w:tc>
        <w:tc>
          <w:tcPr>
            <w:tcW w:w="4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765</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Acquisition, net of cash acquired</w:t>
            </w:r>
          </w:p>
        </w:tc>
        <w:tc>
          <w:tcPr>
            <w:tcW w:w="480" w:type="dxa"/>
            <w:vAlign w:val="bottom"/>
          </w:tcPr>
          <w:p>
            <w:pPr>
              <w:spacing w:after="0"/>
              <w:rPr>
                <w:sz w:val="20"/>
                <w:szCs w:val="20"/>
                <w:color w:val="auto"/>
              </w:rPr>
            </w:pPr>
          </w:p>
        </w:tc>
        <w:tc>
          <w:tcPr>
            <w:tcW w:w="1140" w:type="dxa"/>
            <w:vAlign w:val="bottom"/>
            <w:gridSpan w:val="4"/>
          </w:tcPr>
          <w:p>
            <w:pPr>
              <w:jc w:val="right"/>
              <w:ind w:right="380"/>
              <w:spacing w:after="0"/>
              <w:rPr>
                <w:sz w:val="20"/>
                <w:szCs w:val="20"/>
                <w:color w:val="auto"/>
              </w:rPr>
            </w:pPr>
            <w:r>
              <w:rPr>
                <w:rFonts w:ascii="Arial" w:cs="Arial" w:eastAsia="Arial" w:hAnsi="Arial"/>
                <w:sz w:val="18"/>
                <w:szCs w:val="18"/>
                <w:color w:val="auto"/>
              </w:rPr>
              <w:t>(35,285)</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80" w:type="dxa"/>
            <w:vAlign w:val="bottom"/>
          </w:tcPr>
          <w:p>
            <w:pPr>
              <w:ind w:left="400"/>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(48,010</w:t>
            </w:r>
          </w:p>
        </w:tc>
        <w:tc>
          <w:tcPr>
            <w:tcW w:w="480" w:type="dxa"/>
            <w:vAlign w:val="bottom"/>
            <w:gridSpan w:val="2"/>
          </w:tcPr>
          <w:p>
            <w:pPr>
              <w:jc w:val="right"/>
              <w:ind w:right="38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(21,050</w:t>
            </w:r>
          </w:p>
        </w:tc>
        <w:tc>
          <w:tcPr>
            <w:tcW w:w="480" w:type="dxa"/>
            <w:vAlign w:val="bottom"/>
          </w:tcPr>
          <w:p>
            <w:pPr>
              <w:jc w:val="right"/>
              <w:ind w:right="40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9"/>
        </w:trPr>
        <w:tc>
          <w:tcPr>
            <w:tcW w:w="72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Increase in short-term debt</w:t>
            </w:r>
          </w:p>
        </w:tc>
        <w:tc>
          <w:tcPr>
            <w:tcW w:w="4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8"/>
              </w:rPr>
              <w:t>150,007</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27,815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Repayments of long-term debt</w:t>
            </w:r>
          </w:p>
        </w:tc>
        <w:tc>
          <w:tcPr>
            <w:tcW w:w="480" w:type="dxa"/>
            <w:vAlign w:val="bottom"/>
          </w:tcPr>
          <w:p>
            <w:pPr>
              <w:spacing w:after="0"/>
              <w:rPr>
                <w:sz w:val="18"/>
                <w:szCs w:val="18"/>
                <w:color w:val="auto"/>
              </w:rPr>
            </w:pPr>
          </w:p>
        </w:tc>
        <w:tc>
          <w:tcPr>
            <w:tcW w:w="1140" w:type="dxa"/>
            <w:vAlign w:val="bottom"/>
            <w:gridSpan w:val="4"/>
          </w:tcPr>
          <w:p>
            <w:pPr>
              <w:jc w:val="right"/>
              <w:ind w:right="38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(3,627)</w:t>
            </w: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Excess tax benefits from share-based arrangements</w:t>
            </w:r>
          </w:p>
        </w:tc>
        <w:tc>
          <w:tcPr>
            <w:tcW w:w="4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4,015</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2,927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4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5,631</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5,709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Purchases of Toro common stock</w:t>
            </w:r>
          </w:p>
        </w:tc>
        <w:tc>
          <w:tcPr>
            <w:tcW w:w="480" w:type="dxa"/>
            <w:vAlign w:val="bottom"/>
          </w:tcPr>
          <w:p>
            <w:pPr>
              <w:spacing w:after="0"/>
              <w:rPr>
                <w:sz w:val="18"/>
                <w:szCs w:val="18"/>
                <w:color w:val="auto"/>
              </w:rPr>
            </w:pPr>
          </w:p>
        </w:tc>
        <w:tc>
          <w:tcPr>
            <w:tcW w:w="1140" w:type="dxa"/>
            <w:vAlign w:val="bottom"/>
            <w:gridSpan w:val="4"/>
          </w:tcPr>
          <w:p>
            <w:pPr>
              <w:jc w:val="right"/>
              <w:ind w:right="380"/>
              <w:spacing w:after="0"/>
              <w:rPr>
                <w:sz w:val="20"/>
                <w:szCs w:val="20"/>
                <w:color w:val="auto"/>
              </w:rPr>
            </w:pPr>
            <w:r>
              <w:rPr>
                <w:rFonts w:ascii="Arial" w:cs="Arial" w:eastAsia="Arial" w:hAnsi="Arial"/>
                <w:sz w:val="18"/>
                <w:szCs w:val="18"/>
                <w:color w:val="auto"/>
              </w:rPr>
              <w:t>(94,029)</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Dividends paid on Toro common stock</w:t>
            </w:r>
          </w:p>
        </w:tc>
        <w:tc>
          <w:tcPr>
            <w:tcW w:w="480" w:type="dxa"/>
            <w:vAlign w:val="bottom"/>
          </w:tcPr>
          <w:p>
            <w:pPr>
              <w:spacing w:after="0"/>
              <w:rPr>
                <w:sz w:val="20"/>
                <w:szCs w:val="20"/>
                <w:color w:val="auto"/>
              </w:rPr>
            </w:pPr>
          </w:p>
        </w:tc>
        <w:tc>
          <w:tcPr>
            <w:tcW w:w="1140" w:type="dxa"/>
            <w:vAlign w:val="bottom"/>
            <w:gridSpan w:val="4"/>
          </w:tcPr>
          <w:p>
            <w:pPr>
              <w:jc w:val="right"/>
              <w:ind w:right="380"/>
              <w:spacing w:after="0"/>
              <w:rPr>
                <w:sz w:val="20"/>
                <w:szCs w:val="20"/>
                <w:color w:val="auto"/>
              </w:rPr>
            </w:pPr>
            <w:r>
              <w:rPr>
                <w:rFonts w:ascii="Arial" w:cs="Arial" w:eastAsia="Arial" w:hAnsi="Arial"/>
                <w:sz w:val="18"/>
                <w:szCs w:val="18"/>
                <w:color w:val="auto"/>
              </w:rPr>
              <w:t>(5,482)</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23"/>
        </w:trPr>
        <w:tc>
          <w:tcPr>
            <w:tcW w:w="7280" w:type="dxa"/>
            <w:vAlign w:val="bottom"/>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60,120</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5,961</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(326)</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28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2"/>
              </w:rPr>
              <w:t>(76,307)</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(78,462)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Cash and cash equivalents as of the beginning of the period</w:t>
            </w:r>
          </w:p>
        </w:tc>
        <w:tc>
          <w:tcPr>
            <w:tcW w:w="48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90,756</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110,287</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Cash and cash equivalents as of the end of the period</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14,449</w:t>
            </w:r>
          </w:p>
        </w:tc>
        <w:tc>
          <w:tcPr>
            <w:tcW w:w="4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31,825</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840"/>
      </w:cols>
      <w:pgMar w:left="540" w:top="12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2019-12-13T13:36:00Z</dcterms:created>
  <dcterms:modified xsi:type="dcterms:W3CDTF">2019-12-13T13:36:00Z</dcterms:modified>
</cp:coreProperties>
</file>