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DAHL AMY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VP, HR &amp; Distributor Devel.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12/06/2018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rPr>
              <w:t>5,901</w:t>
            </w:r>
            <w:r>
              <w:rPr>
                <w:rFonts w:ascii="Arial" w:cs="Arial" w:eastAsia="Arial" w:hAnsi="Arial"/>
                <w:sz w:val="22"/>
                <w:szCs w:val="22"/>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13,685.261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right"/>
              <w:ind w:right="89"/>
              <w:spacing w:after="0"/>
              <w:rPr>
                <w:sz w:val="20"/>
                <w:szCs w:val="20"/>
                <w:color w:val="auto"/>
              </w:rPr>
            </w:pPr>
            <w:r>
              <w:rPr>
                <w:rFonts w:ascii="Arial" w:cs="Arial" w:eastAsia="Arial" w:hAnsi="Arial"/>
                <w:sz w:val="17"/>
                <w:szCs w:val="17"/>
                <w:color w:val="0000FF"/>
              </w:rPr>
              <w:t>12/06/2018</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800" w:type="dxa"/>
            <w:vAlign w:val="bottom"/>
          </w:tcPr>
          <w:p>
            <w:pPr>
              <w:jc w:val="right"/>
              <w:ind w:right="111"/>
              <w:spacing w:after="0"/>
              <w:rPr>
                <w:sz w:val="20"/>
                <w:szCs w:val="20"/>
                <w:color w:val="auto"/>
              </w:rPr>
            </w:pPr>
            <w:r>
              <w:rPr>
                <w:rFonts w:ascii="Arial" w:cs="Arial" w:eastAsia="Arial" w:hAnsi="Arial"/>
                <w:sz w:val="17"/>
                <w:szCs w:val="17"/>
                <w:color w:val="0000FF"/>
              </w:rPr>
              <w:t>1,806</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11,879.261</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3,378.777</w:t>
            </w:r>
            <w:r>
              <w:rPr>
                <w:rFonts w:ascii="Arial" w:cs="Arial" w:eastAsia="Arial" w:hAnsi="Arial"/>
                <w:sz w:val="22"/>
                <w:szCs w:val="22"/>
                <w:color w:val="008000"/>
                <w:w w:val="87"/>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12/07/2018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16,200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12/07/2028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16,200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16,200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11.712 net shares of common stock acquired by the reporting person since the date of her last report under the dividend reinvestment feature of and revenue credit allocations in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2019-12-23T21:16:18Z</dcterms:created>
  <dcterms:modified xsi:type="dcterms:W3CDTF">2019-12-23T21:16:18Z</dcterms:modified>
</cp:coreProperties>
</file>