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left="36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41"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For the Quarterly Period Ended February 2, 2007</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700" w:space="720"/>
            <w:col w:w="3280"/>
          </w:cols>
          <w:pgMar w:left="240" w:top="530" w:right="239" w:bottom="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Bloomington, Minnesota 55420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420"/>
          </w:cols>
          <w:pgMar w:left="240" w:top="530" w:right="239" w:bottom="0" w:gutter="0" w:footer="0" w:header="0"/>
          <w:type w:val="continuous"/>
        </w:sect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5" w:lineRule="exact"/>
        <w:rPr>
          <w:sz w:val="24"/>
          <w:szCs w:val="24"/>
          <w:color w:val="auto"/>
        </w:rPr>
      </w:pPr>
    </w:p>
    <w:p>
      <w:pPr>
        <w:jc w:val="both"/>
        <w:ind w:right="2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0" w:lineRule="exact"/>
        <w:rPr>
          <w:sz w:val="24"/>
          <w:szCs w:val="24"/>
          <w:color w:val="auto"/>
        </w:rPr>
      </w:pPr>
    </w:p>
    <w:p>
      <w:pPr>
        <w:spacing w:after="0"/>
        <w:tabs>
          <w:tab w:leader="none" w:pos="3460" w:val="left"/>
          <w:tab w:leader="none" w:pos="4800" w:val="left"/>
          <w:tab w:leader="none" w:pos="66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w:t>
        <w:tab/>
        <w:t>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March 2, 2007 was 40,302,086.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60" w:type="dxa"/>
            <w:vAlign w:val="bottom"/>
            <w:gridSpan w:val="7"/>
          </w:tcPr>
          <w:p>
            <w:pPr>
              <w:ind w:left="540"/>
              <w:spacing w:after="0"/>
              <w:rPr>
                <w:sz w:val="20"/>
                <w:szCs w:val="20"/>
                <w:color w:val="auto"/>
              </w:rPr>
            </w:pPr>
            <w:r>
              <w:rPr>
                <w:rFonts w:ascii="Arial" w:cs="Arial" w:eastAsia="Arial" w:hAnsi="Arial"/>
                <w:sz w:val="18"/>
                <w:szCs w:val="18"/>
                <w:b w:val="1"/>
                <w:bCs w:val="1"/>
                <w:color w:val="auto"/>
              </w:rPr>
              <w:t>THE TORO COMPANY</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60" w:type="dxa"/>
            <w:vAlign w:val="bottom"/>
            <w:gridSpan w:val="7"/>
          </w:tcPr>
          <w:p>
            <w:pPr>
              <w:ind w:left="540"/>
              <w:spacing w:after="0"/>
              <w:rPr>
                <w:sz w:val="20"/>
                <w:szCs w:val="20"/>
                <w:color w:val="auto"/>
              </w:rPr>
            </w:pPr>
            <w:r>
              <w:rPr>
                <w:rFonts w:ascii="Arial" w:cs="Arial" w:eastAsia="Arial" w:hAnsi="Arial"/>
                <w:sz w:val="18"/>
                <w:szCs w:val="18"/>
                <w:b w:val="1"/>
                <w:bCs w:val="1"/>
                <w:color w:val="auto"/>
              </w:rPr>
              <w:t>INDEX TO FORM 10-Q</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40" w:type="dxa"/>
            <w:vAlign w:val="bottom"/>
            <w:gridSpan w:val="2"/>
            <w:vMerge w:val="restart"/>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1140" w:type="dxa"/>
            <w:vAlign w:val="bottom"/>
            <w:vMerge w:val="restart"/>
          </w:tcPr>
          <w:p>
            <w:pPr>
              <w:spacing w:after="0"/>
              <w:rPr>
                <w:sz w:val="24"/>
                <w:szCs w:val="24"/>
                <w:color w:val="auto"/>
              </w:rPr>
            </w:pPr>
          </w:p>
        </w:tc>
        <w:tc>
          <w:tcPr>
            <w:tcW w:w="8700" w:type="dxa"/>
            <w:vAlign w:val="bottom"/>
            <w:gridSpan w:val="14"/>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Page Number</w:t>
            </w:r>
          </w:p>
        </w:tc>
        <w:tc>
          <w:tcPr>
            <w:tcW w:w="0" w:type="dxa"/>
            <w:vAlign w:val="bottom"/>
          </w:tcPr>
          <w:p>
            <w:pPr>
              <w:spacing w:after="0"/>
              <w:rPr>
                <w:sz w:val="1"/>
                <w:szCs w:val="1"/>
                <w:color w:val="auto"/>
              </w:rPr>
            </w:pPr>
          </w:p>
        </w:tc>
      </w:tr>
      <w:tr>
        <w:trPr>
          <w:trHeight w:val="156"/>
        </w:trPr>
        <w:tc>
          <w:tcPr>
            <w:tcW w:w="6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8700" w:type="dxa"/>
            <w:vAlign w:val="bottom"/>
            <w:gridSpan w:val="14"/>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1140" w:type="dxa"/>
            <w:vAlign w:val="bottom"/>
          </w:tcPr>
          <w:p>
            <w:pPr>
              <w:spacing w:after="0"/>
              <w:rPr>
                <w:sz w:val="24"/>
                <w:szCs w:val="24"/>
                <w:color w:val="auto"/>
              </w:rPr>
            </w:pPr>
          </w:p>
        </w:tc>
        <w:tc>
          <w:tcPr>
            <w:tcW w:w="2440" w:type="dxa"/>
            <w:vAlign w:val="bottom"/>
            <w:tcBorders>
              <w:top w:val="single" w:sz="8" w:color="0000EE"/>
            </w:tcBorders>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26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Statements of Earnings (Unaudited) — Three Months Ended February 2, 2007 and February</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gridSpan w:val="3"/>
          </w:tcPr>
          <w:p>
            <w:pPr>
              <w:ind w:left="360"/>
              <w:spacing w:after="0" w:line="196" w:lineRule="exact"/>
              <w:rPr>
                <w:rFonts w:ascii="Arial" w:cs="Arial" w:eastAsia="Arial" w:hAnsi="Arial"/>
                <w:sz w:val="18"/>
                <w:szCs w:val="18"/>
                <w:color w:val="0000EE"/>
                <w:w w:val="86"/>
              </w:rPr>
            </w:pPr>
            <w:hyperlink w:anchor="page2">
              <w:r>
                <w:rPr>
                  <w:rFonts w:ascii="Arial" w:cs="Arial" w:eastAsia="Arial" w:hAnsi="Arial"/>
                  <w:sz w:val="18"/>
                  <w:szCs w:val="18"/>
                  <w:color w:val="0000EE"/>
                  <w:w w:val="86"/>
                </w:rPr>
                <w:t>3, 2006</w:t>
              </w:r>
            </w:hyperlink>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center"/>
              <w:ind w:left="172"/>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20" w:type="dxa"/>
            <w:vAlign w:val="bottom"/>
            <w:gridSpan w:val="13"/>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Condensed Consolidated Balance Sheets (Unaudited) — February 2, 2007, February 3, 2006, and October 31, 2006</w:t>
              </w:r>
            </w:hyperlink>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tcBorders>
              <w:top w:val="single" w:sz="8" w:color="0000EE"/>
            </w:tcBorders>
            <w:gridSpan w:val="11"/>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Cash Flows (Unaudited) — Three Months Ended February 2, 2007 and</w:t>
              </w:r>
            </w:hyperlink>
          </w:p>
        </w:tc>
        <w:tc>
          <w:tcPr>
            <w:tcW w:w="2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February 3, 2006</w:t>
              </w:r>
            </w:hyperlink>
          </w:p>
        </w:tc>
        <w:tc>
          <w:tcPr>
            <w:tcW w:w="6580" w:type="dxa"/>
            <w:vAlign w:val="bottom"/>
            <w:tcBorders>
              <w:top w:val="single" w:sz="8" w:color="0000EE"/>
            </w:tcBorders>
            <w:gridSpan w:val="6"/>
          </w:tcPr>
          <w:p>
            <w:pPr>
              <w:spacing w:after="0"/>
              <w:rPr>
                <w:sz w:val="17"/>
                <w:szCs w:val="17"/>
                <w:color w:val="auto"/>
              </w:rPr>
            </w:pPr>
          </w:p>
        </w:tc>
        <w:tc>
          <w:tcPr>
            <w:tcW w:w="520" w:type="dxa"/>
            <w:vAlign w:val="bottom"/>
            <w:gridSpan w:val="3"/>
          </w:tcPr>
          <w:p>
            <w:pPr>
              <w:spacing w:after="0"/>
              <w:rPr>
                <w:sz w:val="17"/>
                <w:szCs w:val="17"/>
                <w:color w:val="auto"/>
              </w:rPr>
            </w:pPr>
          </w:p>
        </w:tc>
        <w:tc>
          <w:tcPr>
            <w:tcW w:w="940" w:type="dxa"/>
            <w:vAlign w:val="bottom"/>
          </w:tcPr>
          <w:p>
            <w:pPr>
              <w:jc w:val="center"/>
              <w:ind w:left="172"/>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88"/>
              </w:rPr>
              <w:t>6-11</w:t>
            </w:r>
          </w:p>
        </w:tc>
        <w:tc>
          <w:tcPr>
            <w:tcW w:w="0" w:type="dxa"/>
            <w:vAlign w:val="bottom"/>
          </w:tcPr>
          <w:p>
            <w:pPr>
              <w:spacing w:after="0"/>
              <w:rPr>
                <w:sz w:val="1"/>
                <w:szCs w:val="1"/>
                <w:color w:val="auto"/>
              </w:rPr>
            </w:pPr>
          </w:p>
        </w:tc>
      </w:tr>
      <w:tr>
        <w:trPr>
          <w:trHeight w:val="20"/>
        </w:trPr>
        <w:tc>
          <w:tcPr>
            <w:tcW w:w="1780" w:type="dxa"/>
            <w:vAlign w:val="bottom"/>
            <w:gridSpan w:val="3"/>
            <w:vMerge w:val="restart"/>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Item 2.</w:t>
              </w:r>
            </w:hyperlink>
          </w:p>
        </w:tc>
        <w:tc>
          <w:tcPr>
            <w:tcW w:w="1760" w:type="dxa"/>
            <w:vAlign w:val="bottom"/>
            <w:gridSpan w:val="6"/>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80" w:type="dxa"/>
            <w:vAlign w:val="bottom"/>
            <w:gridSpan w:val="3"/>
            <w:vMerge w:val="continue"/>
          </w:tcPr>
          <w:p>
            <w:pPr>
              <w:spacing w:after="0"/>
              <w:rPr>
                <w:sz w:val="24"/>
                <w:szCs w:val="24"/>
                <w:color w:val="auto"/>
              </w:rPr>
            </w:pPr>
          </w:p>
        </w:tc>
        <w:tc>
          <w:tcPr>
            <w:tcW w:w="870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86"/>
              </w:rPr>
              <w:t>11-19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80" w:type="dxa"/>
            <w:vAlign w:val="bottom"/>
            <w:gridSpan w:val="3"/>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3.</w:t>
              </w:r>
            </w:hyperlink>
          </w:p>
        </w:tc>
        <w:tc>
          <w:tcPr>
            <w:tcW w:w="870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Quantitative and Qualitative Disclosures about Market Risk</w:t>
              </w:r>
            </w:hyperlink>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8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4.</w:t>
              </w:r>
            </w:hyperlink>
          </w:p>
        </w:tc>
        <w:tc>
          <w:tcPr>
            <w:tcW w:w="870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30" w:right="239" w:bottom="0" w:gutter="0" w:footer="0" w:header="0"/>
          <w:type w:val="continuous"/>
        </w:sectPr>
      </w:pPr>
    </w:p>
    <w:bookmarkStart w:id="1" w:name="page2"/>
    <w:bookmarkEnd w:id="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4"/>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5900" w:type="dxa"/>
            <w:vAlign w:val="bottom"/>
            <w:gridSpan w:val="7"/>
          </w:tcPr>
          <w:p>
            <w:pPr>
              <w:ind w:left="20"/>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OTHER INFORMATION:</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1.</w:t>
              </w:r>
            </w:hyperlink>
          </w:p>
        </w:tc>
        <w:tc>
          <w:tcPr>
            <w:tcW w:w="1080" w:type="dxa"/>
            <w:vAlign w:val="bottom"/>
          </w:tcPr>
          <w:p>
            <w:pPr>
              <w:spacing w:after="0"/>
              <w:rPr>
                <w:sz w:val="24"/>
                <w:szCs w:val="24"/>
                <w:color w:val="auto"/>
              </w:rPr>
            </w:pPr>
          </w:p>
        </w:tc>
        <w:tc>
          <w:tcPr>
            <w:tcW w:w="5900" w:type="dxa"/>
            <w:vAlign w:val="bottom"/>
            <w:gridSpan w:val="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w w:val="91"/>
              </w:rPr>
            </w:pPr>
            <w:hyperlink w:anchor="page16">
              <w:r>
                <w:rPr>
                  <w:rFonts w:ascii="Arial" w:cs="Arial" w:eastAsia="Arial" w:hAnsi="Arial"/>
                  <w:sz w:val="18"/>
                  <w:szCs w:val="18"/>
                  <w:b w:val="1"/>
                  <w:bCs w:val="1"/>
                  <w:color w:val="0000EE"/>
                  <w:w w:val="91"/>
                </w:rPr>
                <w:t>Item 1A.</w:t>
              </w:r>
            </w:hyperlink>
          </w:p>
        </w:tc>
        <w:tc>
          <w:tcPr>
            <w:tcW w:w="1080" w:type="dxa"/>
            <w:vAlign w:val="bottom"/>
          </w:tcPr>
          <w:p>
            <w:pPr>
              <w:spacing w:after="0"/>
              <w:rPr>
                <w:sz w:val="24"/>
                <w:szCs w:val="24"/>
                <w:color w:val="auto"/>
              </w:rPr>
            </w:pPr>
          </w:p>
        </w:tc>
        <w:tc>
          <w:tcPr>
            <w:tcW w:w="5900" w:type="dxa"/>
            <w:vAlign w:val="bottom"/>
            <w:gridSpan w:val="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w:t>
              </w:r>
            </w:hyperlink>
          </w:p>
        </w:tc>
        <w:tc>
          <w:tcPr>
            <w:tcW w:w="1080" w:type="dxa"/>
            <w:vAlign w:val="bottom"/>
          </w:tcPr>
          <w:p>
            <w:pPr>
              <w:spacing w:after="0"/>
              <w:rPr>
                <w:sz w:val="24"/>
                <w:szCs w:val="24"/>
                <w:color w:val="auto"/>
              </w:rPr>
            </w:pPr>
          </w:p>
        </w:tc>
        <w:tc>
          <w:tcPr>
            <w:tcW w:w="5900" w:type="dxa"/>
            <w:vAlign w:val="bottom"/>
            <w:gridSpan w:val="7"/>
          </w:tcPr>
          <w:p>
            <w:pPr>
              <w:ind w:left="20"/>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Changes in Securities, Use of Proceeds, and Issuer Purchases of Equity Securities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60" w:type="dxa"/>
            <w:vAlign w:val="bottom"/>
            <w:gridSpan w:val="4"/>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6.</w:t>
              </w:r>
            </w:hyperlink>
          </w:p>
        </w:tc>
        <w:tc>
          <w:tcPr>
            <w:tcW w:w="5900" w:type="dxa"/>
            <w:vAlign w:val="bottom"/>
            <w:gridSpan w:val="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91"/>
              </w:rPr>
              <w:t>22-23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00" w:type="dxa"/>
            <w:vAlign w:val="bottom"/>
            <w:gridSpan w:val="7"/>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20" w:type="dxa"/>
            <w:vAlign w:val="bottom"/>
            <w:gridSpan w:val="4"/>
          </w:tcPr>
          <w:p>
            <w:pPr>
              <w:jc w:val="center"/>
              <w:ind w:left="113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PART I.</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jc w:val="center"/>
              <w:ind w:right="10"/>
              <w:spacing w:after="0"/>
              <w:rPr>
                <w:sz w:val="20"/>
                <w:szCs w:val="20"/>
                <w:color w:val="auto"/>
              </w:rPr>
            </w:pPr>
            <w:r>
              <w:rPr>
                <w:rFonts w:ascii="Arial" w:cs="Arial" w:eastAsia="Arial" w:hAnsi="Arial"/>
                <w:sz w:val="18"/>
                <w:szCs w:val="18"/>
                <w:b w:val="1"/>
                <w:bCs w:val="1"/>
                <w:color w:val="auto"/>
              </w:rPr>
              <w:t>Item 1. FINANCIAL INFORMATION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rPr>
              <w:t>THE TORO COMPANY AND SUBSIDIARIES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5"/>
          </w:tcPr>
          <w:p>
            <w:pPr>
              <w:jc w:val="center"/>
              <w:ind w:right="313"/>
              <w:spacing w:after="0"/>
              <w:rPr>
                <w:sz w:val="20"/>
                <w:szCs w:val="20"/>
                <w:color w:val="auto"/>
              </w:rPr>
            </w:pPr>
            <w:r>
              <w:rPr>
                <w:rFonts w:ascii="Arial" w:cs="Arial" w:eastAsia="Arial" w:hAnsi="Arial"/>
                <w:sz w:val="18"/>
                <w:szCs w:val="18"/>
                <w:b w:val="1"/>
                <w:bCs w:val="1"/>
                <w:color w:val="auto"/>
                <w:w w:val="89"/>
              </w:rPr>
              <w:t>Condensed Consolidated Statements of Earnings (Unaudited)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0" w:type="dxa"/>
            <w:vAlign w:val="bottom"/>
            <w:gridSpan w:val="5"/>
          </w:tcPr>
          <w:p>
            <w:pPr>
              <w:jc w:val="center"/>
              <w:ind w:right="333"/>
              <w:spacing w:after="0"/>
              <w:rPr>
                <w:sz w:val="20"/>
                <w:szCs w:val="20"/>
                <w:color w:val="auto"/>
              </w:rPr>
            </w:pPr>
            <w:r>
              <w:rPr>
                <w:rFonts w:ascii="Arial" w:cs="Arial" w:eastAsia="Arial" w:hAnsi="Arial"/>
                <w:sz w:val="18"/>
                <w:szCs w:val="18"/>
                <w:b w:val="1"/>
                <w:bCs w:val="1"/>
                <w:color w:val="auto"/>
                <w:w w:val="88"/>
              </w:rPr>
              <w:t>(Dollars and shares in thousands, except per share data)</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jc w:val="right"/>
              <w:ind w:right="240"/>
              <w:spacing w:after="0" w:line="102" w:lineRule="exact"/>
              <w:rPr>
                <w:sz w:val="20"/>
                <w:szCs w:val="20"/>
                <w:color w:val="auto"/>
              </w:rPr>
            </w:pPr>
            <w:r>
              <w:rPr>
                <w:rFonts w:ascii="Arial" w:cs="Arial" w:eastAsia="Arial" w:hAnsi="Arial"/>
                <w:sz w:val="11"/>
                <w:szCs w:val="11"/>
                <w:b w:val="1"/>
                <w:bCs w:val="1"/>
                <w:color w:val="auto"/>
              </w:rPr>
              <w:t>February 2,</w:t>
            </w: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2"/>
          </w:tcPr>
          <w:p>
            <w:pPr>
              <w:jc w:val="right"/>
              <w:ind w:right="100"/>
              <w:spacing w:after="0" w:line="102" w:lineRule="exact"/>
              <w:rPr>
                <w:sz w:val="20"/>
                <w:szCs w:val="20"/>
                <w:color w:val="auto"/>
              </w:rPr>
            </w:pPr>
            <w:r>
              <w:rPr>
                <w:rFonts w:ascii="Arial" w:cs="Arial" w:eastAsia="Arial" w:hAnsi="Arial"/>
                <w:sz w:val="11"/>
                <w:szCs w:val="11"/>
                <w:b w:val="1"/>
                <w:bCs w:val="1"/>
                <w:color w:val="auto"/>
              </w:rPr>
              <w:t>February 3,</w:t>
            </w: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369,640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237,766</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gridSpan w:val="10"/>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112,281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107,205</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rPr>
              <w:t>Earnings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24,669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10"/>
          </w:tcPr>
          <w:p>
            <w:pPr>
              <w:ind w:left="160"/>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18,450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14,279</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40" w:type="dxa"/>
            <w:vAlign w:val="bottom"/>
            <w:gridSpan w:val="10"/>
          </w:tcPr>
          <w:p>
            <w:pPr>
              <w:spacing w:after="0"/>
              <w:rPr>
                <w:sz w:val="20"/>
                <w:szCs w:val="20"/>
                <w:color w:val="auto"/>
              </w:rPr>
            </w:pPr>
            <w:r>
              <w:rPr>
                <w:rFonts w:ascii="Arial" w:cs="Arial" w:eastAsia="Arial" w:hAnsi="Arial"/>
                <w:sz w:val="18"/>
                <w:szCs w:val="18"/>
                <w:color w:val="auto"/>
              </w:rPr>
              <w:t>Basic net earnings per share of common 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2"/>
                <w:szCs w:val="22"/>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40" w:type="dxa"/>
            <w:vAlign w:val="bottom"/>
            <w:gridSpan w:val="10"/>
          </w:tcPr>
          <w:p>
            <w:pPr>
              <w:spacing w:after="0"/>
              <w:rPr>
                <w:sz w:val="20"/>
                <w:szCs w:val="20"/>
                <w:color w:val="auto"/>
              </w:rPr>
            </w:pPr>
            <w:r>
              <w:rPr>
                <w:rFonts w:ascii="Arial" w:cs="Arial" w:eastAsia="Arial" w:hAnsi="Arial"/>
                <w:sz w:val="18"/>
                <w:szCs w:val="18"/>
                <w:color w:val="auto"/>
              </w:rPr>
              <w:t>Diluted net earnings per share of common 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2"/>
                <w:szCs w:val="22"/>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10"/>
          </w:tcPr>
          <w:p>
            <w:pPr>
              <w:spacing w:after="0" w:line="201" w:lineRule="exact"/>
              <w:rPr>
                <w:sz w:val="20"/>
                <w:szCs w:val="20"/>
                <w:color w:val="auto"/>
              </w:rPr>
            </w:pPr>
            <w:r>
              <w:rPr>
                <w:rFonts w:ascii="Arial" w:cs="Arial" w:eastAsia="Arial" w:hAnsi="Arial"/>
                <w:sz w:val="18"/>
                <w:szCs w:val="18"/>
                <w:color w:val="auto"/>
              </w:rPr>
              <w:t>Weighted-average number of shares of common stock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43,608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left w:val="single" w:sz="8" w:color="CCEEFF"/>
            </w:tcBorders>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10"/>
          </w:tcPr>
          <w:p>
            <w:pPr>
              <w:spacing w:after="0" w:line="201" w:lineRule="exact"/>
              <w:rPr>
                <w:sz w:val="20"/>
                <w:szCs w:val="20"/>
                <w:color w:val="auto"/>
              </w:rPr>
            </w:pPr>
            <w:r>
              <w:rPr>
                <w:rFonts w:ascii="Arial" w:cs="Arial" w:eastAsia="Arial" w:hAnsi="Arial"/>
                <w:sz w:val="18"/>
                <w:szCs w:val="18"/>
                <w:color w:val="auto"/>
              </w:rPr>
              <w:t>Weighted-average number of shares of common stock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42,253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44,959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660" w:type="dxa"/>
            <w:vAlign w:val="bottom"/>
            <w:gridSpan w:val="11"/>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00" w:type="dxa"/>
            <w:vAlign w:val="bottom"/>
            <w:gridSpan w:val="7"/>
          </w:tcPr>
          <w:p>
            <w:pPr>
              <w:jc w:val="center"/>
              <w:ind w:left="191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rPr>
              <w:t>THE TORO COMPANY AND SUBSIDIARIES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February 2,</w:t>
            </w:r>
          </w:p>
        </w:tc>
        <w:tc>
          <w:tcPr>
            <w:tcW w:w="260" w:type="dxa"/>
            <w:vAlign w:val="bottom"/>
          </w:tcPr>
          <w:p>
            <w:pPr>
              <w:spacing w:after="0"/>
              <w:rPr>
                <w:sz w:val="24"/>
                <w:szCs w:val="24"/>
                <w:color w:val="auto"/>
              </w:rPr>
            </w:pPr>
          </w:p>
        </w:tc>
        <w:tc>
          <w:tcPr>
            <w:tcW w:w="13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February 3,</w:t>
            </w:r>
          </w:p>
        </w:tc>
        <w:tc>
          <w:tcPr>
            <w:tcW w:w="140" w:type="dxa"/>
            <w:vAlign w:val="bottom"/>
          </w:tcPr>
          <w:p>
            <w:pPr>
              <w:spacing w:after="0"/>
              <w:rPr>
                <w:sz w:val="24"/>
                <w:szCs w:val="2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Borders>
              <w:bottom w:val="single" w:sz="8" w:color="auto"/>
              <w:right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108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0"/>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30,051</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307,415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4"/>
              </w:rPr>
              <w:t>Deferred income taxes</w:t>
            </w: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87"/>
              </w:rPr>
              <w:t>Total current assets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765,337</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gridSpan w:val="10"/>
          </w:tcPr>
          <w:p>
            <w:pPr>
              <w:ind w:left="34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383,582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Deferred income taxes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-8199755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-8199755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-2780030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-2780030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4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12,036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1,034,436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966,307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37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106,881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242,453</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389,601</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and other long-term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Preferred stock, par value $1.00 per share, authorized 1,000,000 voting and 850,000 non-voting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ind w:left="340"/>
              <w:spacing w:after="0"/>
              <w:rPr>
                <w:sz w:val="20"/>
                <w:szCs w:val="20"/>
                <w:color w:val="auto"/>
              </w:rPr>
            </w:pPr>
            <w:r>
              <w:rPr>
                <w:rFonts w:ascii="Arial" w:cs="Arial" w:eastAsia="Arial" w:hAnsi="Arial"/>
                <w:sz w:val="18"/>
                <w:szCs w:val="18"/>
                <w:color w:val="auto"/>
              </w:rPr>
              <w:t>shares, none issued and outstanding</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par value $1.00 per share, authorized 100,000,000 shares, issued and outstanding</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40,224,629 shares as of February 2, 2007 (net of 13,807,591 treasury shares), 42,561,238 shares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as of February 3, 2006 (net of 11,470,982 treasury shares), and 40,355,714 shares as of October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 2006 (net of 13,676,506 treasury shares)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42,561</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351,992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360,336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(11,486)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391,411</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1,034,436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966,307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rPr>
              <w:t>February 2,</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12"/>
              <w:spacing w:after="0" w:line="102" w:lineRule="exact"/>
              <w:rPr>
                <w:sz w:val="20"/>
                <w:szCs w:val="20"/>
                <w:color w:val="auto"/>
              </w:rPr>
            </w:pPr>
            <w:r>
              <w:rPr>
                <w:rFonts w:ascii="Arial" w:cs="Arial" w:eastAsia="Arial" w:hAnsi="Arial"/>
                <w:sz w:val="11"/>
                <w:szCs w:val="11"/>
                <w:b w:val="1"/>
                <w:bCs w:val="1"/>
                <w:color w:val="auto"/>
              </w:rPr>
              <w:t>February 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18,450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Equity losses from investments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Decrease in deferred income taxes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(62,588)</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deferred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(110,854)</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Proceeds from disposal of property, plant, and equipment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other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Increase in short-term debt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stock-based awards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(29,029)</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99,725</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(25,472)</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(21,658)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55,523</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41,402</w:t>
            </w:r>
          </w:p>
        </w:tc>
        <w:tc>
          <w:tcPr>
            <w:tcW w:w="80" w:type="dxa"/>
            <w:vAlign w:val="bottom"/>
            <w:shd w:val="clear" w:color="auto" w:fill="CCEEFF"/>
          </w:tcPr>
          <w:p>
            <w:pPr>
              <w:spacing w:after="0"/>
              <w:rPr>
                <w:sz w:val="18"/>
                <w:szCs w:val="18"/>
                <w:color w:val="auto"/>
              </w:rPr>
            </w:pP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30,051</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8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February 2, 2007 cannot be annualized to determine the expected results for the fiscal year ending October 31, 2007. Certain amounts from prior period’s financial statements have been reclassified to conform to this period’s presentation.</w:t>
      </w:r>
    </w:p>
    <w:p>
      <w:pPr>
        <w:spacing w:after="0" w:line="178"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2006.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January 19, 2007, the company completed the purchase of certain assets and assumed certain liabilities of Allen Hover Mower. Allen Hover Mower sells walk power mowers worldwide that are specifically designed to perform well on steep inclines for the golf course and grounds maintenance market, and has annual net sales of approximately $2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02"/>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8"/>
                <w:szCs w:val="8"/>
                <w:color w:val="auto"/>
              </w:rPr>
            </w:pPr>
          </w:p>
        </w:tc>
        <w:tc>
          <w:tcPr>
            <w:tcW w:w="90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February 2,</w:t>
            </w: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rPr>
              <w:t>February 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Unrealized loss on derivative instruments, net of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38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accounts for stock-based compensation awards in accordance with the provisions of Statement of Financial Accounting Standards (SFAS) No. 123 (Revised 2004), “Share-Based Payment.” During the first quarter of fiscal 2007, option awards were granted with an exercise price equal to the market price of the company’s common stock as of the date of grant. For certain non-officer employees, the options vest after two years from the date of grant and have a five-year contractual term. Other options granted during the first quarter of fiscal 2007 vest one-third each year over a three-year period and have a ten-year contractual term. Compensation expense equal to the grant date fair value is recognized for these awards over the vesting period. The company also issues Performance Shares to key employees. The company determines the fair value of these Performance Shares as of the date of grant and</w:t>
      </w:r>
    </w:p>
    <w:p>
      <w:pPr>
        <w:sectPr>
          <w:pgSz w:w="11900" w:h="16838" w:orient="portrait"/>
          <w:cols w:equalWidth="0" w:num="1">
            <w:col w:w="11420"/>
          </w:cols>
          <w:pgMar w:left="240" w:top="140" w:right="239" w:bottom="0" w:gutter="0" w:footer="0" w:header="0"/>
        </w:sectPr>
      </w:pPr>
    </w:p>
    <w:bookmarkStart w:id="4" w:name="page5"/>
    <w:bookmarkEnd w:id="4"/>
    <w:p>
      <w:pPr>
        <w:ind w:right="560"/>
        <w:spacing w:after="0" w:line="277" w:lineRule="auto"/>
        <w:rPr>
          <w:sz w:val="20"/>
          <w:szCs w:val="20"/>
          <w:color w:val="auto"/>
        </w:rPr>
      </w:pPr>
      <w:r>
        <w:rPr>
          <w:rFonts w:ascii="Arial" w:cs="Arial" w:eastAsia="Arial" w:hAnsi="Arial"/>
          <w:sz w:val="18"/>
          <w:szCs w:val="18"/>
          <w:color w:val="auto"/>
        </w:rPr>
        <w:t>recognizes the expense over the vesting period. Total compensation expense for option awards and Performance Shares was $1.9 million for the first quarter of fiscal 2007 and $2.1 million for the first quarter of fiscal 2006.</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over which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29"/>
        </w:trPr>
        <w:tc>
          <w:tcPr>
            <w:tcW w:w="4580" w:type="dxa"/>
            <w:vAlign w:val="bottom"/>
          </w:tcPr>
          <w:p>
            <w:pPr>
              <w:spacing w:after="0"/>
              <w:rPr>
                <w:sz w:val="11"/>
                <w:szCs w:val="11"/>
                <w:color w:val="auto"/>
              </w:rPr>
            </w:pPr>
          </w:p>
        </w:tc>
        <w:tc>
          <w:tcPr>
            <w:tcW w:w="158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February 2, 2007</w:t>
            </w:r>
          </w:p>
        </w:tc>
        <w:tc>
          <w:tcPr>
            <w:tcW w:w="13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February 3, 2006</w:t>
            </w:r>
          </w:p>
        </w:tc>
        <w:tc>
          <w:tcPr>
            <w:tcW w:w="280" w:type="dxa"/>
            <w:vAlign w:val="bottom"/>
          </w:tcPr>
          <w:p>
            <w:pPr>
              <w:spacing w:after="0"/>
              <w:rPr>
                <w:sz w:val="11"/>
                <w:szCs w:val="1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3 - 6.5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- 6.5</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24.96%</w:t>
            </w:r>
          </w:p>
        </w:tc>
        <w:tc>
          <w:tcPr>
            <w:tcW w:w="720" w:type="dxa"/>
            <w:vAlign w:val="bottom"/>
          </w:tcPr>
          <w:p>
            <w:pPr>
              <w:ind w:left="20"/>
              <w:spacing w:after="0"/>
              <w:rPr>
                <w:sz w:val="20"/>
                <w:szCs w:val="20"/>
                <w:color w:val="auto"/>
              </w:rPr>
            </w:pPr>
            <w:r>
              <w:rPr>
                <w:rFonts w:ascii="Arial" w:cs="Arial" w:eastAsia="Arial" w:hAnsi="Arial"/>
                <w:sz w:val="18"/>
                <w:szCs w:val="18"/>
                <w:color w:val="auto"/>
                <w:w w:val="94"/>
              </w:rPr>
              <w:t>- 26.44%</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25.26%</w:t>
            </w:r>
          </w:p>
        </w:tc>
        <w:tc>
          <w:tcPr>
            <w:tcW w:w="720" w:type="dxa"/>
            <w:vAlign w:val="bottom"/>
          </w:tcPr>
          <w:p>
            <w:pPr>
              <w:ind w:left="20"/>
              <w:spacing w:after="0"/>
              <w:rPr>
                <w:sz w:val="20"/>
                <w:szCs w:val="20"/>
                <w:color w:val="auto"/>
              </w:rPr>
            </w:pPr>
            <w:r>
              <w:rPr>
                <w:rFonts w:ascii="Arial" w:cs="Arial" w:eastAsia="Arial" w:hAnsi="Arial"/>
                <w:sz w:val="18"/>
                <w:szCs w:val="18"/>
                <w:color w:val="auto"/>
                <w:w w:val="94"/>
              </w:rPr>
              <w:t>- 26.96%</w:t>
            </w:r>
          </w:p>
        </w:tc>
        <w:tc>
          <w:tcPr>
            <w:tcW w:w="2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25.65%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26.12%</w:t>
            </w:r>
          </w:p>
        </w:tc>
        <w:tc>
          <w:tcPr>
            <w:tcW w:w="2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4.420%</w:t>
            </w:r>
          </w:p>
        </w:tc>
        <w:tc>
          <w:tcPr>
            <w:tcW w:w="720" w:type="dxa"/>
            <w:vAlign w:val="bottom"/>
          </w:tcPr>
          <w:p>
            <w:pPr>
              <w:ind w:left="20"/>
              <w:spacing w:after="0"/>
              <w:rPr>
                <w:sz w:val="20"/>
                <w:szCs w:val="20"/>
                <w:color w:val="auto"/>
              </w:rPr>
            </w:pPr>
            <w:r>
              <w:rPr>
                <w:rFonts w:ascii="Arial" w:cs="Arial" w:eastAsia="Arial" w:hAnsi="Arial"/>
                <w:sz w:val="18"/>
                <w:szCs w:val="18"/>
                <w:color w:val="auto"/>
                <w:w w:val="94"/>
              </w:rPr>
              <w:t>- 4.528%</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4.399%</w:t>
            </w:r>
          </w:p>
        </w:tc>
        <w:tc>
          <w:tcPr>
            <w:tcW w:w="720" w:type="dxa"/>
            <w:vAlign w:val="bottom"/>
          </w:tcPr>
          <w:p>
            <w:pPr>
              <w:ind w:left="20"/>
              <w:spacing w:after="0"/>
              <w:rPr>
                <w:sz w:val="20"/>
                <w:szCs w:val="20"/>
                <w:color w:val="auto"/>
              </w:rPr>
            </w:pPr>
            <w:r>
              <w:rPr>
                <w:rFonts w:ascii="Arial" w:cs="Arial" w:eastAsia="Arial" w:hAnsi="Arial"/>
                <w:sz w:val="18"/>
                <w:szCs w:val="18"/>
                <w:color w:val="auto"/>
                <w:w w:val="94"/>
              </w:rPr>
              <w:t>- 4.526%</w:t>
            </w:r>
          </w:p>
        </w:tc>
        <w:tc>
          <w:tcPr>
            <w:tcW w:w="2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- 0.90%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- 0.70%</w:t>
            </w:r>
          </w:p>
        </w:tc>
        <w:tc>
          <w:tcPr>
            <w:tcW w:w="28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0.84%</w:t>
            </w:r>
          </w:p>
        </w:tc>
        <w:tc>
          <w:tcPr>
            <w:tcW w:w="260" w:type="dxa"/>
            <w:vAlign w:val="bottom"/>
          </w:tcPr>
          <w:p>
            <w:pPr>
              <w:spacing w:after="0"/>
              <w:rPr>
                <w:sz w:val="20"/>
                <w:szCs w:val="20"/>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20"/>
                <w:szCs w:val="20"/>
                <w:color w:val="auto"/>
              </w:rPr>
            </w:pPr>
          </w:p>
        </w:tc>
      </w:tr>
    </w:tbl>
    <w:p>
      <w:pPr>
        <w:spacing w:after="0" w:line="24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weighted-average fair value of options granted during the first quarters of fiscal 2007 and 2006 was $12.33 per share and $10.94 per share, respectively. The fair value of Performance Shares granted during the first quarters of fiscal 2007 and 2006 was $44.90 per share and $41.44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based on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18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February 2,</w:t>
            </w: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February 3,</w:t>
            </w:r>
          </w:p>
        </w:tc>
        <w:tc>
          <w:tcPr>
            <w:tcW w:w="2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2"/>
        </w:trPr>
        <w:tc>
          <w:tcPr>
            <w:tcW w:w="318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 and service parts</w:t>
            </w:r>
          </w:p>
        </w:tc>
        <w:tc>
          <w:tcPr>
            <w:tcW w:w="14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292,264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287,289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229,137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367,158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354,202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297,113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Less: LIFO</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307,415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295,687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40" w:type="dxa"/>
            <w:vAlign w:val="bottom"/>
            <w:vMerge w:val="restart"/>
          </w:tcPr>
          <w:p>
            <w:pPr>
              <w:jc w:val="right"/>
              <w:ind w:right="59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were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February 2,</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62"/>
        </w:trPr>
        <w:tc>
          <w:tcPr>
            <w:tcW w:w="5980" w:type="dxa"/>
            <w:vAlign w:val="bottom"/>
            <w:gridSpan w:val="4"/>
            <w:vMerge w:val="continue"/>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740" w:type="dxa"/>
            <w:vAlign w:val="bottom"/>
          </w:tcPr>
          <w:p>
            <w:pPr>
              <w:jc w:val="right"/>
              <w:spacing w:after="0"/>
              <w:rPr>
                <w:sz w:val="20"/>
                <w:szCs w:val="20"/>
                <w:color w:val="auto"/>
              </w:rPr>
            </w:pPr>
            <w:r>
              <w:rPr>
                <w:rFonts w:ascii="Arial" w:cs="Arial" w:eastAsia="Arial" w:hAnsi="Arial"/>
                <w:sz w:val="18"/>
                <w:szCs w:val="18"/>
                <w:color w:val="auto"/>
              </w:rPr>
              <w:t>41,058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980" w:type="dxa"/>
            <w:vAlign w:val="bottom"/>
            <w:gridSpan w:val="4"/>
          </w:tcPr>
          <w:p>
            <w:pPr>
              <w:spacing w:after="0" w:line="182" w:lineRule="exact"/>
              <w:rPr>
                <w:sz w:val="20"/>
                <w:szCs w:val="20"/>
                <w:color w:val="auto"/>
              </w:rPr>
            </w:pPr>
            <w:r>
              <w:rPr>
                <w:rFonts w:ascii="Arial" w:cs="Arial" w:eastAsia="Arial" w:hAnsi="Arial"/>
                <w:sz w:val="18"/>
                <w:szCs w:val="18"/>
                <w:color w:val="auto"/>
                <w:w w:val="92"/>
              </w:rPr>
              <w:t>Weighted-average number of shares of common stock and assumed issuance of</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41,139</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43,608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contingent shares</w:t>
            </w:r>
          </w:p>
        </w:tc>
        <w:tc>
          <w:tcPr>
            <w:tcW w:w="7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59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80" w:type="dxa"/>
            <w:vAlign w:val="bottom"/>
            <w:gridSpan w:val="4"/>
          </w:tcPr>
          <w:p>
            <w:pPr>
              <w:spacing w:after="0" w:line="201" w:lineRule="exact"/>
              <w:rPr>
                <w:sz w:val="20"/>
                <w:szCs w:val="20"/>
                <w:color w:val="auto"/>
              </w:rPr>
            </w:pPr>
            <w:r>
              <w:rPr>
                <w:rFonts w:ascii="Arial" w:cs="Arial" w:eastAsia="Arial" w:hAnsi="Arial"/>
                <w:sz w:val="18"/>
                <w:szCs w:val="18"/>
                <w:color w:val="auto"/>
                <w:w w:val="92"/>
              </w:rPr>
              <w:t>Weighted-average number of shares of common stock and assumed issuance of</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contingent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41,139</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980" w:type="dxa"/>
            <w:vAlign w:val="bottom"/>
            <w:gridSpan w:val="4"/>
          </w:tcPr>
          <w:p>
            <w:pPr>
              <w:spacing w:after="0" w:line="182" w:lineRule="exact"/>
              <w:rPr>
                <w:sz w:val="20"/>
                <w:szCs w:val="20"/>
                <w:color w:val="auto"/>
              </w:rPr>
            </w:pPr>
            <w:r>
              <w:rPr>
                <w:rFonts w:ascii="Arial" w:cs="Arial" w:eastAsia="Arial" w:hAnsi="Arial"/>
                <w:sz w:val="18"/>
                <w:szCs w:val="18"/>
                <w:color w:val="auto"/>
                <w:w w:val="97"/>
              </w:rPr>
              <w:t>Weighted-average number of shares of common stock, assumed issuance of</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42,253</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44,959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contingent shares, and effect of dilutive securities</w:t>
            </w: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ectPr>
          <w:pgSz w:w="11900" w:h="16838" w:orient="portrait"/>
          <w:cols w:equalWidth="0" w:num="1">
            <w:col w:w="11260"/>
          </w:cols>
          <w:pgMar w:left="240" w:top="125" w:right="3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Professional</w:t>
            </w:r>
          </w:p>
        </w:tc>
        <w:tc>
          <w:tcPr>
            <w:tcW w:w="100" w:type="dxa"/>
            <w:vAlign w:val="bottom"/>
          </w:tcPr>
          <w:p>
            <w:pPr>
              <w:spacing w:after="0"/>
              <w:rPr>
                <w:sz w:val="14"/>
                <w:szCs w:val="14"/>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3"/>
              </w:rPr>
              <w:t>Residential</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February 2, 2007</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272,142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524,931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261,158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248,347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1,034,436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February 3, 2006</w:t>
            </w: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Professional</w:t>
            </w:r>
          </w:p>
        </w:tc>
        <w:tc>
          <w:tcPr>
            <w:tcW w:w="100" w:type="dxa"/>
            <w:vAlign w:val="bottom"/>
          </w:tcPr>
          <w:p>
            <w:pPr>
              <w:spacing w:after="0"/>
              <w:rPr>
                <w:sz w:val="24"/>
                <w:szCs w:val="24"/>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Residential</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253,605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369,640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498,768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233,657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233,882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966,307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02"/>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gridSpan w:val="2"/>
          </w:tcPr>
          <w:p>
            <w:pPr>
              <w:jc w:val="right"/>
              <w:ind w:right="460"/>
              <w:spacing w:after="0" w:line="102" w:lineRule="exact"/>
              <w:rPr>
                <w:sz w:val="20"/>
                <w:szCs w:val="20"/>
                <w:color w:val="auto"/>
              </w:rPr>
            </w:pPr>
            <w:r>
              <w:rPr>
                <w:rFonts w:ascii="Arial" w:cs="Arial" w:eastAsia="Arial" w:hAnsi="Arial"/>
                <w:sz w:val="11"/>
                <w:szCs w:val="11"/>
                <w:b w:val="1"/>
                <w:bCs w:val="1"/>
                <w:color w:val="auto"/>
              </w:rPr>
              <w:t>February 2,</w:t>
            </w:r>
          </w:p>
        </w:tc>
        <w:tc>
          <w:tcPr>
            <w:tcW w:w="20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ind w:right="216"/>
              <w:spacing w:after="0" w:line="102" w:lineRule="exact"/>
              <w:rPr>
                <w:sz w:val="20"/>
                <w:szCs w:val="20"/>
                <w:color w:val="auto"/>
              </w:rPr>
            </w:pPr>
            <w:r>
              <w:rPr>
                <w:rFonts w:ascii="Arial" w:cs="Arial" w:eastAsia="Arial" w:hAnsi="Arial"/>
                <w:sz w:val="11"/>
                <w:szCs w:val="11"/>
                <w:b w:val="1"/>
                <w:bCs w:val="1"/>
                <w:color w:val="auto"/>
              </w:rPr>
              <w:t>February 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48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Finance charge revenue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(4,487)</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2007 were as follows:</w:t>
      </w:r>
    </w:p>
    <w:p>
      <w:pPr>
        <w:spacing w:after="0" w:line="18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Professional</w:t>
            </w: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Residential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Translation adjustment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February 2, 2007</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February 2, 2007</w:t>
            </w:r>
          </w:p>
        </w:tc>
        <w:tc>
          <w:tcPr>
            <w:tcW w:w="140" w:type="dxa"/>
            <w:vAlign w:val="bottom"/>
          </w:tcPr>
          <w:p>
            <w:pPr>
              <w:spacing w:after="0"/>
              <w:rPr>
                <w:sz w:val="14"/>
                <w:szCs w:val="14"/>
                <w:color w:val="auto"/>
              </w:rPr>
            </w:pPr>
          </w:p>
        </w:tc>
        <w:tc>
          <w:tcPr>
            <w:tcW w:w="28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October 31, 2006</w:t>
            </w:r>
          </w:p>
        </w:tc>
        <w:tc>
          <w:tcPr>
            <w:tcW w:w="0" w:type="dxa"/>
            <w:vAlign w:val="bottom"/>
          </w:tcPr>
          <w:p>
            <w:pPr>
              <w:spacing w:after="0"/>
              <w:rPr>
                <w:sz w:val="1"/>
                <w:szCs w:val="1"/>
                <w:color w:val="auto"/>
              </w:rPr>
            </w:pPr>
          </w:p>
        </w:tc>
      </w:tr>
      <w:tr>
        <w:trPr>
          <w:trHeight w:val="102"/>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18"/>
              <w:spacing w:after="0" w:line="102" w:lineRule="exact"/>
              <w:rPr>
                <w:sz w:val="20"/>
                <w:szCs w:val="20"/>
                <w:color w:val="auto"/>
              </w:rPr>
            </w:pPr>
            <w:r>
              <w:rPr>
                <w:rFonts w:ascii="Arial" w:cs="Arial" w:eastAsia="Arial" w:hAnsi="Arial"/>
                <w:sz w:val="11"/>
                <w:szCs w:val="11"/>
                <w:b w:val="1"/>
                <w:bCs w:val="1"/>
                <w:color w:val="auto"/>
              </w:rPr>
              <w:t>Gross Carrying</w:t>
            </w:r>
          </w:p>
        </w:tc>
        <w:tc>
          <w:tcPr>
            <w:tcW w:w="2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jc w:val="right"/>
              <w:ind w:right="197"/>
              <w:spacing w:after="0" w:line="102" w:lineRule="exact"/>
              <w:rPr>
                <w:sz w:val="20"/>
                <w:szCs w:val="20"/>
                <w:color w:val="auto"/>
              </w:rPr>
            </w:pPr>
            <w:r>
              <w:rPr>
                <w:rFonts w:ascii="Arial" w:cs="Arial" w:eastAsia="Arial" w:hAnsi="Arial"/>
                <w:sz w:val="11"/>
                <w:szCs w:val="11"/>
                <w:b w:val="1"/>
                <w:bCs w:val="1"/>
                <w:color w:val="auto"/>
              </w:rPr>
              <w:t>Accumulated</w:t>
            </w:r>
          </w:p>
        </w:tc>
        <w:tc>
          <w:tcPr>
            <w:tcW w:w="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jc w:val="right"/>
              <w:ind w:right="98"/>
              <w:spacing w:after="0" w:line="102" w:lineRule="exact"/>
              <w:rPr>
                <w:sz w:val="20"/>
                <w:szCs w:val="20"/>
                <w:color w:val="auto"/>
              </w:rPr>
            </w:pPr>
            <w:r>
              <w:rPr>
                <w:rFonts w:ascii="Arial" w:cs="Arial" w:eastAsia="Arial" w:hAnsi="Arial"/>
                <w:sz w:val="11"/>
                <w:szCs w:val="11"/>
                <w:b w:val="1"/>
                <w:bCs w:val="1"/>
                <w:color w:val="auto"/>
              </w:rPr>
              <w:t>Gross Carrying</w:t>
            </w:r>
          </w:p>
        </w:tc>
        <w:tc>
          <w:tcPr>
            <w:tcW w:w="2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jc w:val="right"/>
              <w:ind w:right="177"/>
              <w:spacing w:after="0" w:line="102"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5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180" w:type="dxa"/>
            <w:vAlign w:val="bottom"/>
          </w:tcPr>
          <w:p>
            <w:pPr>
              <w:jc w:val="right"/>
              <w:ind w:right="3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(1,733)</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2007 was $244,000. Estimated amortization expense for the remainder of fiscal 2007 and succeeding fiscal years is as follows: 2007 (remainder), $783,000; 2008, $859,000; 2009, $515,000; 2010, $241,000; 2011, $175,000; 2012, $175,000; and after 2012, $387,000.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$2.7 million of non-amortizable intangible assets related to the Hayter brand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original factory warranty period expires.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three-month periods in fiscal 2007 and 2006 were as follows:</w:t>
      </w:r>
    </w:p>
    <w:p>
      <w:pPr>
        <w:spacing w:after="0" w:line="193" w:lineRule="exact"/>
        <w:rPr>
          <w:sz w:val="20"/>
          <w:szCs w:val="20"/>
          <w:color w:val="auto"/>
        </w:rPr>
      </w:pPr>
    </w:p>
    <w:p>
      <w:pPr>
        <w:spacing w:after="0"/>
        <w:tabs>
          <w:tab w:leader="none" w:pos="6020" w:val="left"/>
          <w:tab w:leader="none" w:pos="7160" w:val="left"/>
          <w:tab w:leader="none" w:pos="8300" w:val="left"/>
          <w:tab w:leader="none" w:pos="9420" w:val="left"/>
          <w:tab w:leader="none" w:pos="10680" w:val="left"/>
        </w:tabs>
        <w:rPr>
          <w:sz w:val="20"/>
          <w:szCs w:val="20"/>
          <w:color w:val="auto"/>
        </w:rPr>
      </w:pPr>
      <w:r>
        <w:rPr>
          <w:rFonts w:ascii="Arial" w:cs="Arial" w:eastAsia="Arial" w:hAnsi="Arial"/>
          <w:sz w:val="14"/>
          <w:szCs w:val="14"/>
          <w:b w:val="1"/>
          <w:bCs w:val="1"/>
          <w:color w:val="auto"/>
        </w:rPr>
        <w:t>(Dollars in thousands)</w:t>
      </w:r>
      <w:r>
        <w:rPr>
          <w:sz w:val="20"/>
          <w:szCs w:val="20"/>
          <w:color w:val="auto"/>
        </w:rPr>
        <w:tab/>
      </w:r>
      <w:r>
        <w:rPr>
          <w:rFonts w:ascii="Arial" w:cs="Arial" w:eastAsia="Arial" w:hAnsi="Arial"/>
          <w:sz w:val="14"/>
          <w:szCs w:val="14"/>
          <w:b w:val="1"/>
          <w:bCs w:val="1"/>
          <w:color w:val="auto"/>
        </w:rPr>
        <w:t>Beginning</w:t>
      </w:r>
      <w:r>
        <w:rPr>
          <w:sz w:val="20"/>
          <w:szCs w:val="20"/>
          <w:color w:val="auto"/>
        </w:rPr>
        <w:tab/>
      </w:r>
      <w:r>
        <w:rPr>
          <w:rFonts w:ascii="Arial" w:cs="Arial" w:eastAsia="Arial" w:hAnsi="Arial"/>
          <w:sz w:val="14"/>
          <w:szCs w:val="14"/>
          <w:b w:val="1"/>
          <w:bCs w:val="1"/>
          <w:color w:val="auto"/>
        </w:rPr>
        <w:t>Warranty</w:t>
      </w:r>
      <w:r>
        <w:rPr>
          <w:sz w:val="20"/>
          <w:szCs w:val="20"/>
          <w:color w:val="auto"/>
        </w:rPr>
        <w:tab/>
      </w:r>
      <w:r>
        <w:rPr>
          <w:rFonts w:ascii="Arial" w:cs="Arial" w:eastAsia="Arial" w:hAnsi="Arial"/>
          <w:sz w:val="14"/>
          <w:szCs w:val="14"/>
          <w:b w:val="1"/>
          <w:bCs w:val="1"/>
          <w:color w:val="auto"/>
        </w:rPr>
        <w:t>Warranty</w:t>
      </w:r>
      <w:r>
        <w:rPr>
          <w:sz w:val="20"/>
          <w:szCs w:val="20"/>
          <w:color w:val="auto"/>
        </w:rPr>
        <w:tab/>
      </w:r>
      <w:r>
        <w:rPr>
          <w:rFonts w:ascii="Arial" w:cs="Arial" w:eastAsia="Arial" w:hAnsi="Arial"/>
          <w:sz w:val="14"/>
          <w:szCs w:val="14"/>
          <w:b w:val="1"/>
          <w:bCs w:val="1"/>
          <w:color w:val="auto"/>
        </w:rPr>
        <w:t>Changes in</w:t>
      </w:r>
      <w:r>
        <w:rPr>
          <w:sz w:val="20"/>
          <w:szCs w:val="20"/>
          <w:color w:val="auto"/>
        </w:rPr>
        <w:tab/>
      </w:r>
      <w:r>
        <w:rPr>
          <w:rFonts w:ascii="Arial" w:cs="Arial" w:eastAsia="Arial" w:hAnsi="Arial"/>
          <w:sz w:val="13"/>
          <w:szCs w:val="13"/>
          <w:b w:val="1"/>
          <w:bCs w:val="1"/>
          <w:color w:val="auto"/>
        </w:rPr>
        <w:t>Ending</w:t>
      </w:r>
    </w:p>
    <w:p>
      <w:pPr>
        <w:spacing w:after="0"/>
        <w:tabs>
          <w:tab w:leader="none" w:pos="6080" w:val="left"/>
          <w:tab w:leader="none" w:pos="7140" w:val="left"/>
          <w:tab w:leader="none" w:pos="8380" w:val="left"/>
          <w:tab w:leader="none" w:pos="9460" w:val="left"/>
          <w:tab w:leader="none" w:pos="106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4"/>
          <w:szCs w:val="14"/>
          <w:b w:val="1"/>
          <w:bCs w:val="1"/>
          <w:color w:val="auto"/>
        </w:rPr>
        <w:t>Balance</w:t>
      </w:r>
      <w:r>
        <w:rPr>
          <w:sz w:val="20"/>
          <w:szCs w:val="20"/>
          <w:color w:val="auto"/>
        </w:rPr>
        <w:tab/>
      </w:r>
      <w:r>
        <w:rPr>
          <w:rFonts w:ascii="Arial" w:cs="Arial" w:eastAsia="Arial" w:hAnsi="Arial"/>
          <w:sz w:val="14"/>
          <w:szCs w:val="14"/>
          <w:b w:val="1"/>
          <w:bCs w:val="1"/>
          <w:color w:val="auto"/>
        </w:rPr>
        <w:t>Provisions</w:t>
      </w:r>
      <w:r>
        <w:rPr>
          <w:sz w:val="20"/>
          <w:szCs w:val="20"/>
          <w:color w:val="auto"/>
        </w:rPr>
        <w:tab/>
      </w:r>
      <w:r>
        <w:rPr>
          <w:rFonts w:ascii="Arial" w:cs="Arial" w:eastAsia="Arial" w:hAnsi="Arial"/>
          <w:sz w:val="14"/>
          <w:szCs w:val="14"/>
          <w:b w:val="1"/>
          <w:bCs w:val="1"/>
          <w:color w:val="auto"/>
        </w:rPr>
        <w:t>Claims</w:t>
      </w:r>
      <w:r>
        <w:rPr>
          <w:sz w:val="20"/>
          <w:szCs w:val="20"/>
          <w:color w:val="auto"/>
        </w:rPr>
        <w:tab/>
      </w:r>
      <w:r>
        <w:rPr>
          <w:rFonts w:ascii="Arial" w:cs="Arial" w:eastAsia="Arial" w:hAnsi="Arial"/>
          <w:sz w:val="14"/>
          <w:szCs w:val="14"/>
          <w:b w:val="1"/>
          <w:bCs w:val="1"/>
          <w:color w:val="auto"/>
        </w:rPr>
        <w:t>Estimates</w:t>
      </w:r>
      <w:r>
        <w:rPr>
          <w:sz w:val="20"/>
          <w:szCs w:val="20"/>
          <w:color w:val="auto"/>
        </w:rPr>
        <w:tab/>
      </w:r>
      <w:r>
        <w:rPr>
          <w:rFonts w:ascii="Arial" w:cs="Arial" w:eastAsia="Arial" w:hAnsi="Arial"/>
          <w:sz w:val="13"/>
          <w:szCs w:val="13"/>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87" w:right="239" w:bottom="0" w:gutter="0" w:footer="0" w:header="0"/>
        </w:sectPr>
      </w:pPr>
    </w:p>
    <w:p>
      <w:pPr>
        <w:spacing w:after="0" w:line="9" w:lineRule="exact"/>
        <w:rPr>
          <w:sz w:val="20"/>
          <w:szCs w:val="20"/>
          <w:color w:val="auto"/>
        </w:rPr>
      </w:pPr>
    </w:p>
    <w:p>
      <w:pPr>
        <w:spacing w:after="0"/>
        <w:tabs>
          <w:tab w:leader="none" w:pos="5900" w:val="left"/>
          <w:tab w:leader="none" w:pos="6260" w:val="left"/>
          <w:tab w:leader="none" w:pos="7040" w:val="left"/>
          <w:tab w:leader="none" w:pos="7480" w:val="left"/>
          <w:tab w:leader="none" w:pos="8180" w:val="left"/>
          <w:tab w:leader="none" w:pos="8580" w:val="left"/>
          <w:tab w:leader="none" w:pos="9320" w:val="left"/>
          <w:tab w:leader="none" w:pos="9860" w:val="left"/>
          <w:tab w:leader="none" w:pos="10460" w:val="left"/>
          <w:tab w:leader="none" w:pos="10860" w:val="left"/>
        </w:tabs>
        <w:rPr>
          <w:sz w:val="20"/>
          <w:szCs w:val="20"/>
          <w:color w:val="auto"/>
        </w:rPr>
      </w:pPr>
      <w:r>
        <w:rPr>
          <w:rFonts w:ascii="Arial" w:cs="Arial" w:eastAsia="Arial" w:hAnsi="Arial"/>
          <w:sz w:val="18"/>
          <w:szCs w:val="18"/>
          <w:color w:val="auto"/>
        </w:rPr>
        <w:t>February 2, 2007</w:t>
      </w:r>
      <w:r>
        <w:rPr>
          <w:sz w:val="20"/>
          <w:szCs w:val="20"/>
          <w:color w:val="auto"/>
        </w:rPr>
        <w:tab/>
      </w:r>
      <w:r>
        <w:rPr>
          <w:rFonts w:ascii="Arial" w:cs="Arial" w:eastAsia="Arial" w:hAnsi="Arial"/>
          <w:sz w:val="18"/>
          <w:szCs w:val="18"/>
          <w:color w:val="auto"/>
        </w:rPr>
        <w:t>$</w:t>
        <w:tab/>
        <w:t>65,235</w:t>
        <w:tab/>
        <w:t>$</w:t>
      </w:r>
      <w:r>
        <w:rPr>
          <w:sz w:val="20"/>
          <w:szCs w:val="20"/>
          <w:color w:val="auto"/>
        </w:rPr>
        <w:tab/>
      </w:r>
      <w:r>
        <w:rPr>
          <w:rFonts w:ascii="Arial" w:cs="Arial" w:eastAsia="Arial" w:hAnsi="Arial"/>
          <w:sz w:val="18"/>
          <w:szCs w:val="18"/>
          <w:color w:val="auto"/>
        </w:rPr>
        <w:t>8,542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(9,516)</w:t>
        <w:tab/>
        <w:t>$</w:t>
      </w:r>
      <w:r>
        <w:rPr>
          <w:sz w:val="20"/>
          <w:szCs w:val="20"/>
          <w:color w:val="auto"/>
        </w:rPr>
        <w:tab/>
      </w:r>
      <w:r>
        <w:rPr>
          <w:rFonts w:ascii="Arial" w:cs="Arial" w:eastAsia="Arial" w:hAnsi="Arial"/>
          <w:sz w:val="18"/>
          <w:szCs w:val="18"/>
          <w:color w:val="auto"/>
        </w:rPr>
        <w:t>(369)</w:t>
        <w:tab/>
        <w:t>$</w:t>
      </w:r>
      <w:r>
        <w:rPr>
          <w:sz w:val="20"/>
          <w:szCs w:val="20"/>
          <w:color w:val="auto"/>
        </w:rPr>
        <w:tab/>
      </w:r>
      <w:r>
        <w:rPr>
          <w:rFonts w:ascii="Arial" w:cs="Arial" w:eastAsia="Arial" w:hAnsi="Arial"/>
          <w:sz w:val="15"/>
          <w:szCs w:val="15"/>
          <w:color w:val="auto"/>
        </w:rPr>
        <w:t>63,892</w:t>
      </w:r>
    </w:p>
    <w:p>
      <w:pPr>
        <w:sectPr>
          <w:pgSz w:w="11900" w:h="16838" w:orient="portrait"/>
          <w:cols w:equalWidth="0" w:num="1">
            <w:col w:w="11420"/>
          </w:cols>
          <w:pgMar w:left="240" w:top="87" w:right="239" w:bottom="0" w:gutter="0" w:footer="0" w:header="0"/>
          <w:type w:val="continuous"/>
        </w:sectPr>
      </w:pPr>
    </w:p>
    <w:bookmarkStart w:id="6" w:name="page7"/>
    <w:bookmarkEnd w:id="6"/>
    <w:p>
      <w:pPr>
        <w:spacing w:after="0" w:line="40" w:lineRule="exact"/>
        <w:rPr>
          <w:sz w:val="20"/>
          <w:szCs w:val="20"/>
          <w:color w:val="auto"/>
        </w:rPr>
      </w:pPr>
    </w:p>
    <w:p>
      <w:pPr>
        <w:spacing w:after="0"/>
        <w:tabs>
          <w:tab w:leader="none" w:pos="5900" w:val="left"/>
          <w:tab w:leader="none" w:pos="6260" w:val="left"/>
          <w:tab w:leader="none" w:pos="7040" w:val="left"/>
          <w:tab w:leader="none" w:pos="7480" w:val="left"/>
          <w:tab w:leader="none" w:pos="8180" w:val="left"/>
          <w:tab w:leader="none" w:pos="8580" w:val="left"/>
          <w:tab w:leader="none" w:pos="9320" w:val="left"/>
          <w:tab w:leader="none" w:pos="9860" w:val="left"/>
          <w:tab w:leader="none" w:pos="10460" w:val="left"/>
          <w:tab w:leader="none" w:pos="10860" w:val="left"/>
        </w:tabs>
        <w:rPr>
          <w:sz w:val="20"/>
          <w:szCs w:val="20"/>
          <w:color w:val="auto"/>
        </w:rPr>
      </w:pPr>
      <w:r>
        <w:rPr>
          <w:rFonts w:ascii="Arial" w:cs="Arial" w:eastAsia="Arial" w:hAnsi="Arial"/>
          <w:sz w:val="18"/>
          <w:szCs w:val="18"/>
          <w:color w:val="auto"/>
        </w:rPr>
        <w:t>February 3, 2006</w:t>
      </w:r>
      <w:r>
        <w:rPr>
          <w:sz w:val="20"/>
          <w:szCs w:val="20"/>
          <w:color w:val="auto"/>
        </w:rPr>
        <w:tab/>
      </w:r>
      <w:r>
        <w:rPr>
          <w:rFonts w:ascii="Arial" w:cs="Arial" w:eastAsia="Arial" w:hAnsi="Arial"/>
          <w:sz w:val="18"/>
          <w:szCs w:val="18"/>
          <w:color w:val="auto"/>
        </w:rPr>
        <w:t>$</w:t>
        <w:tab/>
        <w:t>61,385</w:t>
        <w:tab/>
        <w:t>$</w:t>
      </w:r>
      <w:r>
        <w:rPr>
          <w:sz w:val="20"/>
          <w:szCs w:val="20"/>
          <w:color w:val="auto"/>
        </w:rPr>
        <w:tab/>
      </w:r>
      <w:r>
        <w:rPr>
          <w:rFonts w:ascii="Arial" w:cs="Arial" w:eastAsia="Arial" w:hAnsi="Arial"/>
          <w:sz w:val="18"/>
          <w:szCs w:val="18"/>
          <w:color w:val="auto"/>
        </w:rPr>
        <w:t>7,983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(7,647)</w:t>
        <w:tab/>
        <w:t>$</w:t>
      </w:r>
      <w:r>
        <w:rPr>
          <w:sz w:val="20"/>
          <w:szCs w:val="20"/>
          <w:color w:val="auto"/>
        </w:rPr>
        <w:tab/>
      </w:r>
      <w:r>
        <w:rPr>
          <w:rFonts w:ascii="Arial" w:cs="Arial" w:eastAsia="Arial" w:hAnsi="Arial"/>
          <w:sz w:val="18"/>
          <w:szCs w:val="18"/>
          <w:color w:val="auto"/>
        </w:rPr>
        <w:t>(884)</w:t>
        <w:tab/>
        <w:t>$</w:t>
      </w:r>
      <w:r>
        <w:rPr>
          <w:sz w:val="20"/>
          <w:szCs w:val="20"/>
          <w:color w:val="auto"/>
        </w:rPr>
        <w:tab/>
      </w:r>
      <w:r>
        <w:rPr>
          <w:rFonts w:ascii="Arial" w:cs="Arial" w:eastAsia="Arial" w:hAnsi="Arial"/>
          <w:sz w:val="15"/>
          <w:szCs w:val="15"/>
          <w:color w:val="auto"/>
        </w:rPr>
        <w:t>60,837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and Deferred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periodic benefit costs of the postretirement health-care benefit plan:</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02"/>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8"/>
                <w:szCs w:val="8"/>
                <w:color w:val="auto"/>
              </w:rPr>
            </w:pPr>
          </w:p>
        </w:tc>
        <w:tc>
          <w:tcPr>
            <w:tcW w:w="88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February 2,</w:t>
            </w: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rPr>
              <w:t>February 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losses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expense</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February 2, 2007, approximately $125,000 of contributions had been made. The company presently expects to contribute a total of $500,000 to its postretirement health-care benefit plan in fiscal 2007, including contributions made through February 2, 2007.</w:t>
      </w:r>
    </w:p>
    <w:p>
      <w:pPr>
        <w:spacing w:after="0" w:line="170"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$5.7 million for the first quarter of fiscal 2007 and $4.1 million for the first quarter of fiscal 2006.</w:t>
      </w:r>
    </w:p>
    <w:p>
      <w:pPr>
        <w:spacing w:after="0" w:line="363"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which amounted to $18 million. The fair value of the investment in the deferred compensation plans as of February 2, 2007 was $17.3 million, which reduced the company’s deferred compensation liability reflected in accrued liabilities on the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88" w:lineRule="exact"/>
        <w:rPr>
          <w:sz w:val="20"/>
          <w:szCs w:val="20"/>
          <w:color w:val="auto"/>
        </w:rPr>
      </w:pPr>
    </w:p>
    <w:p>
      <w:pPr>
        <w:ind w:right="220" w:firstLine="405"/>
        <w:spacing w:after="0" w:line="270" w:lineRule="auto"/>
        <w:rPr>
          <w:sz w:val="20"/>
          <w:szCs w:val="20"/>
          <w:color w:val="auto"/>
        </w:rPr>
      </w:pPr>
      <w:r>
        <w:rPr>
          <w:rFonts w:ascii="Arial" w:cs="Arial" w:eastAsia="Arial" w:hAnsi="Arial"/>
          <w:sz w:val="17"/>
          <w:szCs w:val="17"/>
          <w:color w:val="auto"/>
        </w:rPr>
        <w:t>The company enters into foreign currency exchange contracts to hedge the risk from forecasted settlements in local currencies of trade sales and purchases. These contracts are designated as cash flow hedges and are reported at fair value as a hedge asset or liability in prepaid expenses or accrued liabilities, as applicable. Changes in the fair value of these contracts are reported in accumulated other comprehensive loss until the hedged transaction occurs. Once the forecasted transaction has been recognized as a sale or inventory purchase and a related asset or liability recorded in the balance sheet, the related fair value of the derivative hedge contract is reclassified from accumulated other comprehensive loss into earnings. During the three months ended February 2, 2007, the amount of losses reclassified to earnings for such cash flow hedges was $0.2 million. For the three months ended February 2, 2007, the losses treated as a reduction to net sales for contracts to hedge trade sales were $0.4 million and the gains treated as a reduction of cost of sales for contracts to hedge inventory purchases were $0.2 million. As of February 2, 2007, the notional amount of such contracts outstanding was $73.6 million. The unrecognized after-tax gain portion of the fair value of the contracts recorded in accumulated other comprehensive loss as of February 2, 2007 was $0.3 million.</w:t>
      </w:r>
    </w:p>
    <w:p>
      <w:pPr>
        <w:spacing w:after="0" w:line="17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and are not designed as hedging instruments under the accounting criteria of SFAS No. 133; therefore, changes in fair value of these instruments are recorded in other income, net.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w:t>
      </w:r>
      <w:r>
        <w:rPr>
          <w:rFonts w:ascii="Arial" w:cs="Arial" w:eastAsia="Arial" w:hAnsi="Arial"/>
          <w:sz w:val="17"/>
          <w:szCs w:val="17"/>
          <w:b w:val="1"/>
          <w:bCs w:val="1"/>
          <w:color w:val="auto"/>
        </w:rPr>
        <w:t>Event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March 2007, we added a $75 million line of credit from a domestic bank to address seasonal cash needs.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w:t>
      </w:r>
    </w:p>
    <w:p>
      <w:pPr>
        <w:sectPr>
          <w:pgSz w:w="11900" w:h="16878" w:orient="portrait"/>
          <w:cols w:equalWidth="0" w:num="1">
            <w:col w:w="11420"/>
          </w:cols>
          <w:pgMar w:left="240" w:top="125" w:right="239" w:bottom="0" w:gutter="0" w:footer="0" w:header="0"/>
        </w:sectPr>
      </w:pPr>
    </w:p>
    <w:bookmarkStart w:id="7" w:name="page8"/>
    <w:bookmarkEnd w:id="7"/>
    <w:p>
      <w:pPr>
        <w:spacing w:after="0" w:line="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 and certification of a settlement class. All remaining non-settling defendants have filed counterclaims against MTD Products Inc. for potential contribution amounts, and MTD Products Inc. has filed cross claims against the non-settling defendants. A court hearing on the defendants’ motions to dismiss and the plaintiffs’ motion for preliminary approval of the settlement agreement and certification of a settlement class was held on August 29, 2006. As of March 12, 2007, the court has not yet ruled on these motions. On December 21, 2006, another defendant, American Honda Motor Company, notified us that it had reached an agreement of settlement with the plaintiffs.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166"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In the ordinary course of business, in addition to that described above, the company may become liable with respect to pending and threatened litigation for product liability,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liquidity, or financial position of the company.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and micro irrigation systems, landscaping equipment, and residential yard products worldwide. We sell our products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enter the first year of our “GrowLean” initiative, we expect to focus our efforts on revenue growth, profit improvement, and asset management, while maximizing our use of Lean methods to reduce costs and improve quality and efficiency in our manufacturing facilities and corporate offices. The goals of this initiative are to grow revenues at an average rate of 8 percent or more and achieve a consistent after-tax return on net sales of 7 percent or more over the three-year period ending October 31, 2009. We have added a long-term asset management goal that focuses on reducing average net working capital as a percent of net sales below 20 percent, or in the “teens.” We define average net working capital as accounts receivable plus inventory less trade payables.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results for the first quarter of fiscal 2007 were positive with net sales growth of 2.6 percent and a net earnings growth rate of 29.2 percent compared to the first quarter of fiscal 2006. Strong international performance led the sales increase along with strong worldwide shipments of most professional segment products, which more than offset a decline in sales of both snow thrower and landscape contractor equipment products. Net earnings increased significantly, and as a percentage of net sales rose from 3.9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percent in the first quarter of fiscal 2006 to 4.9 percent in the first quarter of fiscal 2007. Higher gross margins, an increase in other income, and lower tax expense as a percent of earnings before income taxes contributed to the earnings improvement while higher selling, general, and administrative expenses somewhat hampered the net earnings growth rate. We also increased our first quarter cash dividend by 33 percent compared to the quarterly cash dividend paid in the first quarter of fiscal 2006.</w:t>
      </w:r>
    </w:p>
    <w:p>
      <w:pPr>
        <w:spacing w:after="0" w:line="187" w:lineRule="exact"/>
        <w:rPr>
          <w:sz w:val="20"/>
          <w:szCs w:val="20"/>
          <w:color w:val="auto"/>
        </w:rPr>
      </w:pPr>
    </w:p>
    <w:p>
      <w:pPr>
        <w:jc w:val="both"/>
        <w:ind w:right="160" w:firstLine="360"/>
        <w:spacing w:after="0" w:line="259" w:lineRule="auto"/>
        <w:rPr>
          <w:sz w:val="20"/>
          <w:szCs w:val="20"/>
          <w:color w:val="auto"/>
        </w:rPr>
      </w:pPr>
      <w:r>
        <w:rPr>
          <w:rFonts w:ascii="Arial" w:cs="Arial" w:eastAsia="Arial" w:hAnsi="Arial"/>
          <w:sz w:val="18"/>
          <w:szCs w:val="18"/>
          <w:color w:val="auto"/>
        </w:rPr>
        <w:t>Receivables as of the end of the first quarter of fiscal 2007 were up 14.1 percent compared to the first quarter of fiscal 2006 due primarily to the timing of shipments to later in the quarter and a higher proportion of international sales that have longer payment terms. Inventory was also up as of the end of the first quarter of fiscal 2007 by 4.0 percent compared to the first quarter of fiscal 2006. As part of our GrowLean initiative, additional emphasis will be placed on asset management.</w:t>
      </w:r>
    </w:p>
    <w:p>
      <w:pPr>
        <w:spacing w:after="0" w:line="18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fiscal 2007 first quarter results were solid, and we are optimistic that results for the full fiscal year of 2007 will end strong. However, as net sales and earnings for the first quarter of our fiscal year are typically lower than other quarters, the results of our first quarter are not necessarily an indicator of spring season sales trends, which are still ahead. We continue to keep a cautionary eye on the domestic and global economies, weather, field inventory levels, commodity prices, competitive actions, and other factors identified below under the heading “Forward-Looking Information,” which could cause our actual results to differ from our outlook.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earnings for the first quarter of fiscal 2007 were $18.5 million or $0.44 per diluted share compared to $14.3 million or $0.32 per diluted share for the first quarter of fiscal 2006, a net earnings increase of 29.2 percent. The primary factors contributing to this increase were higher sales volumes, an increase in gross margins, higher other income, and a decline in tax expense as a percent of earnings before income taxes, somewhat offset by higher selling, general, and administrative costs. In addition, first quarter of fiscal 2007 diluted net earnings per share were benefited by approximately $0.03 per share compared to the first quarter of fiscal 2006 as a result of reduced shares outstanding due to our continued Toro common stock repurchases during the past twelve months.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3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r>
      <w:tr>
        <w:trPr>
          <w:trHeight w:val="102"/>
        </w:trPr>
        <w:tc>
          <w:tcPr>
            <w:tcW w:w="910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rPr>
              <w:t>February 2,</w:t>
            </w:r>
          </w:p>
        </w:tc>
        <w:tc>
          <w:tcPr>
            <w:tcW w:w="920" w:type="dxa"/>
            <w:vAlign w:val="bottom"/>
            <w:tcBorders>
              <w:top w:val="single" w:sz="8" w:color="auto"/>
            </w:tcBorders>
          </w:tcPr>
          <w:p>
            <w:pPr>
              <w:jc w:val="right"/>
              <w:ind w:right="20"/>
              <w:spacing w:after="0" w:line="102" w:lineRule="exact"/>
              <w:rPr>
                <w:sz w:val="20"/>
                <w:szCs w:val="20"/>
                <w:color w:val="auto"/>
              </w:rPr>
            </w:pPr>
            <w:r>
              <w:rPr>
                <w:rFonts w:ascii="Arial" w:cs="Arial" w:eastAsia="Arial" w:hAnsi="Arial"/>
                <w:sz w:val="11"/>
                <w:szCs w:val="11"/>
                <w:b w:val="1"/>
                <w:bCs w:val="1"/>
                <w:color w:val="auto"/>
              </w:rPr>
              <w:t>February 3,</w:t>
            </w:r>
          </w:p>
        </w:tc>
        <w:tc>
          <w:tcPr>
            <w:tcW w:w="200" w:type="dxa"/>
            <w:vAlign w:val="bottom"/>
          </w:tcPr>
          <w:p>
            <w:pPr>
              <w:spacing w:after="0"/>
              <w:rPr>
                <w:sz w:val="8"/>
                <w:szCs w:val="8"/>
                <w:color w:val="auto"/>
              </w:rPr>
            </w:pPr>
          </w:p>
        </w:tc>
      </w:tr>
      <w:tr>
        <w:trPr>
          <w:trHeight w:val="162"/>
        </w:trPr>
        <w:tc>
          <w:tcPr>
            <w:tcW w:w="9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4"/>
                <w:szCs w:val="14"/>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Cost of sales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(64.3)</w:t>
            </w:r>
          </w:p>
        </w:tc>
      </w:tr>
      <w:tr>
        <w:trPr>
          <w:trHeight w:val="210"/>
        </w:trPr>
        <w:tc>
          <w:tcPr>
            <w:tcW w:w="9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Borders>
              <w:top w:val="single" w:sz="8" w:color="CCEEFF"/>
            </w:tcBorders>
            <w:shd w:val="clear" w:color="auto" w:fill="CCEEFF"/>
          </w:tcPr>
          <w:p>
            <w:pPr>
              <w:spacing w:after="0"/>
              <w:rPr>
                <w:sz w:val="18"/>
                <w:szCs w:val="18"/>
                <w:color w:val="auto"/>
              </w:rPr>
            </w:pPr>
          </w:p>
        </w:tc>
      </w:tr>
    </w:tbl>
    <w:p>
      <w:pPr>
        <w:sectPr>
          <w:pgSz w:w="11900" w:h="16870"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(29.6)</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(29.0)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9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Worldwide consolidated net sales for the first quarter of fiscal 2007 were up 2.6 percent compared to last fiscal year’s first quarter. Favorable currency rates accounted for over half of the sales growth for the quarter. International sales for the first quarter of fiscal 2007 were strong, increasing by 10.5 percent compared to the first quarter of fiscal 2006. Disregarding currency effects, international sales increased 5.6 percent. Professional segment products worldwide were strong as a result of continued demand in international markets, introduction of new products, and improved availability of some products. Residential segment net sales of riding and walk power mower products were also up for the first quarter comparison due mainly to the introduction of new products. However, worldwide sales of snow thrower products were down as a result of the lack of snow fall in key markets as of the end of the first quarter of fiscal 2007. In addition, worldwide sales of landscape contractor equipment products were down for the first quarter compared to last year’s first quarter due mainly to our customers’ efforts to reduce field inventory levels by ordering product closer to retail demand. Other segment net sales were also down for the first quarter compared to the prior year’s first quarter due to lower sales at a company-owned distributorship.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Gross profit in dollars for the first quarter of fiscal 2007 increased 6.2 percent compared to the first quarter of fiscal 2006. As a percentage of net sales, gross profit for the first quarter of fiscal 2007 was 36.9 percent compared to 35.7 percent in the first quarter of fiscal 2006. The increase in gross profit as a percentage of net sales was the result of the following factors: (i) 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greater percentage of professional segment sales that have higher gross margins; (ii) increased sales of higher-margin products; (iii) cost reduction efforts, including benefits from past and continuing profit improvement initiatives; and (iv) favorable foreign currency exchange rates compared to the U.S. dollar. Somewhat offsetting those positive factors were: (i) lower residential segment gross margins primarily attributable to higher sales of lower-margin products and (ii) higher commodity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Selling, general, and administrative expense (SG&amp;A) for the first quarter of fiscal 2007 increased by 4.7 percent compared to the same period last fiscal year. SG&amp;A as a percentage of net sales increased to 29.6 percent in the first quarter of fiscal 2007 compared to 29.0 percent in the first quarter of fiscal 2006. Those increases in SG&amp;A expense were primarily attributable to: (i) a retirement plan contribution to certain participants’ profit sharing accounts to correct an identified contribution shortfall; (ii) higher warranty expense due to special warranty modifications in the first quarter of fiscal 2007, whereas last year warranty expense was favorably impacted by a reimbursement received from a vendor for a special product modification; and (iii) an increase in marketing and service expense. Somewhat offsetting those increases was a reduction in self-insurance costs due to favorable claims experience.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for the first quarter of fiscal 2007 increased by 5.8 percent compared to the first quarter of fiscal 2006 due to higher average short-term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Other income, net for the first quarter of fiscal 2007 was $2.4 million compared to $0.9 million for the same period last fiscal year, an increase of $1.5 million. The increase was due primarily to higher currency exchange rate gains, an increase in interest income, and lower equity investment losses in the first quarter of fiscal 2007 compared to the first quarter of fiscal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tax rate for the first quarter of fiscal 2007 was 28.2 percent compared to 33.0 percent in the first quarter of fiscal 2006. The decline was the result of the reinstatement of the federal research and development tax credit, which was somewhat offset by an increase in the effective tax rate due to the accelerated phase-out of benefits for foreign export incentives as compared to the phase-in benefit for the domestic manufacturing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previously, we operate in two reportable business segments: professional and residential. A third reportable segment called “other” consists of company-owned distributorships in the United States, corporate activities, and financing functions.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jc w:val="right"/>
              <w:ind w:right="339"/>
              <w:spacing w:after="0" w:line="102" w:lineRule="exact"/>
              <w:rPr>
                <w:sz w:val="20"/>
                <w:szCs w:val="20"/>
                <w:color w:val="auto"/>
              </w:rPr>
            </w:pPr>
            <w:r>
              <w:rPr>
                <w:rFonts w:ascii="Arial" w:cs="Arial" w:eastAsia="Arial" w:hAnsi="Arial"/>
                <w:sz w:val="11"/>
                <w:szCs w:val="11"/>
                <w:b w:val="1"/>
                <w:bCs w:val="1"/>
                <w:color w:val="auto"/>
              </w:rPr>
              <w:t>February 2,</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gridSpan w:val="2"/>
          </w:tcPr>
          <w:p>
            <w:pPr>
              <w:jc w:val="center"/>
              <w:ind w:right="420"/>
              <w:spacing w:after="0" w:line="102" w:lineRule="exact"/>
              <w:rPr>
                <w:sz w:val="20"/>
                <w:szCs w:val="20"/>
                <w:color w:val="auto"/>
              </w:rPr>
            </w:pPr>
            <w:r>
              <w:rPr>
                <w:rFonts w:ascii="Arial" w:cs="Arial" w:eastAsia="Arial" w:hAnsi="Arial"/>
                <w:sz w:val="11"/>
                <w:szCs w:val="11"/>
                <w:b w:val="1"/>
                <w:bCs w:val="1"/>
                <w:color w:val="auto"/>
              </w:rPr>
              <w:t>February 3,</w:t>
            </w:r>
          </w:p>
        </w:tc>
        <w:tc>
          <w:tcPr>
            <w:tcW w:w="28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8"/>
                <w:szCs w:val="8"/>
                <w:color w:val="auto"/>
              </w:rPr>
            </w:pPr>
          </w:p>
        </w:tc>
        <w:tc>
          <w:tcPr>
            <w:tcW w:w="16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2006</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101,858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108,185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(6,327)</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(2,762)</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 *</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379,088</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369,640</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3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tabs>
          <w:tab w:leader="none" w:pos="3980" w:val="left"/>
          <w:tab w:leader="none" w:pos="4940" w:val="left"/>
          <w:tab w:leader="none" w:pos="5840" w:val="left"/>
          <w:tab w:leader="none" w:pos="6800" w:val="left"/>
          <w:tab w:leader="none" w:pos="7700" w:val="left"/>
          <w:tab w:leader="none" w:pos="8760" w:val="left"/>
          <w:tab w:leader="none" w:pos="10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t>* Includes international sales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132,613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120,059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12,554</w:t>
      </w:r>
      <w:r>
        <w:rPr>
          <w:sz w:val="20"/>
          <w:szCs w:val="20"/>
          <w:color w:val="auto"/>
        </w:rPr>
        <w:tab/>
      </w: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earnings (loss) before income taxes by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right"/>
              <w:ind w:right="39"/>
              <w:spacing w:after="0" w:line="102" w:lineRule="exact"/>
              <w:rPr>
                <w:sz w:val="20"/>
                <w:szCs w:val="20"/>
                <w:color w:val="auto"/>
              </w:rPr>
            </w:pPr>
            <w:r>
              <w:rPr>
                <w:rFonts w:ascii="Arial" w:cs="Arial" w:eastAsia="Arial" w:hAnsi="Arial"/>
                <w:sz w:val="11"/>
                <w:szCs w:val="11"/>
                <w:b w:val="1"/>
                <w:bCs w:val="1"/>
                <w:color w:val="auto"/>
              </w:rPr>
              <w:t>February 2,</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380"/>
              <w:spacing w:after="0" w:line="102" w:lineRule="exact"/>
              <w:rPr>
                <w:sz w:val="20"/>
                <w:szCs w:val="20"/>
                <w:color w:val="auto"/>
              </w:rPr>
            </w:pPr>
            <w:r>
              <w:rPr>
                <w:rFonts w:ascii="Arial" w:cs="Arial" w:eastAsia="Arial" w:hAnsi="Arial"/>
                <w:sz w:val="11"/>
                <w:szCs w:val="11"/>
                <w:b w:val="1"/>
                <w:bCs w:val="1"/>
                <w:color w:val="auto"/>
              </w:rPr>
              <w:t>February 3,</w:t>
            </w:r>
          </w:p>
        </w:tc>
        <w:tc>
          <w:tcPr>
            <w:tcW w:w="120" w:type="dxa"/>
            <w:vAlign w:val="bottom"/>
          </w:tcPr>
          <w:p>
            <w:pPr>
              <w:spacing w:after="0"/>
              <w:rPr>
                <w:sz w:val="8"/>
                <w:szCs w:val="8"/>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 Change</w:t>
            </w:r>
          </w:p>
        </w:tc>
        <w:tc>
          <w:tcPr>
            <w:tcW w:w="280" w:type="dxa"/>
            <w:vAlign w:val="bottom"/>
            <w:vMerge w:val="restart"/>
          </w:tcPr>
          <w:p>
            <w:pPr>
              <w:spacing w:after="0"/>
              <w:rPr>
                <w:sz w:val="8"/>
                <w:szCs w:val="8"/>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4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(27,051)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(25,497)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64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25,688</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21,312</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for the professional segment in the first quarter of fiscal 2007 were up 7.3 percent compared to the first quarter of fiscal 2006.</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primarily due to strong international sales, which were up 20.3 percent for the professional segment for the first quarter comparison, due to continued demand and growth in international markets, the success of new products introduced within the past two years, and improved availability of some products. Domestic sales of most professional segment products were also up due mainly to the introduction of new products and strong early season stocking orders from our customers in anticipation of strong retail demand during fiscal 2007. This resulted in higher field inventory levels for some product lines in this segment as of the end of the first quarter of fiscal 2007 compared to the end of the first quarter of fiscal 2006. However, worldwide sales of landscape contractor equipment were down for the first quarter comparison due mainly to our customers’ efforts to reduce field inventory levels by ordering product closer to retail demand.</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were $48.4 million in the first quarter of fiscal 2007 compared to $41.7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fiscal 2006, an increase of 16.1 percent. Expressed as a percentage of net sales, professional segment operating margins increased to 17.8 percent compared to 16.4 percent in the first quarter of fiscal 2006. This profit improvement was the result of higher gross margins in the first quarter of fiscal 2007 compared to the first quarter of fiscal 2006 due to improved margins on some products; cost reduction efforts, including benefits from past and continuing profit improvement initiatives; select price increases; and favorable foreign currency exchange rates compared to the U.S dollar. Somewhat offsetting the operating earnings improvement was an increase in SG&amp;A expense, primarily from higher warranty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Worldwide net sales for the residential segment in the first quarter of fiscal 2007 were down by 5.8 percent compared to the first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2006. This decrease was primarily due to lower worldwide sales of snow thrower products as a result of the lack of snowfall in key markets as of the end of the first quarter of fiscal 2007. Somewhat offsetting the decline in snow thrower sales was an increase in sales of riding products due mainly to the introduction of new products. Sales of walk power mowers were also up due mainly to the introduction of new products, better availability of new products in the first quarter of fiscal 2007 compared to the first quarter of fiscal 2006, and customers ordering product earlier than last year.</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decreased 15.0 percent in the first quarter of fiscal 2007 compared to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2006. Expressed as a percentage of net sales, residential segment operating margins decreased to 4.3 percent compared to 4.8 percent in the first quarter of fiscal 2006. This decrease was due mainly to a decline in gross margins as a result of higher sales of lower-margin products. In addition, SG&amp;A expense as a percentage of net sales increased due mainly to higher fixed costs over lower sales volumes.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In addition, elimination of the professional and residential segments’ floor plan interest costs from Toro Credit Company are also included in this segment. The other segment net sales decreased $2.8 million, or 35.2 percent, in the first quarter of fiscal 2007 compared to the first quarter of fiscal 2006, due to decreased sales at a company-owned distributorship.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color w:val="auto"/>
        </w:rPr>
        <w:t>. Operating losses for the other segment were up $1.6 million or 6.1 percent for the first quarter of fiscal 2007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2006. This increased loss was due to a retirement plan contribution to certain participants’ profit sharing accounts to correct an identified contribution shortfall and an increase in operating losses at the company-owned distributorships, somewhat offset by lower administrative expenses and an increase in other income discussed previously.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Receivables as of the end of the first quarter of fiscal 2007 were up 14.1 percent compared to the first quarter of fiscal 2006. This increase was due primarily to the timing of shipments to later in the quarter and a higher proportion of international sales that have longer payment terms. Our average days sales outstanding for receivables improved to 73 days based on sales for the last twelve months ended February 2, 2007, compared to 76 days for the twelve months ended February 3, 2006. Inventory was up as of the end of the first quarter of fiscal 2007 by 4.0 percent compared to the first quarter of fiscal 2006.</w:t>
      </w:r>
    </w:p>
    <w:p>
      <w:pPr>
        <w:sectPr>
          <w:pgSz w:w="11900" w:h="16838" w:orient="portrait"/>
          <w:cols w:equalWidth="0" w:num="1">
            <w:col w:w="11420"/>
          </w:cols>
          <w:pgMar w:left="240" w:top="382" w:right="239" w:bottom="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auto"/>
        </w:rPr>
        <w:t>Average working capital for the first three months of fiscal 2007 was $267.4 million compared to $306.5 million for the first three months of fiscal 2006, a decrease of 12.8 percent. This decrease was due to higher average short-term debt and the classification of the $75 million notes due in June 2007 as current portion of long-term debt, somewhat offset by higher average receivables and inventory levels. Average receivables for the first three months of fiscal 2007 increased by 3.3 percent compared to the first three months of fiscal 2006 on a sales increase of 2.6 percent. Average inventory levels increased by 8.8 percent for the first three months of fiscal 2007 compared to the first three months of fiscal 2006, and average inventory turnover declined slightly by 1.3 percent for the twelve months ended February 2, 2007 compared to the twelve months ended February 3, 2006.</w:t>
      </w:r>
    </w:p>
    <w:p>
      <w:pPr>
        <w:spacing w:after="0" w:line="178"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As part of our GrowLean initiative, additional emphasis will be placed on asset management, with a focus on ensuring strong profitability of our products and services all the way through retail; minimizing the amount of working capital in the supply chain; and maintaining or improving fill rates and service levels to end users. Our long-term goal is to reduce average net working capital (accounts receivable plus inventory minus trade payables) as a percent of net sales below 20 percent, or in the “teens.” The average net working capital for the twelve months ended February 2, 2007 was 29.7 percent.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investments, acquisitions, debt repayments, dividend payments, and stock repurchases for at least the next twelve months.</w:t>
      </w:r>
    </w:p>
    <w:p>
      <w:pPr>
        <w:spacing w:after="0" w:line="17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As of February 2, 2007, we have $75 million of notes due on June 15, 2007 that are classified as current portion of long-term debt. We are in the process of replacing this debt on a long-term basis. However, since we did not have the capacity to refinance the $75 million notes under our credit agreements as of February 2, 2007, the $75 million notes were classified as current portion of long-term debt. We believe we will obtain cost effective financing in advance of the repayment date for the notes.</w:t>
      </w:r>
    </w:p>
    <w:p>
      <w:pPr>
        <w:spacing w:after="0" w:line="18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Our Board of Directors approved a cash dividend of $0.12 per share for the first quarter of fiscal 2007 paid on January 12, 2007, which was an increase over our cash dividend of $0.09 per share for the first quarter of fiscal 2006.</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Our first fiscal quarter historically uses more operating cash than other quarters due to the seasonality of our business. Cash used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the first three months of fiscal 2007 was $57.6 million higher than the first three months of fiscal 2006 due primarily to a higher increase in receivables and inventory levels, somewhat offset by a higher level of accounts payable and net earnings for the first three months of fiscal 2007 compared to the first three months of fiscal 2006. Cash used in investing activities was higher by $9.5 million compared to the first quarter of fiscal 2006, due mainly to an increase of purchases of property, plant, and equipment in the first quarter of fiscal 2007 compared to the first quarter of fiscal 2006 as well as cash received last year for payments of note receivables. Cash provided by financing activities was higher by $63.3 million compared to the first quarter of fiscal 2006. This increase was due mainly to an increase in short-term debt, as previously discussed, and lower tax benefits from stock-based awards in the first quarter of fiscal 2007 compared to the first quarter of fiscal 2006.</w:t>
      </w:r>
    </w:p>
    <w:p>
      <w:pPr>
        <w:spacing w:after="0" w:line="1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u w:val="single" w:color="auto"/>
          <w:color w:val="auto"/>
        </w:rPr>
        <w:t>Credit Lines and Other Capital Resources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is seasonal, with accounts receivable balances historically increasing between January and April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higher sales volumes and extended payment terms made available to our customers, and decreasing between May and December when payments are received. The seasonality of production and shipments causes our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During the first quarter of fiscal 2007, we amended our credit agreement to extend the maturity date of the facility from October 2010 to January 2012. In March 2007, we also added a $75 million line of credit from a domestic bank to address seasonal cash needs. Interest expense on these credit lines is determined based on a LIBOR rate plus a basis point spread defined in the credit agreements. In addition, our non-U.S. operations and a domestic subsidiary also maintain unsecured short-term lines of credit of approximately $17 million. These facilities bear interest at various rates depending on the rates in their respective countries of operation. We also have a letter of credit subfacility as part of our credit agreements. Average short-term debt was $61.1 million in the first quarter of fiscal 2007 compared to $37.0 million in the first quarter of fiscal 2006, an increase of 65.0 percent. This increase was due to funding a majority of our deferred compensation plans and additional working capital requirements as a result of higher receivable and inventory levels in the first quarter of fiscal 2007 compared to the first quarter of fiscal 2006. As of February 2, 2007, we had $65.1 million of unutilized availability under our credit agreements.</w:t>
      </w:r>
    </w:p>
    <w:p>
      <w:pPr>
        <w:spacing w:after="0" w:line="183"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Significant financial covenants in our credit agreements are interest coverage and debt-to-capitalization ratios. We were in compliance with all covenants related to our credit agreements as of February 2, 2007, and expect to be in compliance with all covenants during fiscal 2007.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has been unchanged for the first quarter of fiscal 2007 by Standard and Poor’s Ratings Group at BBB-and by Moody’s Investors Service at Baa3.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ectPr>
          <w:pgSz w:w="11900" w:h="16838" w:orient="portrait"/>
          <w:cols w:equalWidth="0" w:num="1">
            <w:col w:w="11420"/>
          </w:cols>
          <w:pgMar w:left="240" w:top="125" w:right="239" w:bottom="0" w:gutter="0" w:footer="0" w:header="0"/>
        </w:sectPr>
      </w:pPr>
    </w:p>
    <w:bookmarkStart w:id="11" w:name="page12"/>
    <w:bookmarkEnd w:id="11"/>
    <w:p>
      <w:pPr>
        <w:ind w:right="20"/>
        <w:spacing w:after="0" w:line="302" w:lineRule="auto"/>
        <w:rPr>
          <w:sz w:val="20"/>
          <w:szCs w:val="20"/>
          <w:color w:val="auto"/>
        </w:rPr>
      </w:pPr>
      <w:r>
        <w:rPr>
          <w:rFonts w:ascii="Arial" w:cs="Arial" w:eastAsia="Arial" w:hAnsi="Arial"/>
          <w:sz w:val="16"/>
          <w:szCs w:val="16"/>
          <w:color w:val="auto"/>
        </w:rPr>
        <w:t>We are subject to the effects of inflation and changing prices. In the first quarter of fiscal 2007, average prices paid for most commodities were slightly higher compared to the first quarter of fiscal 2006, which resulted in a slight negative impact on our gross profit and net earnings. We expect average commodity prices to remain relatively stable for the remainder of fiscal 2007. We will continue to attempt to mitigate the impact of commodity prices and other inflationary pressures by actively pursuing internal cost reduction efforts, introduce moderate price increases on some products, and vendor negotiations.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significant accounting policies are described in Note 1 to the notes to our consolidated financial statements included in our Annual Report on Form</w:t>
      </w:r>
    </w:p>
    <w:p>
      <w:pPr>
        <w:spacing w:after="0" w:line="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10-K for the fiscal year ended October 31, 2006.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Warranty Reserve.</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u w:val="single" w:color="auto"/>
          <w:color w:val="auto"/>
        </w:rPr>
        <w:t>Sales Promotions and Incentives.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sale to a customer, we record an estimate for sales promotion and incentive costs, which are classified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from gross sales or as a component of selling, general, and administrative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u w:val="single" w:color="auto"/>
          <w:color w:val="auto"/>
        </w:rPr>
        <w:t>Inventory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value our inventories at the lower of the cost of inventory or net realizable value, with cost determined by either the last-in, first-out</w:t>
      </w:r>
      <w:r>
        <w:rPr>
          <w:rFonts w:ascii="Arial" w:cs="Arial" w:eastAsia="Arial" w:hAnsi="Arial"/>
          <w:sz w:val="18"/>
          <w:szCs w:val="18"/>
          <w:i w:val="1"/>
          <w:iCs w:val="1"/>
          <w:color w:val="auto"/>
        </w:rPr>
        <w:t xml:space="preserve"> </w:t>
      </w:r>
      <w:r>
        <w:rPr>
          <w:rFonts w:ascii="Arial" w:cs="Arial" w:eastAsia="Arial" w:hAnsi="Arial"/>
          <w:sz w:val="18"/>
          <w:szCs w:val="18"/>
          <w:color w:val="auto"/>
        </w:rPr>
        <w:t>(LIFO) 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19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Accounts and Notes Receivable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value accounts and notes receivable, net of an allowance for doubtful accounts. Each quarter, we prepare an</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w:t>
      </w:r>
    </w:p>
    <w:p>
      <w:pPr>
        <w:sectPr>
          <w:pgSz w:w="11900" w:h="16838" w:orient="portrait"/>
          <w:cols w:equalWidth="0" w:num="1">
            <w:col w:w="11400"/>
          </w:cols>
          <w:pgMar w:left="240" w:top="125" w:right="259" w:bottom="96"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96" w:gutter="0" w:footer="0" w:header="0"/>
          <w:type w:val="continuous"/>
        </w:sectPr>
      </w:pPr>
    </w:p>
    <w:bookmarkStart w:id="12" w:name="page13"/>
    <w:bookmarkEnd w:id="12"/>
    <w:p>
      <w:pPr>
        <w:ind w:right="340"/>
        <w:spacing w:after="0" w:line="308" w:lineRule="auto"/>
        <w:rPr>
          <w:sz w:val="20"/>
          <w:szCs w:val="20"/>
          <w:color w:val="auto"/>
        </w:rPr>
      </w:pPr>
      <w:r>
        <w:rPr>
          <w:rFonts w:ascii="Arial" w:cs="Arial" w:eastAsia="Arial" w:hAnsi="Arial"/>
          <w:sz w:val="17"/>
          <w:szCs w:val="17"/>
          <w:color w:val="auto"/>
        </w:rPr>
        <w:t>uncollectible accounts may differ from our estimates. In the event we determined that a smaller or larger uncollectible accounts reserve is appropriate, we would record a credit or charge to selling, general, and administrative expense in the period that we made such a determination.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October 2006, the Financial Accounting Standards Board (FASB) issued SFAS No. 158, “Employers’ Accounting for Defined Benefit Pension and Other Postretirement Plans.” SFAS No. 158 requires employers to recognize on their balance sheets the funded status of pension and other postretirement benefit plans. In 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will require the measurement date of plan assets and benefit obligations to be as of the end of the employer’s fiscal year. We will adopt the provisions of SFAS No. 158, which requires the funded status of pension and other postretirement benefit plans to be recorded on the balance sheet as of October 31, 2007, as required, and we will adopt the provisions that require the measurement date of plan assets and benefit obligations to be the same as our fiscal year end as of October 31, 2009, as required. This new pronouncement is not expected to have a material impact on our financial condition, and will have no impact on our consolidated results of operations.</w:t>
      </w:r>
    </w:p>
    <w:p>
      <w:pPr>
        <w:spacing w:after="0" w:line="18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August 2006, the FASB issued Staff Position No. AUG AIR-1, “Accounting for Planned Major Maintenance Activities.” This Staff Position prohibits the use of the accrue-in-advance method of accounting for planned major maintenance activities in annual and interim financial reporting periods. We will adopt the provisions of this Staff Position as of November 1, 2007, as required. We are currently evaluating the requirements of Staff Position No. AUG AIR-1 and do not expect that the adoption of this Staff Position will have a material impact on our consolidated results of operations or financial condition.</w:t>
      </w:r>
    </w:p>
    <w:p>
      <w:pPr>
        <w:spacing w:after="0" w:line="154"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July 2006, the FASB issued Interpretation No. 48, “Accounting for Uncertainty in Income Taxes” (FIN No. 48). This interpretation clarifies the accounting for uncertainty in income taxes recognized in an entity’s financial statements in accordance with SFAS No. 109, “Accounting for Income Taxes.” It prescribes a recognition threshold and measurement attributes for financial statement disclosure of tax positions taken or expected to be taken on a tax return. We will adopt the provisions of this interpretation in the first quarter of fiscal 2008, as required. We are currently evaluating the requirements of FIN No. 48 and we do not expect this new pronouncement will have a material impact on our consolidated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“plan”, “anticipate”,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81" w:lineRule="exact"/>
        <w:rPr>
          <w:sz w:val="20"/>
          <w:szCs w:val="20"/>
          <w:color w:val="auto"/>
        </w:rPr>
      </w:pPr>
    </w:p>
    <w:p>
      <w:pPr>
        <w:ind w:left="260" w:right="100" w:hanging="252"/>
        <w:spacing w:after="0" w:line="264"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economic conditions in the United States and around the world, including but not limited to worldwide economic growth rates; slow downs or reductions in home ownership, construction, and home sales; consumer spending levels; employment rates; interest rates; inflation; and consumer confidence in the United States and the foreign countries in which we conduct business.</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225" w:lineRule="exact"/>
        <w:rPr>
          <w:rFonts w:ascii="Arial" w:cs="Arial" w:eastAsia="Arial" w:hAnsi="Arial"/>
          <w:sz w:val="18"/>
          <w:szCs w:val="18"/>
          <w:color w:val="auto"/>
        </w:rPr>
      </w:pPr>
    </w:p>
    <w:p>
      <w:pPr>
        <w:ind w:left="260" w:right="660" w:hanging="252"/>
        <w:spacing w:after="0" w:line="277"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the cost and availability of raw materials and components that we purchase and increases in our other costs of doing business, such as transportation costs, may adversely affect our profit margins and business.</w:t>
      </w:r>
    </w:p>
    <w:p>
      <w:pPr>
        <w:spacing w:after="0" w:line="170" w:lineRule="exact"/>
        <w:rPr>
          <w:rFonts w:ascii="Arial" w:cs="Arial" w:eastAsia="Arial" w:hAnsi="Arial"/>
          <w:sz w:val="18"/>
          <w:szCs w:val="18"/>
          <w:color w:val="auto"/>
        </w:rPr>
      </w:pPr>
    </w:p>
    <w:p>
      <w:pPr>
        <w:ind w:left="260" w:right="60" w:hanging="252"/>
        <w:spacing w:after="0" w:line="264"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the level of growth in the residential and commercial construction markets, growth of homeowners who outsource lawn care, the amount of investment in golf course renovations and improvements, new golf course development, and the amount of government spending.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0" w:right="80" w:hanging="252"/>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amount of product placement at retailers, changing buying patterns of customers, and The Home Depot, Inc. as a major customer.</w:t>
      </w:r>
    </w:p>
    <w:p>
      <w:pPr>
        <w:spacing w:after="0" w:line="170" w:lineRule="exact"/>
        <w:rPr>
          <w:rFonts w:ascii="Arial" w:cs="Arial" w:eastAsia="Arial" w:hAnsi="Arial"/>
          <w:sz w:val="18"/>
          <w:szCs w:val="18"/>
          <w:color w:val="auto"/>
        </w:rPr>
      </w:pPr>
    </w:p>
    <w:p>
      <w:pPr>
        <w:ind w:left="260" w:right="580" w:hanging="252"/>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and develop and market new products that respond to customer needs and achieve market acceptance, we may experience a decrease in demand for our products, and our business could suffer.</w:t>
      </w:r>
    </w:p>
    <w:p>
      <w:pPr>
        <w:spacing w:after="0" w:line="170" w:lineRule="exact"/>
        <w:rPr>
          <w:rFonts w:ascii="Arial" w:cs="Arial" w:eastAsia="Arial" w:hAnsi="Arial"/>
          <w:sz w:val="18"/>
          <w:szCs w:val="18"/>
          <w:color w:val="auto"/>
        </w:rPr>
      </w:pPr>
    </w:p>
    <w:p>
      <w:pPr>
        <w:ind w:left="260" w:right="300" w:hanging="252"/>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including some competitors that have greater resources than us. We may not be able to compete effectively against competitors’ actions, which could harm our business and operating results.</w:t>
      </w:r>
    </w:p>
    <w:p>
      <w:pPr>
        <w:spacing w:after="0" w:line="170" w:lineRule="exact"/>
        <w:rPr>
          <w:rFonts w:ascii="Arial" w:cs="Arial" w:eastAsia="Arial" w:hAnsi="Arial"/>
          <w:sz w:val="18"/>
          <w:szCs w:val="18"/>
          <w:color w:val="auto"/>
        </w:rPr>
      </w:pPr>
    </w:p>
    <w:p>
      <w:pPr>
        <w:ind w:left="260" w:hanging="252"/>
        <w:spacing w:after="0" w:line="312"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business.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46" w:lineRule="exact"/>
        <w:rPr>
          <w:rFonts w:ascii="Arial" w:cs="Arial" w:eastAsia="Arial" w:hAnsi="Arial"/>
          <w:sz w:val="16"/>
          <w:szCs w:val="16"/>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ectPr>
          <w:pgSz w:w="11900" w:h="16838" w:orient="portrait"/>
          <w:cols w:equalWidth="0" w:num="1">
            <w:col w:w="11400"/>
          </w:cols>
          <w:pgMar w:left="240" w:top="368" w:right="259" w:bottom="0" w:gutter="0" w:footer="0" w:header="0"/>
        </w:sectPr>
      </w:pPr>
    </w:p>
    <w:bookmarkStart w:id="13" w:name="page14"/>
    <w:bookmarkEnd w:id="13"/>
    <w:p>
      <w:pPr>
        <w:spacing w:after="0" w:line="62" w:lineRule="exact"/>
        <w:rPr>
          <w:sz w:val="20"/>
          <w:szCs w:val="20"/>
          <w:color w:val="auto"/>
        </w:rPr>
      </w:pPr>
    </w:p>
    <w:p>
      <w:pPr>
        <w:jc w:val="both"/>
        <w:ind w:left="260" w:right="80" w:hanging="252"/>
        <w:spacing w:after="0" w:line="264"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manufacture and purchase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81" w:lineRule="exact"/>
        <w:rPr>
          <w:rFonts w:ascii="Arial" w:cs="Arial" w:eastAsia="Arial" w:hAnsi="Arial"/>
          <w:sz w:val="18"/>
          <w:szCs w:val="18"/>
          <w:color w:val="auto"/>
        </w:rPr>
      </w:pPr>
    </w:p>
    <w:p>
      <w:pPr>
        <w:ind w:left="260" w:right="46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alliances, and joint venture arrangements, which are risky and could harm our business.</w:t>
      </w:r>
    </w:p>
    <w:p>
      <w:pPr>
        <w:spacing w:after="0" w:line="170" w:lineRule="exact"/>
        <w:rPr>
          <w:rFonts w:ascii="Arial" w:cs="Arial" w:eastAsia="Arial" w:hAnsi="Arial"/>
          <w:sz w:val="18"/>
          <w:szCs w:val="18"/>
          <w:color w:val="auto"/>
        </w:rPr>
      </w:pPr>
    </w:p>
    <w:p>
      <w:pPr>
        <w:ind w:left="260" w:hanging="252"/>
        <w:spacing w:after="0" w:line="34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23" w:lineRule="exact"/>
        <w:rPr>
          <w:rFonts w:ascii="Arial" w:cs="Arial" w:eastAsia="Arial" w:hAnsi="Arial"/>
          <w:sz w:val="16"/>
          <w:szCs w:val="16"/>
          <w:color w:val="auto"/>
        </w:rPr>
      </w:pPr>
    </w:p>
    <w:p>
      <w:pPr>
        <w:ind w:left="260" w:right="260" w:hanging="252"/>
        <w:spacing w:after="0" w:line="259"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86" w:lineRule="exact"/>
        <w:rPr>
          <w:rFonts w:ascii="Arial" w:cs="Arial" w:eastAsia="Arial" w:hAnsi="Arial"/>
          <w:sz w:val="18"/>
          <w:szCs w:val="18"/>
          <w:color w:val="auto"/>
        </w:rPr>
      </w:pPr>
    </w:p>
    <w:p>
      <w:pPr>
        <w:ind w:left="260" w:right="42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w:t>
      </w:r>
    </w:p>
    <w:p>
      <w:pPr>
        <w:spacing w:after="0" w:line="170" w:lineRule="exact"/>
        <w:rPr>
          <w:rFonts w:ascii="Arial" w:cs="Arial" w:eastAsia="Arial" w:hAnsi="Arial"/>
          <w:sz w:val="18"/>
          <w:szCs w:val="18"/>
          <w:color w:val="auto"/>
        </w:rPr>
      </w:pPr>
    </w:p>
    <w:p>
      <w:pPr>
        <w:ind w:left="260" w:right="20" w:hanging="252"/>
        <w:spacing w:after="0" w:line="264"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81" w:lineRule="exact"/>
        <w:rPr>
          <w:rFonts w:ascii="Arial" w:cs="Arial" w:eastAsia="Arial" w:hAnsi="Arial"/>
          <w:sz w:val="18"/>
          <w:szCs w:val="18"/>
          <w:color w:val="auto"/>
        </w:rPr>
      </w:pPr>
    </w:p>
    <w:p>
      <w:pPr>
        <w:ind w:left="260" w:right="60" w:hanging="252"/>
        <w:spacing w:after="0" w:line="30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product liability claims, product quality issues, and other litigation from time to time that could adversely affect our operating results or financial condition, including without limitation the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period.</w:t>
      </w:r>
    </w:p>
    <w:p>
      <w:pPr>
        <w:spacing w:after="0" w:line="154" w:lineRule="exact"/>
        <w:rPr>
          <w:rFonts w:ascii="Arial" w:cs="Arial" w:eastAsia="Arial" w:hAnsi="Arial"/>
          <w:sz w:val="16"/>
          <w:szCs w:val="16"/>
          <w:color w:val="auto"/>
        </w:rPr>
      </w:pPr>
    </w:p>
    <w:p>
      <w:pPr>
        <w:ind w:left="260" w:right="46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70" w:lineRule="exact"/>
        <w:rPr>
          <w:rFonts w:ascii="Arial" w:cs="Arial" w:eastAsia="Arial" w:hAnsi="Arial"/>
          <w:sz w:val="18"/>
          <w:szCs w:val="18"/>
          <w:color w:val="auto"/>
        </w:rPr>
      </w:pPr>
    </w:p>
    <w:p>
      <w:pPr>
        <w:ind w:left="260" w:right="300" w:hanging="252"/>
        <w:spacing w:after="0" w:line="276"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natural disasters that may result in shortages of raw materials, higher fuel costs, and an increase in insurance premiums; financial viability of some distributors and dealers, changes in distributor ownership, our success in partnering with new dealers, and our customers’ ability to pay amounts owed to us; and continued threat of terrorist acts and war that may result in heightened security and higher costs for import and export shipments of components or finished goods, reduced leisure travel, and contraction of the U.S. and world economies.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QUALITIATIVE DISCLOSURES ABOUT MARKET RISK</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color w:val="auto"/>
        </w:rPr>
        <w:t>. In the normal course of business, we actively manage the exposure of our foreign currency market risk by entering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Japanese yen, the Australian dollar, the Canadian dollar, the British pound, and the Mexican peso against the U.S. dollar.</w:t>
      </w:r>
    </w:p>
    <w:p>
      <w:pPr>
        <w:spacing w:after="0" w:line="182"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w:t>
      </w:r>
    </w:p>
    <w:p>
      <w:pPr>
        <w:sectPr>
          <w:pgSz w:w="11900" w:h="16901" w:orient="portrait"/>
          <w:cols w:equalWidth="0" w:num="1">
            <w:col w:w="11420"/>
          </w:cols>
          <w:pgMar w:left="240" w:top="125" w:right="239" w:bottom="0" w:gutter="0" w:footer="0" w:header="0"/>
        </w:sectPr>
      </w:pPr>
    </w:p>
    <w:bookmarkStart w:id="14" w:name="page15"/>
    <w:bookmarkEnd w:id="14"/>
    <w:p>
      <w:pPr>
        <w:spacing w:after="0" w:line="3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hedge contract. During the three months ended February 2, 2007, the amount of losses reclassified to earnings for such cash flow hedges was $0.2 million. For the three months ended February 2, 2007, the losses treated as a reduction to net sales for contracts to hedge trade sales were $0.4 million and the gains treated as a reduction of cost of sales for contracts to hedge inventory purchases were $0.2 million.</w:t>
      </w:r>
    </w:p>
    <w:p>
      <w:pPr>
        <w:spacing w:after="0" w:line="18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The following foreign currency exchange contracts held by us have maturity dates in fiscal 2007.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for the three months ended February 2, 2007 were as follows: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Value in</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610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Contracted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AOCL</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US dollar/Sell Canadian dollar</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Buy US dollar/Sell Australian dollar</w:t>
            </w:r>
          </w:p>
        </w:tc>
        <w:tc>
          <w:tcPr>
            <w:tcW w:w="1100" w:type="dxa"/>
            <w:vAlign w:val="bottom"/>
          </w:tcPr>
          <w:p>
            <w:pPr>
              <w:jc w:val="right"/>
              <w:spacing w:after="0"/>
              <w:rPr>
                <w:sz w:val="20"/>
                <w:szCs w:val="20"/>
                <w:color w:val="auto"/>
              </w:rPr>
            </w:pPr>
            <w:r>
              <w:rPr>
                <w:rFonts w:ascii="Arial" w:cs="Arial" w:eastAsia="Arial" w:hAnsi="Arial"/>
                <w:sz w:val="18"/>
                <w:szCs w:val="18"/>
                <w:color w:val="auto"/>
              </w:rPr>
              <w:t>0.7694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41,834.4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(298.7)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100" w:type="dxa"/>
            <w:vAlign w:val="bottom"/>
          </w:tcPr>
          <w:p>
            <w:pPr>
              <w:jc w:val="right"/>
              <w:spacing w:after="0"/>
              <w:rPr>
                <w:sz w:val="20"/>
                <w:szCs w:val="20"/>
                <w:color w:val="auto"/>
              </w:rPr>
            </w:pPr>
            <w:r>
              <w:rPr>
                <w:rFonts w:ascii="Arial" w:cs="Arial" w:eastAsia="Arial" w:hAnsi="Arial"/>
                <w:sz w:val="18"/>
                <w:szCs w:val="18"/>
                <w:color w:val="auto"/>
              </w:rPr>
              <w:t>1.9645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Mexican peso/Sell U.S. dollar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LIBOR plus a basis point spread defined in our credit agreements. See our most recently filed Annual Report on Form 10-K (Item 7A). There has been no material change in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u w:val="single" w:color="auto"/>
          <w:color w:val="auto"/>
        </w:rPr>
        <w:t>Commodity Price Risk</w:t>
      </w:r>
      <w:r>
        <w:rPr>
          <w:rFonts w:ascii="Arial" w:cs="Arial" w:eastAsia="Arial" w:hAnsi="Arial"/>
          <w:sz w:val="18"/>
          <w:szCs w:val="18"/>
          <w:i w:val="1"/>
          <w:iCs w:val="1"/>
          <w:color w:val="auto"/>
        </w:rPr>
        <w:t xml:space="preserve">. </w:t>
      </w:r>
      <w:r>
        <w:rPr>
          <w:rFonts w:ascii="Arial" w:cs="Arial" w:eastAsia="Arial" w:hAnsi="Arial"/>
          <w:sz w:val="18"/>
          <w:szCs w:val="18"/>
          <w:color w:val="auto"/>
        </w:rPr>
        <w:t>Some raw materials used in our products are exposed to commodity price changes. The primary commodity price exposures are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steel, aluminum, fuel, petroleum-based resin, and linerboard. Further information regarding rising prices for commodities is presented in Item 2, section entitled “Inflation.”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contracts meet the definition of “normal purchases and normal sales” and, therefore, are not considered derivative instruments for accounting purposes.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first quarter ended February 2, 2007 that has materially affected, or is reasonably likely to materially affect, our internal control over financial reporting.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A court hearing on the defendants’ motions to dismiss and the plaintiffs’ motion for preliminary approval of the settlement agreement and certification of a settlement class was held on August 29, 2006. As of March 12, 2007, the court has not yet ruled on these motions. On December 21, 2006, another defendant, American Honda Motor Company, notified us that it had reached an agreement of settlement with the plaintiffs. We continue to evaluate this lawsuit and are unable to reasonably estimate the likelihood of loss or the amount or range of potential loss that could result from this litigation. Therefore, no accrual has been</w:t>
      </w:r>
    </w:p>
    <w:p>
      <w:pPr>
        <w:sectPr>
          <w:pgSz w:w="11900" w:h="16877" w:orient="portrait"/>
          <w:cols w:equalWidth="0" w:num="1">
            <w:col w:w="11420"/>
          </w:cols>
          <w:pgMar w:left="240" w:top="125" w:right="239" w:bottom="0" w:gutter="0" w:footer="0" w:header="0"/>
        </w:sectPr>
      </w:pPr>
    </w:p>
    <w:bookmarkStart w:id="15" w:name="page16"/>
    <w:bookmarkEnd w:id="15"/>
    <w:p>
      <w:pPr>
        <w:ind w:right="200"/>
        <w:spacing w:after="0" w:line="264" w:lineRule="auto"/>
        <w:rPr>
          <w:sz w:val="20"/>
          <w:szCs w:val="20"/>
          <w:color w:val="auto"/>
        </w:rPr>
      </w:pPr>
      <w:r>
        <w:rPr>
          <w:rFonts w:ascii="Arial" w:cs="Arial" w:eastAsia="Arial" w:hAnsi="Arial"/>
          <w:sz w:val="18"/>
          <w:szCs w:val="18"/>
          <w:color w:val="auto"/>
        </w:rPr>
        <w:t>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although we are self-insured to some extent, we maintain insurance against certain product liability losses.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are described in our most recently filed Annual Report on Form 10-K (Item 1A). There has been no material change in those risk factors.</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2007 stock repurchase activity: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80" w:type="dxa"/>
            <w:vAlign w:val="bottom"/>
          </w:tcPr>
          <w:p>
            <w:pPr>
              <w:spacing w:after="0"/>
              <w:rPr>
                <w:sz w:val="14"/>
                <w:szCs w:val="14"/>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Average Price</w:t>
            </w:r>
          </w:p>
        </w:tc>
        <w:tc>
          <w:tcPr>
            <w:tcW w:w="2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1"/>
                <w:szCs w:val="11"/>
                <w:color w:val="auto"/>
              </w:rPr>
            </w:pPr>
          </w:p>
        </w:tc>
        <w:tc>
          <w:tcPr>
            <w:tcW w:w="27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80" w:type="dxa"/>
            <w:vAlign w:val="bottom"/>
          </w:tcPr>
          <w:p>
            <w:pPr>
              <w:spacing w:after="0"/>
              <w:rPr>
                <w:sz w:val="11"/>
                <w:szCs w:val="11"/>
                <w:color w:val="auto"/>
              </w:rPr>
            </w:pPr>
          </w:p>
        </w:tc>
        <w:tc>
          <w:tcPr>
            <w:tcW w:w="27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62"/>
        </w:trPr>
        <w:tc>
          <w:tcPr>
            <w:tcW w:w="2480" w:type="dxa"/>
            <w:vAlign w:val="bottom"/>
            <w:gridSpan w:val="3"/>
            <w:vMerge w:val="continue"/>
          </w:tcPr>
          <w:p>
            <w:pPr>
              <w:spacing w:after="0"/>
              <w:rPr>
                <w:sz w:val="14"/>
                <w:szCs w:val="1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 Purchased(1)</w:t>
            </w: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80" w:type="dxa"/>
            <w:vAlign w:val="bottom"/>
          </w:tcPr>
          <w:p>
            <w:pPr>
              <w:spacing w:after="0"/>
              <w:rPr>
                <w:sz w:val="14"/>
                <w:szCs w:val="14"/>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Under the Plans or Programs(1)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November 1, 2006 through</w:t>
            </w:r>
          </w:p>
        </w:tc>
        <w:tc>
          <w:tcPr>
            <w:tcW w:w="1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1, 2006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80" w:type="dxa"/>
            <w:vAlign w:val="bottom"/>
            <w:shd w:val="clear" w:color="auto" w:fill="CCEEFF"/>
          </w:tcPr>
          <w:p>
            <w:pPr>
              <w:spacing w:after="0"/>
              <w:rPr>
                <w:sz w:val="20"/>
                <w:szCs w:val="20"/>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402,700</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1,074,204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2, 2006 through</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29, 2006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80" w:type="dxa"/>
            <w:vAlign w:val="bottom"/>
            <w:shd w:val="clear" w:color="auto" w:fill="CCEEFF"/>
          </w:tcPr>
          <w:p>
            <w:pPr>
              <w:spacing w:after="0"/>
              <w:rPr>
                <w:sz w:val="20"/>
                <w:szCs w:val="20"/>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80,795</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993,409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30, 2006 through</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2, 2007</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150,017(2)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80" w:type="dxa"/>
            <w:vAlign w:val="bottom"/>
            <w:shd w:val="clear" w:color="auto" w:fill="CCEEFF"/>
          </w:tcPr>
          <w:p>
            <w:pPr>
              <w:spacing w:after="0"/>
              <w:rPr>
                <w:sz w:val="20"/>
                <w:szCs w:val="20"/>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147,912</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845,497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633,512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631,407</w:t>
            </w:r>
          </w:p>
        </w:tc>
        <w:tc>
          <w:tcPr>
            <w:tcW w:w="18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jc w:val="both"/>
        <w:ind w:left="660" w:right="140" w:hanging="328"/>
        <w:spacing w:after="0" w:line="259"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18, 2006, the company’s Board of Directors authorized the repurchase of 3,000,000 shares of the company’s common stock in open-market or in privately negotiated transactions. This program has no expiration date but may be terminated by the company’s Board of Directors at any time. The company purchased an aggregate of 631,407 shares during the periods indicated above under this program. There are 845,497 shares remaining for repurchase under this program.</w:t>
      </w:r>
    </w:p>
    <w:p>
      <w:pPr>
        <w:spacing w:after="0" w:line="186" w:lineRule="exact"/>
        <w:rPr>
          <w:rFonts w:ascii="Arial" w:cs="Arial" w:eastAsia="Arial" w:hAnsi="Arial"/>
          <w:sz w:val="18"/>
          <w:szCs w:val="18"/>
          <w:color w:val="auto"/>
        </w:rPr>
      </w:pPr>
    </w:p>
    <w:p>
      <w:pPr>
        <w:ind w:left="660" w:right="140" w:hanging="328"/>
        <w:spacing w:after="0" w:line="264"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2,105 units (shares) of the company’s common stock purchased in open-market transactions at an average price of $49.08 per share on behalf of a rabbi trust formed to pay benefit obligations of the company to participants in deferred compensation plans. These 2,105 shares were not repurchased under the company’s repurchase program described in footnote (1)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9900" w:type="dxa"/>
            <w:vAlign w:val="bottom"/>
          </w:tcPr>
          <w:p>
            <w:pPr>
              <w:ind w:left="340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 Exhibits</w:t>
            </w:r>
          </w:p>
        </w:tc>
        <w:tc>
          <w:tcPr>
            <w:tcW w:w="9900" w:type="dxa"/>
            <w:vAlign w:val="bottom"/>
          </w:tcPr>
          <w:p>
            <w:pPr>
              <w:spacing w:after="0"/>
              <w:rPr>
                <w:sz w:val="24"/>
                <w:szCs w:val="24"/>
                <w:color w:val="auto"/>
              </w:rPr>
            </w:pPr>
          </w:p>
        </w:tc>
      </w:tr>
      <w:tr>
        <w:trPr>
          <w:trHeight w:val="418"/>
        </w:trPr>
        <w:tc>
          <w:tcPr>
            <w:tcW w:w="1560" w:type="dxa"/>
            <w:vAlign w:val="bottom"/>
          </w:tcPr>
          <w:p>
            <w:pPr>
              <w:ind w:left="280"/>
              <w:spacing w:after="0"/>
              <w:rPr>
                <w:sz w:val="20"/>
                <w:szCs w:val="20"/>
                <w:color w:val="auto"/>
              </w:rPr>
            </w:pPr>
            <w:r>
              <w:rPr>
                <w:rFonts w:ascii="Arial" w:cs="Arial" w:eastAsia="Arial" w:hAnsi="Arial"/>
                <w:sz w:val="18"/>
                <w:szCs w:val="18"/>
                <w:color w:val="auto"/>
              </w:rPr>
              <w:t>3(i) and 4(a)</w:t>
            </w:r>
          </w:p>
        </w:tc>
        <w:tc>
          <w:tcPr>
            <w:tcW w:w="9900" w:type="dxa"/>
            <w:vAlign w:val="bottom"/>
          </w:tcPr>
          <w:p>
            <w:pPr>
              <w:ind w:left="360"/>
              <w:spacing w:after="0"/>
              <w:rPr>
                <w:sz w:val="20"/>
                <w:szCs w:val="20"/>
                <w:color w:val="auto"/>
              </w:rPr>
            </w:pPr>
            <w:r>
              <w:rPr>
                <w:rFonts w:ascii="Arial" w:cs="Arial" w:eastAsia="Arial" w:hAnsi="Arial"/>
                <w:sz w:val="18"/>
                <w:szCs w:val="18"/>
                <w:color w:val="auto"/>
                <w:w w:val="95"/>
              </w:rPr>
              <w:t>The Toro Company Amended and Restated Certificate of Incorporation of Registrant (incorporated by reference to Exhibit 3(i)</w:t>
            </w:r>
          </w:p>
        </w:tc>
      </w:tr>
      <w:tr>
        <w:trPr>
          <w:trHeight w:val="230"/>
        </w:trPr>
        <w:tc>
          <w:tcPr>
            <w:tcW w:w="1560" w:type="dxa"/>
            <w:vAlign w:val="bottom"/>
          </w:tcPr>
          <w:p>
            <w:pPr>
              <w:spacing w:after="0"/>
              <w:rPr>
                <w:sz w:val="20"/>
                <w:szCs w:val="20"/>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and 4(a) to Registrant’s Current Report on Form 8-K dated March 15, 2005, Commission File No. 1-8649).</w:t>
            </w:r>
          </w:p>
        </w:tc>
      </w:tr>
      <w:tr>
        <w:trPr>
          <w:trHeight w:val="418"/>
        </w:trPr>
        <w:tc>
          <w:tcPr>
            <w:tcW w:w="1560" w:type="dxa"/>
            <w:vAlign w:val="bottom"/>
          </w:tcPr>
          <w:p>
            <w:pPr>
              <w:ind w:left="280"/>
              <w:spacing w:after="0"/>
              <w:rPr>
                <w:sz w:val="20"/>
                <w:szCs w:val="20"/>
                <w:color w:val="auto"/>
              </w:rPr>
            </w:pPr>
            <w:r>
              <w:rPr>
                <w:rFonts w:ascii="Arial" w:cs="Arial" w:eastAsia="Arial" w:hAnsi="Arial"/>
                <w:sz w:val="18"/>
                <w:szCs w:val="18"/>
                <w:color w:val="auto"/>
              </w:rPr>
              <w:t>3(ii) and 4(b)</w:t>
            </w:r>
          </w:p>
        </w:tc>
        <w:tc>
          <w:tcPr>
            <w:tcW w:w="9900" w:type="dxa"/>
            <w:vAlign w:val="bottom"/>
          </w:tcPr>
          <w:p>
            <w:pPr>
              <w:ind w:left="360"/>
              <w:spacing w:after="0"/>
              <w:rPr>
                <w:sz w:val="20"/>
                <w:szCs w:val="20"/>
                <w:color w:val="auto"/>
              </w:rPr>
            </w:pPr>
            <w:r>
              <w:rPr>
                <w:rFonts w:ascii="Arial" w:cs="Arial" w:eastAsia="Arial" w:hAnsi="Arial"/>
                <w:sz w:val="18"/>
                <w:szCs w:val="18"/>
                <w:color w:val="auto"/>
                <w:w w:val="96"/>
              </w:rPr>
              <w:t>Bylaws of Registrant (incorporated by reference to Exhibit 3 to Registrant’s Current Report on Form 8-K dated November 30,</w:t>
            </w:r>
          </w:p>
        </w:tc>
      </w:tr>
      <w:tr>
        <w:trPr>
          <w:trHeight w:val="230"/>
        </w:trPr>
        <w:tc>
          <w:tcPr>
            <w:tcW w:w="1560" w:type="dxa"/>
            <w:vAlign w:val="bottom"/>
          </w:tcPr>
          <w:p>
            <w:pPr>
              <w:spacing w:after="0"/>
              <w:rPr>
                <w:sz w:val="20"/>
                <w:szCs w:val="20"/>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2005, Commission File No. 1-8649).</w:t>
            </w:r>
          </w:p>
        </w:tc>
      </w:tr>
      <w:tr>
        <w:trPr>
          <w:trHeight w:val="648"/>
        </w:trPr>
        <w:tc>
          <w:tcPr>
            <w:tcW w:w="1560" w:type="dxa"/>
            <w:vAlign w:val="bottom"/>
          </w:tcPr>
          <w:p>
            <w:pPr>
              <w:spacing w:after="0"/>
              <w:rPr>
                <w:sz w:val="24"/>
                <w:szCs w:val="24"/>
                <w:color w:val="auto"/>
              </w:rPr>
            </w:pPr>
          </w:p>
        </w:tc>
        <w:tc>
          <w:tcPr>
            <w:tcW w:w="9900" w:type="dxa"/>
            <w:vAlign w:val="bottom"/>
          </w:tcPr>
          <w:p>
            <w:pPr>
              <w:ind w:left="4060"/>
              <w:spacing w:after="0"/>
              <w:rPr>
                <w:sz w:val="20"/>
                <w:szCs w:val="20"/>
                <w:color w:val="auto"/>
              </w:rPr>
            </w:pPr>
            <w:r>
              <w:rPr>
                <w:rFonts w:ascii="Arial" w:cs="Arial" w:eastAsia="Arial" w:hAnsi="Arial"/>
                <w:sz w:val="18"/>
                <w:szCs w:val="18"/>
                <w:color w:val="auto"/>
              </w:rPr>
              <w:t>22</w:t>
            </w:r>
          </w:p>
        </w:tc>
      </w:tr>
      <w:tr>
        <w:trPr>
          <w:trHeight w:val="375"/>
        </w:trPr>
        <w:tc>
          <w:tcPr>
            <w:tcW w:w="1560" w:type="dxa"/>
            <w:vAlign w:val="bottom"/>
            <w:tcBorders>
              <w:bottom w:val="single" w:sz="8" w:color="010101"/>
            </w:tcBorders>
          </w:tcPr>
          <w:p>
            <w:pPr>
              <w:spacing w:after="0"/>
              <w:rPr>
                <w:sz w:val="24"/>
                <w:szCs w:val="24"/>
                <w:color w:val="auto"/>
              </w:rPr>
            </w:pPr>
          </w:p>
        </w:tc>
        <w:tc>
          <w:tcPr>
            <w:tcW w:w="9900" w:type="dxa"/>
            <w:vAlign w:val="bottom"/>
            <w:tcBorders>
              <w:bottom w:val="single" w:sz="8" w:color="010101"/>
            </w:tcBorders>
          </w:tcPr>
          <w:p>
            <w:pPr>
              <w:spacing w:after="0"/>
              <w:rPr>
                <w:sz w:val="24"/>
                <w:szCs w:val="24"/>
                <w:color w:val="auto"/>
              </w:rPr>
            </w:pPr>
          </w:p>
        </w:tc>
      </w:tr>
      <w:tr>
        <w:trPr>
          <w:trHeight w:val="550"/>
        </w:trPr>
        <w:tc>
          <w:tcPr>
            <w:tcW w:w="1560" w:type="dxa"/>
            <w:vAlign w:val="bottom"/>
          </w:tcPr>
          <w:p>
            <w:pPr>
              <w:ind w:left="280"/>
              <w:spacing w:after="0"/>
              <w:rPr>
                <w:sz w:val="20"/>
                <w:szCs w:val="20"/>
                <w:color w:val="auto"/>
              </w:rPr>
            </w:pPr>
            <w:r>
              <w:rPr>
                <w:rFonts w:ascii="Arial" w:cs="Arial" w:eastAsia="Arial" w:hAnsi="Arial"/>
                <w:sz w:val="18"/>
                <w:szCs w:val="18"/>
                <w:color w:val="auto"/>
              </w:rPr>
              <w:t>4(c)</w:t>
            </w:r>
          </w:p>
        </w:tc>
        <w:tc>
          <w:tcPr>
            <w:tcW w:w="9900" w:type="dxa"/>
            <w:vAlign w:val="bottom"/>
          </w:tcPr>
          <w:p>
            <w:pPr>
              <w:ind w:left="340"/>
              <w:spacing w:after="0"/>
              <w:rPr>
                <w:sz w:val="20"/>
                <w:szCs w:val="20"/>
                <w:color w:val="auto"/>
              </w:rPr>
            </w:pPr>
            <w:r>
              <w:rPr>
                <w:rFonts w:ascii="Arial" w:cs="Arial" w:eastAsia="Arial" w:hAnsi="Arial"/>
                <w:sz w:val="18"/>
                <w:szCs w:val="18"/>
                <w:color w:val="auto"/>
                <w:w w:val="94"/>
              </w:rPr>
              <w:t>Specimen Form of Common Stock Certificate (incorporated by reference to Exhibit 4(c) to Registrant’s Annual Report on Form</w:t>
            </w:r>
          </w:p>
        </w:tc>
      </w:tr>
      <w:tr>
        <w:trPr>
          <w:trHeight w:val="230"/>
        </w:trPr>
        <w:tc>
          <w:tcPr>
            <w:tcW w:w="1560" w:type="dxa"/>
            <w:vAlign w:val="bottom"/>
          </w:tcPr>
          <w:p>
            <w:pPr>
              <w:spacing w:after="0"/>
              <w:rPr>
                <w:sz w:val="20"/>
                <w:szCs w:val="20"/>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10-K dated October 31, 2006).</w:t>
            </w:r>
          </w:p>
        </w:tc>
      </w:tr>
      <w:tr>
        <w:trPr>
          <w:trHeight w:val="418"/>
        </w:trPr>
        <w:tc>
          <w:tcPr>
            <w:tcW w:w="1560" w:type="dxa"/>
            <w:vAlign w:val="bottom"/>
          </w:tcPr>
          <w:p>
            <w:pPr>
              <w:ind w:left="280"/>
              <w:spacing w:after="0"/>
              <w:rPr>
                <w:sz w:val="20"/>
                <w:szCs w:val="20"/>
                <w:color w:val="auto"/>
              </w:rPr>
            </w:pPr>
            <w:r>
              <w:rPr>
                <w:rFonts w:ascii="Arial" w:cs="Arial" w:eastAsia="Arial" w:hAnsi="Arial"/>
                <w:sz w:val="18"/>
                <w:szCs w:val="18"/>
                <w:color w:val="auto"/>
              </w:rPr>
              <w:t>4(d)</w:t>
            </w:r>
          </w:p>
        </w:tc>
        <w:tc>
          <w:tcPr>
            <w:tcW w:w="9900" w:type="dxa"/>
            <w:vAlign w:val="bottom"/>
          </w:tcPr>
          <w:p>
            <w:pPr>
              <w:ind w:left="320"/>
              <w:spacing w:after="0"/>
              <w:rPr>
                <w:sz w:val="20"/>
                <w:szCs w:val="20"/>
                <w:color w:val="auto"/>
              </w:rPr>
            </w:pPr>
            <w:r>
              <w:rPr>
                <w:rFonts w:ascii="Arial" w:cs="Arial" w:eastAsia="Arial" w:hAnsi="Arial"/>
                <w:sz w:val="18"/>
                <w:szCs w:val="18"/>
                <w:color w:val="auto"/>
                <w:w w:val="93"/>
              </w:rPr>
              <w:t>Rights Agreement dated as of May 20, 1998, between Registrant and Wells Fargo Bank Minnesota, National Association relating</w:t>
            </w:r>
          </w:p>
        </w:tc>
      </w:tr>
      <w:tr>
        <w:trPr>
          <w:trHeight w:val="216"/>
        </w:trPr>
        <w:tc>
          <w:tcPr>
            <w:tcW w:w="1560" w:type="dxa"/>
            <w:vAlign w:val="bottom"/>
          </w:tcPr>
          <w:p>
            <w:pPr>
              <w:spacing w:after="0"/>
              <w:rPr>
                <w:sz w:val="18"/>
                <w:szCs w:val="18"/>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93"/>
              </w:rPr>
              <w:t>to rights to purchase Series B Junior Participating Voting Preferred Stock, as amended (incorporated by reference to Registrant’s</w:t>
            </w:r>
          </w:p>
        </w:tc>
      </w:tr>
      <w:tr>
        <w:trPr>
          <w:trHeight w:val="230"/>
        </w:trPr>
        <w:tc>
          <w:tcPr>
            <w:tcW w:w="1560" w:type="dxa"/>
            <w:vAlign w:val="bottom"/>
          </w:tcPr>
          <w:p>
            <w:pPr>
              <w:spacing w:after="0"/>
              <w:rPr>
                <w:sz w:val="20"/>
                <w:szCs w:val="20"/>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8"/>
        </w:trPr>
        <w:tc>
          <w:tcPr>
            <w:tcW w:w="1560" w:type="dxa"/>
            <w:vAlign w:val="bottom"/>
          </w:tcPr>
          <w:p>
            <w:pPr>
              <w:ind w:left="280"/>
              <w:spacing w:after="0"/>
              <w:rPr>
                <w:sz w:val="20"/>
                <w:szCs w:val="20"/>
                <w:color w:val="auto"/>
              </w:rPr>
            </w:pPr>
            <w:r>
              <w:rPr>
                <w:rFonts w:ascii="Arial" w:cs="Arial" w:eastAsia="Arial" w:hAnsi="Arial"/>
                <w:sz w:val="18"/>
                <w:szCs w:val="18"/>
                <w:color w:val="auto"/>
              </w:rPr>
              <w:t>4(e)</w:t>
            </w:r>
          </w:p>
        </w:tc>
        <w:tc>
          <w:tcPr>
            <w:tcW w:w="9900" w:type="dxa"/>
            <w:vAlign w:val="bottom"/>
          </w:tcPr>
          <w:p>
            <w:pPr>
              <w:ind w:left="34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30"/>
        </w:trPr>
        <w:tc>
          <w:tcPr>
            <w:tcW w:w="1560" w:type="dxa"/>
            <w:vAlign w:val="bottom"/>
          </w:tcPr>
          <w:p>
            <w:pPr>
              <w:spacing w:after="0"/>
              <w:rPr>
                <w:sz w:val="20"/>
                <w:szCs w:val="20"/>
                <w:color w:val="auto"/>
              </w:rPr>
            </w:pPr>
          </w:p>
        </w:tc>
        <w:tc>
          <w:tcPr>
            <w:tcW w:w="9900" w:type="dxa"/>
            <w:vAlign w:val="bottom"/>
          </w:tcPr>
          <w:p>
            <w:pPr>
              <w:ind w:left="32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4"/>
              </w:rPr>
              <w:t>Exhibit 2 to Registrant’s Amendment No. 1 to Registration Statement on Form 8-A/A dated April 14, 2003, Commission File No.</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1-8649).</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4(f)</w:t>
            </w:r>
          </w:p>
        </w:tc>
        <w:tc>
          <w:tcPr>
            <w:tcW w:w="10200" w:type="dxa"/>
            <w:vAlign w:val="bottom"/>
          </w:tcPr>
          <w:p>
            <w:pPr>
              <w:ind w:left="640"/>
              <w:spacing w:after="0"/>
              <w:rPr>
                <w:sz w:val="20"/>
                <w:szCs w:val="20"/>
                <w:color w:val="auto"/>
              </w:rPr>
            </w:pPr>
            <w:r>
              <w:rPr>
                <w:rFonts w:ascii="Arial" w:cs="Arial" w:eastAsia="Arial" w:hAnsi="Arial"/>
                <w:sz w:val="18"/>
                <w:szCs w:val="18"/>
                <w:color w:val="auto"/>
                <w:w w:val="97"/>
              </w:rPr>
              <w:t>Certificate of Adjusted Purchase Price or Number of Shares dated April 12, 2005 filed by Registrant with Wells Fargo Bank</w:t>
            </w:r>
          </w:p>
        </w:tc>
      </w:t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Exhibit 2 to Registrant’s Amendment No. 2 to Registration Statement on Form 8-A/A dated March 21, 2005, Commission File No.</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1-8649).</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4(g)</w:t>
            </w:r>
          </w:p>
        </w:tc>
        <w:tc>
          <w:tcPr>
            <w:tcW w:w="10200" w:type="dxa"/>
            <w:vAlign w:val="bottom"/>
          </w:tcPr>
          <w:p>
            <w:pPr>
              <w:ind w:left="620"/>
              <w:spacing w:after="0"/>
              <w:rPr>
                <w:sz w:val="20"/>
                <w:szCs w:val="20"/>
                <w:color w:val="auto"/>
              </w:rPr>
            </w:pPr>
            <w:r>
              <w:rPr>
                <w:rFonts w:ascii="Arial" w:cs="Arial" w:eastAsia="Arial" w:hAnsi="Arial"/>
                <w:sz w:val="18"/>
                <w:szCs w:val="18"/>
                <w:color w:val="auto"/>
                <w:w w:val="97"/>
              </w:rPr>
              <w:t>Indenture dated as of January 31, 1997, between Registrant and First National Trust Association, as Trustee, relating to the</w:t>
            </w:r>
          </w:p>
        </w:tc>
      </w:t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Registrant’s 7.125% Notes due June 15, 2007 and its 7.80% Debentures due June 15, 2027 (incorporated by reference to Exhibit</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4(a) to Registrant’s Current Report on Form 8-K for June 24, 1997, Commission File No. 1-8649).</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10(a)</w:t>
            </w:r>
          </w:p>
        </w:tc>
        <w:tc>
          <w:tcPr>
            <w:tcW w:w="10200" w:type="dxa"/>
            <w:vAlign w:val="bottom"/>
          </w:tcPr>
          <w:p>
            <w:pPr>
              <w:ind w:left="640"/>
              <w:spacing w:after="0"/>
              <w:rPr>
                <w:sz w:val="20"/>
                <w:szCs w:val="20"/>
                <w:color w:val="auto"/>
              </w:rPr>
            </w:pPr>
            <w:r>
              <w:rPr>
                <w:rFonts w:ascii="Arial" w:cs="Arial" w:eastAsia="Arial" w:hAnsi="Arial"/>
                <w:sz w:val="18"/>
                <w:szCs w:val="18"/>
                <w:color w:val="auto"/>
                <w:w w:val="95"/>
              </w:rPr>
              <w:t>Amendment No. 2 to Credit Agreement dated as of January 10, 2007, among The Toro Company, Toro Credit Company, Toro</w:t>
            </w:r>
          </w:p>
        </w:tc>
      </w:t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Manufacturing LLC, Exmark Manufacturing Company Incorporated, and certain subsidiaries, as Borrowers, the lenders from time</w:t>
            </w:r>
          </w:p>
        </w:tc>
      </w:t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to time party thereto, Bank of America, N.A., as Administrative Agent, Swingline Lender and Letter of Credit Issuer (incorporated</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by reference to Exhibit 10(a) to Registrant’s Current Report on Form 8-K dated January 10, 2007, Commission File No. 1-8649).</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10(b)</w:t>
            </w:r>
          </w:p>
        </w:tc>
        <w:tc>
          <w:tcPr>
            <w:tcW w:w="10200" w:type="dxa"/>
            <w:vAlign w:val="bottom"/>
          </w:tcPr>
          <w:p>
            <w:pPr>
              <w:ind w:left="640"/>
              <w:spacing w:after="0"/>
              <w:rPr>
                <w:sz w:val="20"/>
                <w:szCs w:val="20"/>
                <w:color w:val="auto"/>
              </w:rPr>
            </w:pPr>
            <w:r>
              <w:rPr>
                <w:rFonts w:ascii="Arial" w:cs="Arial" w:eastAsia="Arial" w:hAnsi="Arial"/>
                <w:sz w:val="18"/>
                <w:szCs w:val="18"/>
                <w:color w:val="auto"/>
                <w:w w:val="92"/>
              </w:rPr>
              <w:t>Revolving Credit Facility Letter Loan Agreement, dated as of March 5, 2007, entered into by and between The Toro Company, as</w:t>
            </w:r>
          </w:p>
        </w:tc>
      </w:tr>
      <w:tr>
        <w:trPr>
          <w:trHeight w:val="216"/>
        </w:trPr>
        <w:tc>
          <w:tcPr>
            <w:tcW w:w="126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6"/>
              </w:rPr>
              <w:t>borrower, and Bank of America, N.A., as lender (incorporated by reference to Exhibit 10(a) to Registrant’s Current Report on</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Form 8-K dated March 5, 2007, Commission File No. 1-8649).</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10(c)</w:t>
            </w:r>
          </w:p>
        </w:tc>
        <w:tc>
          <w:tcPr>
            <w:tcW w:w="10200" w:type="dxa"/>
            <w:vAlign w:val="bottom"/>
          </w:tcPr>
          <w:p>
            <w:pPr>
              <w:ind w:left="640"/>
              <w:spacing w:after="0"/>
              <w:rPr>
                <w:sz w:val="20"/>
                <w:szCs w:val="20"/>
                <w:color w:val="auto"/>
              </w:rPr>
            </w:pPr>
            <w:r>
              <w:rPr>
                <w:rFonts w:ascii="Arial" w:cs="Arial" w:eastAsia="Arial" w:hAnsi="Arial"/>
                <w:sz w:val="18"/>
                <w:szCs w:val="18"/>
                <w:color w:val="auto"/>
              </w:rPr>
              <w:t>Summary of Employment Inducement Award — Timothy P. Dordell.</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10(d)</w:t>
            </w:r>
          </w:p>
        </w:tc>
        <w:tc>
          <w:tcPr>
            <w:tcW w:w="10200" w:type="dxa"/>
            <w:vAlign w:val="bottom"/>
          </w:tcPr>
          <w:p>
            <w:pPr>
              <w:ind w:left="640"/>
              <w:spacing w:after="0"/>
              <w:rPr>
                <w:sz w:val="20"/>
                <w:szCs w:val="20"/>
                <w:color w:val="auto"/>
              </w:rPr>
            </w:pPr>
            <w:r>
              <w:rPr>
                <w:rFonts w:ascii="Arial" w:cs="Arial" w:eastAsia="Arial" w:hAnsi="Arial"/>
                <w:sz w:val="18"/>
                <w:szCs w:val="18"/>
                <w:color w:val="auto"/>
              </w:rPr>
              <w:t>Summary of Employment Inducement Award — Peter M. Ramstad.</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10(e)</w:t>
            </w:r>
          </w:p>
        </w:tc>
        <w:tc>
          <w:tcPr>
            <w:tcW w:w="10200" w:type="dxa"/>
            <w:vAlign w:val="bottom"/>
          </w:tcPr>
          <w:p>
            <w:pPr>
              <w:ind w:left="640"/>
              <w:spacing w:after="0"/>
              <w:rPr>
                <w:sz w:val="20"/>
                <w:szCs w:val="20"/>
                <w:color w:val="auto"/>
              </w:rPr>
            </w:pPr>
            <w:r>
              <w:rPr>
                <w:rFonts w:ascii="Arial" w:cs="Arial" w:eastAsia="Arial" w:hAnsi="Arial"/>
                <w:sz w:val="18"/>
                <w:szCs w:val="18"/>
                <w:color w:val="auto"/>
              </w:rPr>
              <w:t>The Toro Company Performance Share Plan.</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10(f)</w:t>
            </w:r>
          </w:p>
        </w:tc>
        <w:tc>
          <w:tcPr>
            <w:tcW w:w="10200" w:type="dxa"/>
            <w:vAlign w:val="bottom"/>
          </w:tcPr>
          <w:p>
            <w:pPr>
              <w:ind w:left="640"/>
              <w:spacing w:after="0"/>
              <w:rPr>
                <w:sz w:val="20"/>
                <w:szCs w:val="20"/>
                <w:color w:val="auto"/>
              </w:rPr>
            </w:pPr>
            <w:r>
              <w:rPr>
                <w:rFonts w:ascii="Arial" w:cs="Arial" w:eastAsia="Arial" w:hAnsi="Arial"/>
                <w:sz w:val="18"/>
                <w:szCs w:val="18"/>
                <w:color w:val="auto"/>
              </w:rPr>
              <w:t>The Toro Company Performance Share Award Agreement.</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10(g)</w:t>
            </w:r>
          </w:p>
        </w:tc>
        <w:tc>
          <w:tcPr>
            <w:tcW w:w="10200" w:type="dxa"/>
            <w:vAlign w:val="bottom"/>
          </w:tcPr>
          <w:p>
            <w:pPr>
              <w:ind w:left="640"/>
              <w:spacing w:after="0"/>
              <w:rPr>
                <w:sz w:val="20"/>
                <w:szCs w:val="20"/>
                <w:color w:val="auto"/>
              </w:rPr>
            </w:pPr>
            <w:r>
              <w:rPr>
                <w:rFonts w:ascii="Arial" w:cs="Arial" w:eastAsia="Arial" w:hAnsi="Arial"/>
                <w:sz w:val="18"/>
                <w:szCs w:val="18"/>
                <w:color w:val="auto"/>
              </w:rPr>
              <w:t>Amendment No. 2 to The Toro Company Supplemental Benefit Plan.</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10(h)</w:t>
            </w:r>
          </w:p>
        </w:tc>
        <w:tc>
          <w:tcPr>
            <w:tcW w:w="10200" w:type="dxa"/>
            <w:vAlign w:val="bottom"/>
          </w:tcPr>
          <w:p>
            <w:pPr>
              <w:ind w:left="640"/>
              <w:spacing w:after="0"/>
              <w:rPr>
                <w:sz w:val="20"/>
                <w:szCs w:val="20"/>
                <w:color w:val="auto"/>
              </w:rPr>
            </w:pPr>
            <w:r>
              <w:rPr>
                <w:rFonts w:ascii="Arial" w:cs="Arial" w:eastAsia="Arial" w:hAnsi="Arial"/>
                <w:sz w:val="18"/>
                <w:szCs w:val="18"/>
                <w:color w:val="auto"/>
              </w:rPr>
              <w:t>Amendment No. 1 to The Toro Company Deferred Compensation Plan.</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10(i)</w:t>
            </w:r>
          </w:p>
        </w:tc>
        <w:tc>
          <w:tcPr>
            <w:tcW w:w="10200" w:type="dxa"/>
            <w:vAlign w:val="bottom"/>
          </w:tcPr>
          <w:p>
            <w:pPr>
              <w:ind w:left="660"/>
              <w:spacing w:after="0"/>
              <w:rPr>
                <w:sz w:val="20"/>
                <w:szCs w:val="20"/>
                <w:color w:val="auto"/>
              </w:rPr>
            </w:pPr>
            <w:r>
              <w:rPr>
                <w:rFonts w:ascii="Arial" w:cs="Arial" w:eastAsia="Arial" w:hAnsi="Arial"/>
                <w:sz w:val="18"/>
                <w:szCs w:val="18"/>
                <w:color w:val="auto"/>
              </w:rPr>
              <w:t>Amendment No. 1 to The Toro Company Deferred Compensation Plan for Officers.</w:t>
            </w:r>
          </w:p>
        </w:tc>
      </w:tr>
      <w:tr>
        <w:trPr>
          <w:trHeight w:val="432"/>
        </w:trPr>
        <w:tc>
          <w:tcPr>
            <w:tcW w:w="1260" w:type="dxa"/>
            <w:vAlign w:val="bottom"/>
          </w:tcPr>
          <w:p>
            <w:pPr>
              <w:ind w:left="280"/>
              <w:spacing w:after="0"/>
              <w:rPr>
                <w:sz w:val="20"/>
                <w:szCs w:val="20"/>
                <w:color w:val="auto"/>
              </w:rPr>
            </w:pPr>
            <w:r>
              <w:rPr>
                <w:rFonts w:ascii="Arial" w:cs="Arial" w:eastAsia="Arial" w:hAnsi="Arial"/>
                <w:sz w:val="18"/>
                <w:szCs w:val="18"/>
                <w:color w:val="auto"/>
              </w:rPr>
              <w:t>10(j)</w:t>
            </w:r>
          </w:p>
        </w:tc>
        <w:tc>
          <w:tcPr>
            <w:tcW w:w="10200" w:type="dxa"/>
            <w:vAlign w:val="bottom"/>
          </w:tcPr>
          <w:p>
            <w:pPr>
              <w:ind w:left="660"/>
              <w:spacing w:after="0"/>
              <w:rPr>
                <w:sz w:val="20"/>
                <w:szCs w:val="20"/>
                <w:color w:val="auto"/>
              </w:rPr>
            </w:pPr>
            <w:r>
              <w:rPr>
                <w:rFonts w:ascii="Arial" w:cs="Arial" w:eastAsia="Arial" w:hAnsi="Arial"/>
                <w:sz w:val="18"/>
                <w:szCs w:val="18"/>
                <w:color w:val="auto"/>
              </w:rPr>
              <w:t>Amendment No. 1 to The Toro Company Deferred Compensation Plan for Non-Employee Directors.</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31(a)</w:t>
            </w:r>
          </w:p>
        </w:tc>
        <w:tc>
          <w:tcPr>
            <w:tcW w:w="10200" w:type="dxa"/>
            <w:vAlign w:val="bottom"/>
          </w:tcPr>
          <w:p>
            <w:pPr>
              <w:ind w:left="640"/>
              <w:spacing w:after="0"/>
              <w:rPr>
                <w:sz w:val="20"/>
                <w:szCs w:val="20"/>
                <w:color w:val="auto"/>
              </w:rPr>
            </w:pPr>
            <w:r>
              <w:rPr>
                <w:rFonts w:ascii="Arial" w:cs="Arial" w:eastAsia="Arial" w:hAnsi="Arial"/>
                <w:sz w:val="18"/>
                <w:szCs w:val="18"/>
                <w:color w:val="auto"/>
                <w:w w:val="99"/>
              </w:rPr>
              <w:t>Certification of Chief Executive Officer Pursuant to Rule 13a-14(a) (Section 302 of the Sarbanes-Oxley Act of 2002) (filed</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herewith).</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31(b)</w:t>
            </w:r>
          </w:p>
        </w:tc>
        <w:tc>
          <w:tcPr>
            <w:tcW w:w="10200" w:type="dxa"/>
            <w:vAlign w:val="bottom"/>
          </w:tcPr>
          <w:p>
            <w:pPr>
              <w:ind w:left="640"/>
              <w:spacing w:after="0"/>
              <w:rPr>
                <w:sz w:val="20"/>
                <w:szCs w:val="20"/>
                <w:color w:val="auto"/>
              </w:rPr>
            </w:pPr>
            <w:r>
              <w:rPr>
                <w:rFonts w:ascii="Arial" w:cs="Arial" w:eastAsia="Arial" w:hAnsi="Arial"/>
                <w:sz w:val="18"/>
                <w:szCs w:val="18"/>
                <w:color w:val="auto"/>
                <w:w w:val="99"/>
              </w:rPr>
              <w:t>Certification of Chief Financial Officer Pursuant to Rule 13a-14(a) (Section 302 of the Sarbanes-Oxley Act of 2002) (filed</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herewith).</w:t>
            </w:r>
          </w:p>
        </w:tc>
      </w:tr>
      <w:tr>
        <w:trPr>
          <w:trHeight w:val="418"/>
        </w:trPr>
        <w:tc>
          <w:tcPr>
            <w:tcW w:w="1260" w:type="dxa"/>
            <w:vAlign w:val="bottom"/>
          </w:tcPr>
          <w:p>
            <w:pPr>
              <w:ind w:left="280"/>
              <w:spacing w:after="0"/>
              <w:rPr>
                <w:sz w:val="20"/>
                <w:szCs w:val="20"/>
                <w:color w:val="auto"/>
              </w:rPr>
            </w:pPr>
            <w:r>
              <w:rPr>
                <w:rFonts w:ascii="Arial" w:cs="Arial" w:eastAsia="Arial" w:hAnsi="Arial"/>
                <w:sz w:val="18"/>
                <w:szCs w:val="18"/>
                <w:color w:val="auto"/>
              </w:rPr>
              <w:t>32</w:t>
            </w:r>
          </w:p>
        </w:tc>
        <w:tc>
          <w:tcPr>
            <w:tcW w:w="10200" w:type="dxa"/>
            <w:vAlign w:val="bottom"/>
          </w:tcPr>
          <w:p>
            <w:pPr>
              <w:ind w:left="620"/>
              <w:spacing w:after="0"/>
              <w:rPr>
                <w:sz w:val="20"/>
                <w:szCs w:val="20"/>
                <w:color w:val="auto"/>
              </w:rPr>
            </w:pPr>
            <w:r>
              <w:rPr>
                <w:rFonts w:ascii="Arial" w:cs="Arial" w:eastAsia="Arial" w:hAnsi="Arial"/>
                <w:sz w:val="18"/>
                <w:szCs w:val="18"/>
                <w:color w:val="auto"/>
                <w:w w:val="94"/>
              </w:rPr>
              <w:t>Certification of Chief Executive Officer and Chief Financial Officer Pursuant to 18 U.S.C. Section 1350, as Adopted Pursuant to</w:t>
            </w:r>
          </w:p>
        </w:tc>
      </w:tr>
      <w:tr>
        <w:trPr>
          <w:trHeight w:val="230"/>
        </w:trPr>
        <w:tc>
          <w:tcPr>
            <w:tcW w:w="126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Section 906 of the Sarbanes-Oxley Act of 2002 (furnished herewith).</w:t>
            </w:r>
          </w:p>
        </w:tc>
      </w:tr>
      <w:tr>
        <w:trPr>
          <w:trHeight w:val="648"/>
        </w:trPr>
        <w:tc>
          <w:tcPr>
            <w:tcW w:w="1260" w:type="dxa"/>
            <w:vAlign w:val="bottom"/>
          </w:tcPr>
          <w:p>
            <w:pPr>
              <w:spacing w:after="0"/>
              <w:rPr>
                <w:sz w:val="24"/>
                <w:szCs w:val="24"/>
                <w:color w:val="auto"/>
              </w:rPr>
            </w:pPr>
          </w:p>
        </w:tc>
        <w:tc>
          <w:tcPr>
            <w:tcW w:w="10200" w:type="dxa"/>
            <w:vAlign w:val="bottom"/>
          </w:tcPr>
          <w:p>
            <w:pPr>
              <w:ind w:left="4360"/>
              <w:spacing w:after="0"/>
              <w:rPr>
                <w:sz w:val="20"/>
                <w:szCs w:val="20"/>
                <w:color w:val="auto"/>
              </w:rPr>
            </w:pPr>
            <w:r>
              <w:rPr>
                <w:rFonts w:ascii="Arial" w:cs="Arial" w:eastAsia="Arial" w:hAnsi="Arial"/>
                <w:sz w:val="18"/>
                <w:szCs w:val="18"/>
                <w:color w:val="auto"/>
              </w:rPr>
              <w:t>23</w:t>
            </w:r>
          </w:p>
        </w:tc>
      </w:tr>
      <w:tr>
        <w:trPr>
          <w:trHeight w:val="375"/>
        </w:trPr>
        <w:tc>
          <w:tcPr>
            <w:tcW w:w="1260" w:type="dxa"/>
            <w:vAlign w:val="bottom"/>
            <w:tcBorders>
              <w:bottom w:val="single" w:sz="8" w:color="010101"/>
            </w:tcBorders>
          </w:tcPr>
          <w:p>
            <w:pPr>
              <w:spacing w:after="0"/>
              <w:rPr>
                <w:sz w:val="24"/>
                <w:szCs w:val="24"/>
                <w:color w:val="auto"/>
              </w:rPr>
            </w:pPr>
          </w:p>
        </w:tc>
        <w:tc>
          <w:tcPr>
            <w:tcW w:w="10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80" w:type="dxa"/>
            <w:vAlign w:val="bottom"/>
          </w:tcPr>
          <w:p>
            <w:pPr>
              <w:ind w:left="1600"/>
              <w:spacing w:after="0"/>
              <w:rPr>
                <w:sz w:val="20"/>
                <w:szCs w:val="20"/>
                <w:color w:val="auto"/>
              </w:rPr>
            </w:pPr>
            <w:r>
              <w:rPr>
                <w:rFonts w:ascii="Arial" w:cs="Arial" w:eastAsia="Arial" w:hAnsi="Arial"/>
                <w:sz w:val="18"/>
                <w:szCs w:val="18"/>
                <w:color w:val="auto"/>
              </w:rPr>
              <w:t>THE TORO COMPANY</w:t>
            </w:r>
          </w:p>
        </w:tc>
      </w:tr>
      <w:tr>
        <w:trPr>
          <w:trHeight w:val="230"/>
        </w:trPr>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80" w:type="dxa"/>
            <w:vAlign w:val="bottom"/>
          </w:tcPr>
          <w:p>
            <w:pPr>
              <w:ind w:left="2060"/>
              <w:spacing w:after="0"/>
              <w:rPr>
                <w:sz w:val="20"/>
                <w:szCs w:val="20"/>
                <w:color w:val="auto"/>
              </w:rPr>
            </w:pPr>
            <w:r>
              <w:rPr>
                <w:rFonts w:ascii="Arial" w:cs="Arial" w:eastAsia="Arial" w:hAnsi="Arial"/>
                <w:sz w:val="18"/>
                <w:szCs w:val="18"/>
                <w:color w:val="auto"/>
              </w:rPr>
              <w:t>(Registrant)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Date: March 13, 2007</w:t>
            </w:r>
          </w:p>
        </w:tc>
        <w:tc>
          <w:tcPr>
            <w:tcW w:w="9000" w:type="dxa"/>
            <w:vAlign w:val="bottom"/>
            <w:gridSpan w:val="2"/>
          </w:tcPr>
          <w:p>
            <w:pPr>
              <w:ind w:left="840"/>
              <w:spacing w:after="0"/>
              <w:rPr>
                <w:sz w:val="20"/>
                <w:szCs w:val="20"/>
                <w:color w:val="auto"/>
              </w:rPr>
            </w:pPr>
            <w:r>
              <w:rPr>
                <w:rFonts w:ascii="Arial" w:cs="Arial" w:eastAsia="Arial" w:hAnsi="Arial"/>
                <w:sz w:val="18"/>
                <w:szCs w:val="18"/>
                <w:color w:val="auto"/>
              </w:rPr>
              <w:t>By /s/ Stephen P. Wolfe</w:t>
            </w:r>
          </w:p>
        </w:tc>
      </w:tr>
      <w:tr>
        <w:trPr>
          <w:trHeight w:val="195"/>
        </w:trPr>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P. Wolfe</w:t>
            </w:r>
          </w:p>
        </w:tc>
      </w:tr>
      <w:tr>
        <w:trPr>
          <w:trHeight w:val="216"/>
        </w:trPr>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00" w:lineRule="exact"/>
        <w:rPr>
          <w:sz w:val="20"/>
          <w:szCs w:val="20"/>
          <w:color w:val="auto"/>
        </w:rPr>
      </w:pPr>
    </w:p>
    <w:p>
      <w:pPr>
        <w:sectPr>
          <w:pgSz w:w="11900" w:h="16838" w:orient="portrait"/>
          <w:cols w:equalWidth="0" w:num="1">
            <w:col w:w="11460"/>
          </w:cols>
          <w:pgMar w:left="240" w:top="125" w:right="199" w:bottom="7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798"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EMPLOYMENT INDUCEMENT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TIMOTHY P. DORDELL</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November 7, 2006, the Compensation and Human Resources Committee of The Toro Company awarded 2,620 restricted shares of common stock to Timothy P. Dordell, Toro’s Vice President and Deputy General Counsel. The award terms were approved by committee resolutions, and were not set forth in a written agreement.</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award shares will be fully vested on the second anniversary of Dordell’s first day of employment with Toro. In the event Dordell voluntarily terminates his employment with Toro prior to his second anniversary with Toro for any reason, the entire stock grant will be forfeited and the shares will be returned to Toro’s treasury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EMPLOYMENT INDUCEMENT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PETER M. RAMSTAD</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November 30, 2006, the Compensation and Human Resources Committee of The Toro Company awarded 2,300 restricted shares of common stock to Peter M. Ramstad, Toro’s Vice President, Business and Strategic Development. The award terms were approved by committee resolutions, and were not set forth in a written agreement.</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award shares will be fully vested on the second anniversary of Ramstad’s first day of employment with Toro. In the event Ramstad voluntarily terminates his employment with Toro prior to his second anniversary with Toro for any reason, the entire stock grant will be forfeited and the shares will be returned to Toro’s treasury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Plan</w:t>
      </w:r>
    </w:p>
    <w:p>
      <w:pPr>
        <w:spacing w:after="0" w:line="207" w:lineRule="exact"/>
        <w:rPr>
          <w:sz w:val="20"/>
          <w:szCs w:val="20"/>
          <w:color w:val="auto"/>
        </w:rPr>
      </w:pPr>
    </w:p>
    <w:p>
      <w:pPr>
        <w:ind w:left="360" w:right="20" w:hanging="352"/>
        <w:spacing w:after="0" w:line="298" w:lineRule="auto"/>
        <w:tabs>
          <w:tab w:leader="none" w:pos="36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Toro Company Performance Share Plan (the “Plan”) is to enhance long-term stockholder value of The Toro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54" w:lineRule="exact"/>
        <w:rPr>
          <w:rFonts w:ascii="Arial" w:cs="Arial" w:eastAsia="Arial" w:hAnsi="Arial"/>
          <w:sz w:val="16"/>
          <w:szCs w:val="16"/>
          <w:b w:val="1"/>
          <w:bCs w:val="1"/>
          <w:color w:val="auto"/>
        </w:rPr>
      </w:pPr>
    </w:p>
    <w:p>
      <w:pPr>
        <w:ind w:left="360" w:right="80" w:hanging="352"/>
        <w:spacing w:after="0" w:line="261" w:lineRule="auto"/>
        <w:tabs>
          <w:tab w:leader="none" w:pos="36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and Participation. </w:t>
      </w:r>
      <w:r>
        <w:rPr>
          <w:rFonts w:ascii="Arial" w:cs="Arial" w:eastAsia="Arial" w:hAnsi="Arial"/>
          <w:sz w:val="18"/>
          <w:szCs w:val="18"/>
          <w:color w:val="auto"/>
        </w:rPr>
        <w:t>Key employees of the Company, who, through their position or performance, can have a significant, positive impact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paragraph 3.c.(ii), if applicable.</w:t>
      </w:r>
    </w:p>
    <w:p>
      <w:pPr>
        <w:spacing w:after="0" w:line="180" w:lineRule="exact"/>
        <w:rPr>
          <w:rFonts w:ascii="Arial" w:cs="Arial" w:eastAsia="Arial" w:hAnsi="Arial"/>
          <w:sz w:val="18"/>
          <w:szCs w:val="18"/>
          <w:b w:val="1"/>
          <w:bCs w:val="1"/>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Awards.</w:t>
      </w:r>
    </w:p>
    <w:p>
      <w:pPr>
        <w:spacing w:after="0" w:line="225" w:lineRule="exact"/>
        <w:rPr>
          <w:rFonts w:ascii="Arial" w:cs="Arial" w:eastAsia="Arial" w:hAnsi="Arial"/>
          <w:sz w:val="18"/>
          <w:szCs w:val="18"/>
          <w:b w:val="1"/>
          <w:bCs w:val="1"/>
          <w:color w:val="auto"/>
        </w:rPr>
      </w:pPr>
    </w:p>
    <w:p>
      <w:pPr>
        <w:ind w:left="720" w:right="140" w:hanging="352"/>
        <w:spacing w:after="0" w:line="261" w:lineRule="auto"/>
        <w:tabs>
          <w:tab w:leader="none" w:pos="714"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 Defined. </w:t>
      </w:r>
      <w:r>
        <w:rPr>
          <w:rFonts w:ascii="Arial" w:cs="Arial" w:eastAsia="Arial" w:hAnsi="Arial"/>
          <w:sz w:val="18"/>
          <w:szCs w:val="18"/>
          <w:color w:val="auto"/>
        </w:rPr>
        <w:t>A Performance Share is a right to receive shares of Common Stock or Common Stock units, contingent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performance goals of the Company during a three-year period, except that a shorter period may be established for new participants (the “Award Term”). A Performance Share Award shall be subject to such conditions, restrictions and contingencies as the Committee shall determine.</w:t>
      </w:r>
    </w:p>
    <w:p>
      <w:pPr>
        <w:spacing w:after="0" w:line="180" w:lineRule="exact"/>
        <w:rPr>
          <w:rFonts w:ascii="Arial" w:cs="Arial" w:eastAsia="Arial" w:hAnsi="Arial"/>
          <w:sz w:val="18"/>
          <w:szCs w:val="18"/>
          <w:color w:val="auto"/>
        </w:rPr>
      </w:pPr>
    </w:p>
    <w:p>
      <w:pPr>
        <w:ind w:left="720" w:right="20" w:hanging="352"/>
        <w:spacing w:after="0" w:line="347" w:lineRule="auto"/>
        <w:tabs>
          <w:tab w:leader="none" w:pos="711"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Performance Shares shall be subject to forfeiture until they vest and shall vest only after the conclusion of the Award Term, and only if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makes the certification required by paragraph 3.c.(iv), except as may otherwise be provided in paragraphs 3.e.(i), 3.e.(ii) and 3.e.(iv).</w:t>
      </w:r>
    </w:p>
    <w:p>
      <w:pPr>
        <w:spacing w:after="0" w:line="116" w:lineRule="exact"/>
        <w:rPr>
          <w:rFonts w:ascii="Arial" w:cs="Arial" w:eastAsia="Arial" w:hAnsi="Arial"/>
          <w:sz w:val="16"/>
          <w:szCs w:val="16"/>
          <w:color w:val="auto"/>
        </w:rPr>
      </w:pPr>
    </w:p>
    <w:p>
      <w:pPr>
        <w:ind w:left="720" w:right="720" w:hanging="352"/>
        <w:spacing w:after="0" w:line="282" w:lineRule="auto"/>
        <w:tabs>
          <w:tab w:leader="none" w:pos="714"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Section 162(m) Conditions. </w:t>
      </w:r>
      <w:r>
        <w:rPr>
          <w:rFonts w:ascii="Arial" w:cs="Arial" w:eastAsia="Arial" w:hAnsi="Arial"/>
          <w:sz w:val="18"/>
          <w:szCs w:val="18"/>
          <w:color w:val="auto"/>
        </w:rPr>
        <w:t>Performance Share Awards may be designated as “performance-based compensation” as that term is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Internal Revenue Code of 1986, as amended (the “Code”).</w:t>
      </w:r>
    </w:p>
    <w:p>
      <w:pPr>
        <w:spacing w:after="0" w:line="165" w:lineRule="exact"/>
        <w:rPr>
          <w:rFonts w:ascii="Arial" w:cs="Arial" w:eastAsia="Arial" w:hAnsi="Arial"/>
          <w:sz w:val="18"/>
          <w:szCs w:val="18"/>
          <w:color w:val="auto"/>
        </w:rPr>
      </w:pPr>
    </w:p>
    <w:p>
      <w:pPr>
        <w:ind w:left="1080" w:right="100" w:hanging="352"/>
        <w:spacing w:after="0" w:line="276" w:lineRule="auto"/>
        <w:tabs>
          <w:tab w:leader="none" w:pos="1106" w:val="left"/>
        </w:tabs>
        <w:numPr>
          <w:ilvl w:val="2"/>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Performance Goals. </w:t>
      </w:r>
      <w:r>
        <w:rPr>
          <w:rFonts w:ascii="Arial" w:cs="Arial" w:eastAsia="Arial" w:hAnsi="Arial"/>
          <w:sz w:val="17"/>
          <w:szCs w:val="17"/>
          <w:color w:val="auto"/>
        </w:rPr>
        <w:t>The performance goal criteria (“Performance Goals”) that may be used by the Committee for Performance Shares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5" w:lineRule="exact"/>
        <w:rPr>
          <w:rFonts w:ascii="Arial" w:cs="Arial" w:eastAsia="Arial" w:hAnsi="Arial"/>
          <w:sz w:val="17"/>
          <w:szCs w:val="17"/>
          <w:color w:val="auto"/>
        </w:rPr>
      </w:pPr>
    </w:p>
    <w:p>
      <w:pPr>
        <w:ind w:left="1080" w:right="60" w:hanging="352"/>
        <w:spacing w:after="0" w:line="255" w:lineRule="auto"/>
        <w:tabs>
          <w:tab w:leader="none" w:pos="1116"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Establishment of Performance Goals. </w:t>
      </w:r>
      <w:r>
        <w:rPr>
          <w:rFonts w:ascii="Arial" w:cs="Arial" w:eastAsia="Arial" w:hAnsi="Arial"/>
          <w:sz w:val="18"/>
          <w:szCs w:val="18"/>
          <w:color w:val="auto"/>
        </w:rPr>
        <w:t>Performance Share Awards designated “performance-based compensation” shall be granted,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93" w:lineRule="exact"/>
        <w:rPr>
          <w:rFonts w:ascii="Arial" w:cs="Arial" w:eastAsia="Arial" w:hAnsi="Arial"/>
          <w:sz w:val="18"/>
          <w:szCs w:val="18"/>
          <w:color w:val="auto"/>
        </w:rPr>
      </w:pPr>
    </w:p>
    <w:p>
      <w:pPr>
        <w:ind w:left="1080" w:right="80" w:hanging="352"/>
        <w:spacing w:after="0" w:line="257" w:lineRule="auto"/>
        <w:tabs>
          <w:tab w:leader="none" w:pos="1125"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Section 162(m) Maximum Award Payment. </w:t>
      </w:r>
      <w:r>
        <w:rPr>
          <w:rFonts w:ascii="Arial" w:cs="Arial" w:eastAsia="Arial" w:hAnsi="Arial"/>
          <w:sz w:val="18"/>
          <w:szCs w:val="18"/>
          <w:color w:val="auto"/>
        </w:rPr>
        <w:t>With respect to a Performance Share Award that is designated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purposes of Section 162(m), the maximum number of shares that may be issued under the award shall be set at the time the 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188" w:lineRule="exact"/>
        <w:rPr>
          <w:rFonts w:ascii="Arial" w:cs="Arial" w:eastAsia="Arial" w:hAnsi="Arial"/>
          <w:sz w:val="18"/>
          <w:szCs w:val="18"/>
          <w:color w:val="auto"/>
        </w:rPr>
      </w:pPr>
    </w:p>
    <w:p>
      <w:pPr>
        <w:ind w:left="1080" w:right="20" w:hanging="352"/>
        <w:spacing w:after="0" w:line="270" w:lineRule="auto"/>
        <w:tabs>
          <w:tab w:leader="none" w:pos="1101" w:val="left"/>
        </w:tabs>
        <w:numPr>
          <w:ilvl w:val="2"/>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Certification of Payment. </w:t>
      </w:r>
      <w:r>
        <w:rPr>
          <w:rFonts w:ascii="Arial" w:cs="Arial" w:eastAsia="Arial" w:hAnsi="Arial"/>
          <w:sz w:val="17"/>
          <w:szCs w:val="17"/>
          <w:color w:val="auto"/>
        </w:rPr>
        <w:t>Before any payment or delivery of shares of Common Stock is made under the Plan to any Participant who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 referred to in Section 162(m), the Committee must certify in writing, as reflected in the minutes, that the Performance Goals established with respect to a Performance Share Award have been achieved. To the extent necessary with respect to any fiscal year or Award Term,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177" w:lineRule="exact"/>
        <w:rPr>
          <w:rFonts w:ascii="Arial" w:cs="Arial" w:eastAsia="Arial" w:hAnsi="Arial"/>
          <w:sz w:val="17"/>
          <w:szCs w:val="17"/>
          <w:color w:val="auto"/>
        </w:rPr>
      </w:pPr>
    </w:p>
    <w:p>
      <w:pPr>
        <w:ind w:left="720" w:right="20" w:hanging="352"/>
        <w:spacing w:after="0" w:line="277" w:lineRule="auto"/>
        <w:tabs>
          <w:tab w:leader="none" w:pos="711"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Delivery. </w:t>
      </w:r>
      <w:r>
        <w:rPr>
          <w:rFonts w:ascii="Arial" w:cs="Arial" w:eastAsia="Arial" w:hAnsi="Arial"/>
          <w:sz w:val="17"/>
          <w:szCs w:val="17"/>
          <w:color w:val="auto"/>
        </w:rPr>
        <w:t>Certificates for shares of Common Stock in the number of Performance Shares that vest under an award will be delivered as soon as</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after the applicable vesting requirements (including accelerated vesting under paragraph 3.e.(iv))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or in the event Performance Shares are canceled under the provisions of paragraph 3.e.(v), Performance Shares shall be canceled and have no value.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720" w:hanging="352"/>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Vesting and Cancellation Under Special Circumstances.</w:t>
      </w:r>
    </w:p>
    <w:p>
      <w:pPr>
        <w:spacing w:after="0" w:line="229" w:lineRule="exact"/>
        <w:rPr>
          <w:rFonts w:ascii="Arial" w:cs="Arial" w:eastAsia="Arial" w:hAnsi="Arial"/>
          <w:sz w:val="18"/>
          <w:szCs w:val="18"/>
          <w:color w:val="auto"/>
        </w:rPr>
      </w:pPr>
    </w:p>
    <w:p>
      <w:pPr>
        <w:ind w:left="1080" w:right="40" w:hanging="352"/>
        <w:spacing w:after="0" w:line="312" w:lineRule="auto"/>
        <w:tabs>
          <w:tab w:leader="none" w:pos="1106" w:val="left"/>
        </w:tabs>
        <w:numPr>
          <w:ilvl w:val="2"/>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Retirement, Death or Disability</w:t>
      </w:r>
      <w:r>
        <w:rPr>
          <w:rFonts w:ascii="Arial" w:cs="Arial" w:eastAsia="Arial" w:hAnsi="Arial"/>
          <w:sz w:val="16"/>
          <w:szCs w:val="16"/>
          <w:color w:val="auto"/>
        </w:rPr>
        <w:t>. If a Plan Participant retires, dies or becomes permanently disabled and unable to work prior to the end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Term, but after the conclusion of not less than 33% of the Award Term, the Committee may, in its sole discretion, cause shares of Common Stock to be delivered with respect to the participant’s Performance Share Award, but only if otherwise earned and only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-5421630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-970915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0" w:name="page21"/>
    <w:bookmarkEnd w:id="20"/>
    <w:p>
      <w:pPr>
        <w:ind w:left="352" w:right="60"/>
        <w:spacing w:after="0" w:line="293" w:lineRule="auto"/>
        <w:rPr>
          <w:sz w:val="20"/>
          <w:szCs w:val="20"/>
          <w:color w:val="auto"/>
        </w:rPr>
      </w:pPr>
      <w:r>
        <w:rPr>
          <w:rFonts w:ascii="Arial" w:cs="Arial" w:eastAsia="Arial" w:hAnsi="Arial"/>
          <w:sz w:val="16"/>
          <w:szCs w:val="16"/>
          <w:color w:val="auto"/>
        </w:rPr>
        <w:t>to the portion of the applicable Award Term completed at the date of such event, with proration based on full fiscal years only and no shares to be delivered for partial fiscal years. “Retirement” means termination of employment with the Company at age 55 or older and with a number of years of service to the Company that, when added together with the participant’s age, equals at least 65. The Committee shall consider the requirements of paragraph (A) under this paragraph 3.e.(i)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165" w:lineRule="exact"/>
        <w:rPr>
          <w:sz w:val="20"/>
          <w:szCs w:val="20"/>
          <w:color w:val="auto"/>
        </w:rPr>
      </w:pPr>
    </w:p>
    <w:p>
      <w:pPr>
        <w:ind w:left="812" w:right="60" w:hanging="452"/>
        <w:spacing w:after="0" w:line="290" w:lineRule="auto"/>
        <w:tabs>
          <w:tab w:leader="none" w:pos="746"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Non-compete</w:t>
      </w:r>
      <w:r>
        <w:rPr>
          <w:rFonts w:ascii="Arial" w:cs="Arial" w:eastAsia="Arial" w:hAnsi="Arial"/>
          <w:sz w:val="16"/>
          <w:szCs w:val="16"/>
          <w:color w:val="auto"/>
        </w:rPr>
        <w:t>. Notwithstanding the foregoing, if a Plan Participant retires prior to age 65, and within one year after the later of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that retirement or the date shares are delivered pursuant to paragraph 3.e.(i),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this paragraph 3.e.(i) or withhold or have the right to the return of the economic value of the Performance Shares that vested under this paragraph; provided, however, that this provision shall not be applicable in the event of a Change of Control.</w:t>
      </w:r>
    </w:p>
    <w:p>
      <w:pPr>
        <w:spacing w:after="0" w:line="166" w:lineRule="exact"/>
        <w:rPr>
          <w:rFonts w:ascii="Arial" w:cs="Arial" w:eastAsia="Arial" w:hAnsi="Arial"/>
          <w:sz w:val="16"/>
          <w:szCs w:val="16"/>
          <w:color w:val="auto"/>
        </w:rPr>
      </w:pPr>
    </w:p>
    <w:p>
      <w:pPr>
        <w:ind w:left="352" w:right="120" w:hanging="352"/>
        <w:spacing w:after="0" w:line="297" w:lineRule="auto"/>
        <w:tabs>
          <w:tab w:leader="none" w:pos="387"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Reassignment</w:t>
      </w:r>
      <w:r>
        <w:rPr>
          <w:rFonts w:ascii="Arial" w:cs="Arial" w:eastAsia="Arial" w:hAnsi="Arial"/>
          <w:sz w:val="16"/>
          <w:szCs w:val="16"/>
          <w:color w:val="auto"/>
        </w:rPr>
        <w:t>. If prior to the end of an Award Term, a Plan Participant is reassigned to a position with the Company (including a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parent of the Company), and that position is not eligible to participate in the Plan, but the Plan Participant does not terminate employment with the Company, the Committee may, in its sole discretion, cause shares of Common Stock to be delivered with respect to the participant’s Performance Share Award, but only if otherwise earned and only with respect to the portion of the applicable Award Term completed at the date of such reassignment, based on full fiscal years only, with no shares to be delivered for partial fiscal years.</w:t>
      </w:r>
    </w:p>
    <w:p>
      <w:pPr>
        <w:spacing w:after="0" w:line="158" w:lineRule="exact"/>
        <w:rPr>
          <w:rFonts w:ascii="Arial" w:cs="Arial" w:eastAsia="Arial" w:hAnsi="Arial"/>
          <w:sz w:val="16"/>
          <w:szCs w:val="16"/>
          <w:color w:val="auto"/>
        </w:rPr>
      </w:pPr>
    </w:p>
    <w:p>
      <w:pPr>
        <w:ind w:left="352" w:right="160" w:hanging="352"/>
        <w:spacing w:after="0" w:line="277" w:lineRule="auto"/>
        <w:tabs>
          <w:tab w:leader="none" w:pos="397"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Termination</w:t>
      </w:r>
      <w:r>
        <w:rPr>
          <w:rFonts w:ascii="Arial" w:cs="Arial" w:eastAsia="Arial" w:hAnsi="Arial"/>
          <w:sz w:val="18"/>
          <w:szCs w:val="18"/>
          <w:color w:val="auto"/>
        </w:rPr>
        <w:t>. In the event that a Plan Participant terminates employment with the Company other than by reason of retirement, death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disability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338455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2"/>
        <w:spacing w:after="0"/>
        <w:rPr>
          <w:sz w:val="20"/>
          <w:szCs w:val="20"/>
          <w:color w:val="auto"/>
        </w:rPr>
      </w:pPr>
      <w:r>
        <w:rPr>
          <w:rFonts w:ascii="Arial" w:cs="Arial" w:eastAsia="Arial" w:hAnsi="Arial"/>
          <w:sz w:val="16"/>
          <w:szCs w:val="16"/>
          <w:color w:val="auto"/>
        </w:rPr>
        <w:t>provided in paragraph 3.e.(i), Performance Shares in such participant’s name that have not yet vested shall not vest and shall be canceled.</w:t>
      </w:r>
    </w:p>
    <w:p>
      <w:pPr>
        <w:spacing w:after="0" w:line="248" w:lineRule="exact"/>
        <w:rPr>
          <w:sz w:val="20"/>
          <w:szCs w:val="20"/>
          <w:color w:val="auto"/>
        </w:rPr>
      </w:pPr>
    </w:p>
    <w:p>
      <w:pPr>
        <w:ind w:left="352" w:right="300" w:hanging="352"/>
        <w:spacing w:after="0" w:line="277" w:lineRule="auto"/>
        <w:tabs>
          <w:tab w:leader="none" w:pos="37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Notwithstanding the provisions of paragraphs 3.b. and 3.c., all Performance Shares that have not yet vested shall vest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become immediately payable if there is a change of control of the Company.</w:t>
      </w:r>
    </w:p>
    <w:p>
      <w:pPr>
        <w:spacing w:after="0" w:line="170" w:lineRule="exact"/>
        <w:rPr>
          <w:sz w:val="20"/>
          <w:szCs w:val="20"/>
          <w:color w:val="auto"/>
        </w:rPr>
      </w:pPr>
    </w:p>
    <w:p>
      <w:pPr>
        <w:ind w:left="352"/>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left="812" w:right="20" w:hanging="452"/>
        <w:spacing w:after="0" w:line="253"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paragraph (C) of this paragraph 3.e. (iv); or</w:t>
      </w:r>
    </w:p>
    <w:p>
      <w:pPr>
        <w:spacing w:after="0" w:line="197" w:lineRule="exact"/>
        <w:rPr>
          <w:rFonts w:ascii="Arial" w:cs="Arial" w:eastAsia="Arial" w:hAnsi="Arial"/>
          <w:sz w:val="18"/>
          <w:szCs w:val="18"/>
          <w:color w:val="auto"/>
        </w:rPr>
      </w:pPr>
    </w:p>
    <w:p>
      <w:pPr>
        <w:ind w:left="812" w:hanging="452"/>
        <w:spacing w:after="0" w:line="255" w:lineRule="auto"/>
        <w:tabs>
          <w:tab w:leader="none" w:pos="83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ind w:left="812" w:right="140" w:hanging="452"/>
        <w:spacing w:after="0" w:line="273" w:lineRule="auto"/>
        <w:tabs>
          <w:tab w:leader="none" w:pos="831"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343535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92" w:right="40"/>
        <w:spacing w:after="0" w:line="287" w:lineRule="auto"/>
        <w:rPr>
          <w:sz w:val="20"/>
          <w:szCs w:val="20"/>
          <w:color w:val="auto"/>
        </w:rPr>
      </w:pPr>
      <w:r>
        <w:rPr>
          <w:rFonts w:ascii="Arial" w:cs="Arial" w:eastAsia="Arial" w:hAnsi="Arial"/>
          <w:sz w:val="16"/>
          <w:szCs w:val="16"/>
          <w:color w:val="auto"/>
        </w:rPr>
        <w:t>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ectPr>
          <w:pgSz w:w="11900" w:h="16838" w:orient="portrait"/>
          <w:cols w:equalWidth="0" w:num="1">
            <w:col w:w="10692"/>
          </w:cols>
          <w:pgMar w:left="968" w:top="125" w:right="239" w:bottom="0" w:gutter="0" w:footer="0" w:header="0"/>
        </w:sectPr>
      </w:pPr>
    </w:p>
    <w:bookmarkStart w:id="21" w:name="page22"/>
    <w:bookmarkEnd w:id="21"/>
    <w:p>
      <w:pPr>
        <w:ind w:left="1552" w:hanging="472"/>
        <w:spacing w:after="0"/>
        <w:tabs>
          <w:tab w:leader="none" w:pos="1552" w:val="left"/>
        </w:tabs>
        <w:numPr>
          <w:ilvl w:val="3"/>
          <w:numId w:val="1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ind w:left="1072" w:right="200" w:hanging="352"/>
        <w:spacing w:after="0" w:line="264" w:lineRule="auto"/>
        <w:tabs>
          <w:tab w:leader="none" w:pos="1084"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Discretion to Scale Back Awards</w:t>
      </w:r>
      <w:r>
        <w:rPr>
          <w:rFonts w:ascii="Arial" w:cs="Arial" w:eastAsia="Arial" w:hAnsi="Arial"/>
          <w:sz w:val="18"/>
          <w:szCs w:val="18"/>
          <w:color w:val="auto"/>
        </w:rPr>
        <w:t>. At any time during an Award Term of more than one fiscal year, the Committee may, in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 cancel a portion of the Performance Shares in any Performance Share Award prior to the conclusion of the Award Term (a “Scale Back”), provided that:</w:t>
      </w:r>
    </w:p>
    <w:p>
      <w:pPr>
        <w:spacing w:after="0" w:line="181" w:lineRule="exact"/>
        <w:rPr>
          <w:rFonts w:ascii="Arial" w:cs="Arial" w:eastAsia="Arial" w:hAnsi="Arial"/>
          <w:sz w:val="18"/>
          <w:szCs w:val="18"/>
          <w:color w:val="auto"/>
        </w:rPr>
      </w:pPr>
    </w:p>
    <w:p>
      <w:pPr>
        <w:ind w:left="1532" w:hanging="452"/>
        <w:spacing w:after="0"/>
        <w:tabs>
          <w:tab w:leader="none" w:pos="1532" w:val="left"/>
        </w:tabs>
        <w:numPr>
          <w:ilvl w:val="3"/>
          <w:numId w:val="11"/>
        </w:numPr>
        <w:rPr>
          <w:rFonts w:ascii="Arial" w:cs="Arial" w:eastAsia="Arial" w:hAnsi="Arial"/>
          <w:sz w:val="18"/>
          <w:szCs w:val="18"/>
          <w:color w:val="auto"/>
        </w:rPr>
      </w:pPr>
      <w:r>
        <w:rPr>
          <w:rFonts w:ascii="Arial" w:cs="Arial" w:eastAsia="Arial" w:hAnsi="Arial"/>
          <w:sz w:val="18"/>
          <w:szCs w:val="18"/>
          <w:color w:val="auto"/>
        </w:rPr>
        <w:t>the Performance Share Award has not yet vested;</w:t>
      </w:r>
    </w:p>
    <w:p>
      <w:pPr>
        <w:spacing w:after="0" w:line="225" w:lineRule="exact"/>
        <w:rPr>
          <w:rFonts w:ascii="Arial" w:cs="Arial" w:eastAsia="Arial" w:hAnsi="Arial"/>
          <w:sz w:val="18"/>
          <w:szCs w:val="18"/>
          <w:color w:val="auto"/>
        </w:rPr>
      </w:pPr>
    </w:p>
    <w:p>
      <w:pPr>
        <w:ind w:left="1532" w:right="200" w:hanging="452"/>
        <w:spacing w:after="0" w:line="342" w:lineRule="auto"/>
        <w:tabs>
          <w:tab w:leader="none" w:pos="1551" w:val="left"/>
        </w:tabs>
        <w:numPr>
          <w:ilvl w:val="3"/>
          <w:numId w:val="11"/>
        </w:numPr>
        <w:rPr>
          <w:rFonts w:ascii="Arial" w:cs="Arial" w:eastAsia="Arial" w:hAnsi="Arial"/>
          <w:sz w:val="16"/>
          <w:szCs w:val="16"/>
          <w:color w:val="auto"/>
        </w:rPr>
      </w:pPr>
      <w:r>
        <w:rPr>
          <w:rFonts w:ascii="Arial" w:cs="Arial" w:eastAsia="Arial" w:hAnsi="Arial"/>
          <w:sz w:val="16"/>
          <w:szCs w:val="16"/>
          <w:color w:val="auto"/>
        </w:rPr>
        <w:t>based on financial information contained in the Company’s financial statements or similar internal reports, the Committee determines that the Performance Goals for the Award Term cannot be achieved at the maximum levels established at the time of grant;</w:t>
      </w:r>
    </w:p>
    <w:p>
      <w:pPr>
        <w:spacing w:after="0" w:line="123" w:lineRule="exact"/>
        <w:rPr>
          <w:rFonts w:ascii="Arial" w:cs="Arial" w:eastAsia="Arial" w:hAnsi="Arial"/>
          <w:sz w:val="16"/>
          <w:szCs w:val="16"/>
          <w:color w:val="auto"/>
        </w:rPr>
      </w:pPr>
    </w:p>
    <w:p>
      <w:pPr>
        <w:ind w:left="1532" w:right="300" w:hanging="452"/>
        <w:spacing w:after="0" w:line="277" w:lineRule="auto"/>
        <w:tabs>
          <w:tab w:leader="none" w:pos="1551" w:val="left"/>
        </w:tabs>
        <w:numPr>
          <w:ilvl w:val="3"/>
          <w:numId w:val="11"/>
        </w:numPr>
        <w:rPr>
          <w:rFonts w:ascii="Arial" w:cs="Arial" w:eastAsia="Arial" w:hAnsi="Arial"/>
          <w:sz w:val="18"/>
          <w:szCs w:val="18"/>
          <w:color w:val="auto"/>
        </w:rPr>
      </w:pPr>
      <w:r>
        <w:rPr>
          <w:rFonts w:ascii="Arial" w:cs="Arial" w:eastAsia="Arial" w:hAnsi="Arial"/>
          <w:sz w:val="18"/>
          <w:szCs w:val="18"/>
          <w:color w:val="auto"/>
        </w:rPr>
        <w:t>Performance Share Awards shall be Scaled Back in proportion to the estimated short fall in achievement of Performance Goals from maximum levels;</w:t>
      </w:r>
    </w:p>
    <w:p>
      <w:pPr>
        <w:spacing w:after="0" w:line="170" w:lineRule="exact"/>
        <w:rPr>
          <w:rFonts w:ascii="Arial" w:cs="Arial" w:eastAsia="Arial" w:hAnsi="Arial"/>
          <w:sz w:val="18"/>
          <w:szCs w:val="18"/>
          <w:color w:val="auto"/>
        </w:rPr>
      </w:pPr>
    </w:p>
    <w:p>
      <w:pPr>
        <w:ind w:left="1552" w:hanging="472"/>
        <w:spacing w:after="0"/>
        <w:tabs>
          <w:tab w:leader="none" w:pos="1552" w:val="left"/>
        </w:tabs>
        <w:numPr>
          <w:ilvl w:val="3"/>
          <w:numId w:val="11"/>
        </w:numPr>
        <w:rPr>
          <w:rFonts w:ascii="Arial" w:cs="Arial" w:eastAsia="Arial" w:hAnsi="Arial"/>
          <w:sz w:val="18"/>
          <w:szCs w:val="18"/>
          <w:color w:val="auto"/>
        </w:rPr>
      </w:pPr>
      <w:r>
        <w:rPr>
          <w:rFonts w:ascii="Arial" w:cs="Arial" w:eastAsia="Arial" w:hAnsi="Arial"/>
          <w:sz w:val="18"/>
          <w:szCs w:val="18"/>
          <w:color w:val="auto"/>
        </w:rPr>
        <w:t>all Performance Share Awards for the same Award Term are Scaled Back by the same percentage;</w:t>
      </w:r>
    </w:p>
    <w:p>
      <w:pPr>
        <w:spacing w:after="0" w:line="225" w:lineRule="exact"/>
        <w:rPr>
          <w:rFonts w:ascii="Arial" w:cs="Arial" w:eastAsia="Arial" w:hAnsi="Arial"/>
          <w:sz w:val="18"/>
          <w:szCs w:val="18"/>
          <w:color w:val="auto"/>
        </w:rPr>
      </w:pPr>
    </w:p>
    <w:p>
      <w:pPr>
        <w:ind w:left="1552" w:hanging="472"/>
        <w:spacing w:after="0"/>
        <w:tabs>
          <w:tab w:leader="none" w:pos="1552" w:val="left"/>
        </w:tabs>
        <w:numPr>
          <w:ilvl w:val="3"/>
          <w:numId w:val="11"/>
        </w:numPr>
        <w:rPr>
          <w:rFonts w:ascii="Arial" w:cs="Arial" w:eastAsia="Arial" w:hAnsi="Arial"/>
          <w:sz w:val="17"/>
          <w:szCs w:val="17"/>
          <w:color w:val="auto"/>
        </w:rPr>
      </w:pPr>
      <w:r>
        <w:rPr>
          <w:rFonts w:ascii="Arial" w:cs="Arial" w:eastAsia="Arial" w:hAnsi="Arial"/>
          <w:sz w:val="17"/>
          <w:szCs w:val="17"/>
          <w:color w:val="auto"/>
        </w:rPr>
        <w:t>once an award is Scaled Back, it may not again be increased to add or recover Performance Shares that were canceled; and</w:t>
      </w:r>
    </w:p>
    <w:p>
      <w:pPr>
        <w:spacing w:after="0" w:line="236" w:lineRule="exact"/>
        <w:rPr>
          <w:rFonts w:ascii="Arial" w:cs="Arial" w:eastAsia="Arial" w:hAnsi="Arial"/>
          <w:sz w:val="17"/>
          <w:szCs w:val="17"/>
          <w:color w:val="auto"/>
        </w:rPr>
      </w:pPr>
    </w:p>
    <w:p>
      <w:pPr>
        <w:ind w:left="1532" w:right="60" w:hanging="452"/>
        <w:spacing w:after="0" w:line="264" w:lineRule="auto"/>
        <w:tabs>
          <w:tab w:leader="none" w:pos="1545" w:val="left"/>
        </w:tabs>
        <w:numPr>
          <w:ilvl w:val="3"/>
          <w:numId w:val="11"/>
        </w:numPr>
        <w:rPr>
          <w:rFonts w:ascii="Arial" w:cs="Arial" w:eastAsia="Arial" w:hAnsi="Arial"/>
          <w:sz w:val="18"/>
          <w:szCs w:val="18"/>
          <w:color w:val="auto"/>
        </w:rPr>
      </w:pPr>
      <w:r>
        <w:rPr>
          <w:rFonts w:ascii="Arial" w:cs="Arial" w:eastAsia="Arial" w:hAnsi="Arial"/>
          <w:sz w:val="18"/>
          <w:szCs w:val="18"/>
          <w:color w:val="auto"/>
        </w:rPr>
        <w:t>Performance Shares canceled in a Scale Back shall again be available to the Committee for grant of new Performance Share Awards for any future Award Term. This provision shall not be used in any manner that could have the effect of repricing a previous Performance Share Award grant.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ind w:left="712" w:right="360" w:hanging="352"/>
        <w:spacing w:after="0" w:line="282" w:lineRule="auto"/>
        <w:tabs>
          <w:tab w:leader="none" w:pos="714"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Dividends and Voting. </w:t>
      </w:r>
      <w:r>
        <w:rPr>
          <w:rFonts w:ascii="Arial" w:cs="Arial" w:eastAsia="Arial" w:hAnsi="Arial"/>
          <w:sz w:val="18"/>
          <w:szCs w:val="18"/>
          <w:color w:val="auto"/>
        </w:rPr>
        <w:t>A Plan Participant shall have no rights as a stockholder with respect to Performance Shares unless and until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Common Stock units are issued in settlement of the award.</w:t>
      </w:r>
    </w:p>
    <w:p>
      <w:pPr>
        <w:spacing w:after="0" w:line="161" w:lineRule="exact"/>
        <w:rPr>
          <w:rFonts w:ascii="Arial" w:cs="Arial" w:eastAsia="Arial" w:hAnsi="Arial"/>
          <w:sz w:val="18"/>
          <w:szCs w:val="18"/>
          <w:color w:val="auto"/>
        </w:rPr>
      </w:pPr>
    </w:p>
    <w:p>
      <w:pPr>
        <w:ind w:left="712" w:hanging="352"/>
        <w:spacing w:after="0" w:line="274" w:lineRule="auto"/>
        <w:tabs>
          <w:tab w:leader="none" w:pos="703" w:val="left"/>
        </w:tabs>
        <w:numPr>
          <w:ilvl w:val="1"/>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Non-transferability. </w:t>
      </w:r>
      <w:r>
        <w:rPr>
          <w:rFonts w:ascii="Arial" w:cs="Arial" w:eastAsia="Arial" w:hAnsi="Arial"/>
          <w:sz w:val="17"/>
          <w:szCs w:val="17"/>
          <w:color w:val="auto"/>
        </w:rPr>
        <w:t>Neither Performance Shares nor Performance Share Awards nor any interest in any one of such awards or shares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paragraphs 3.e.(i) and 3.e.(ii).</w:t>
      </w:r>
    </w:p>
    <w:p>
      <w:pPr>
        <w:spacing w:after="0" w:line="173" w:lineRule="exact"/>
        <w:rPr>
          <w:rFonts w:ascii="Arial" w:cs="Arial" w:eastAsia="Arial" w:hAnsi="Arial"/>
          <w:sz w:val="17"/>
          <w:szCs w:val="17"/>
          <w:color w:val="auto"/>
        </w:rPr>
      </w:pPr>
    </w:p>
    <w:p>
      <w:pPr>
        <w:ind w:left="352" w:right="100" w:hanging="352"/>
        <w:spacing w:after="0" w:line="261" w:lineRule="auto"/>
        <w:tabs>
          <w:tab w:leader="none" w:pos="35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Shares Subject to Performance Share Awards. </w:t>
      </w:r>
      <w:r>
        <w:rPr>
          <w:rFonts w:ascii="Arial" w:cs="Arial" w:eastAsia="Arial" w:hAnsi="Arial"/>
          <w:sz w:val="18"/>
          <w:szCs w:val="18"/>
          <w:color w:val="auto"/>
        </w:rPr>
        <w:t>Subject to the provisions of paragraph 4.a., the total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be issued pursuant to Performance Share Awards under the Plan is 3,000,000. Shares of Common Stock that may be issued hereunder may be authorized but unissued shares, reacquired or treasury shares or outstanding shares acquired in the market or from private sources or a combination thereof.</w:t>
      </w:r>
    </w:p>
    <w:p>
      <w:pPr>
        <w:spacing w:after="0" w:line="180" w:lineRule="exact"/>
        <w:rPr>
          <w:rFonts w:ascii="Arial" w:cs="Arial" w:eastAsia="Arial" w:hAnsi="Arial"/>
          <w:sz w:val="18"/>
          <w:szCs w:val="18"/>
          <w:b w:val="1"/>
          <w:bCs w:val="1"/>
          <w:color w:val="auto"/>
        </w:rPr>
      </w:pPr>
    </w:p>
    <w:p>
      <w:pPr>
        <w:ind w:left="712" w:right="40" w:hanging="352"/>
        <w:spacing w:after="0" w:line="291" w:lineRule="auto"/>
        <w:tabs>
          <w:tab w:leader="none" w:pos="706"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In the event of a corporate transaction involving the Company, the Common Stock or the Company’s corporate or capital structure,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 made subject to Performance Share Awards for any individual as set forth in paragraph 3.c. (iii); (iii) the number and kind of securities subject to any outstanding Award; and (iv) any other adjustments that the Committee determines to be equitable.</w:t>
      </w:r>
    </w:p>
    <w:p>
      <w:pPr>
        <w:spacing w:after="0" w:line="160" w:lineRule="exact"/>
        <w:rPr>
          <w:rFonts w:ascii="Arial" w:cs="Arial" w:eastAsia="Arial" w:hAnsi="Arial"/>
          <w:sz w:val="16"/>
          <w:szCs w:val="16"/>
          <w:color w:val="auto"/>
        </w:rPr>
      </w:pPr>
    </w:p>
    <w:p>
      <w:pPr>
        <w:ind w:left="352" w:right="40" w:hanging="352"/>
        <w:spacing w:after="0" w:line="298" w:lineRule="auto"/>
        <w:tabs>
          <w:tab w:leader="none" w:pos="35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shall be administered by the Committee. The Committee shall have the authority to administer the Plan; establish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154" w:lineRule="exact"/>
        <w:rPr>
          <w:rFonts w:ascii="Arial" w:cs="Arial" w:eastAsia="Arial" w:hAnsi="Arial"/>
          <w:sz w:val="16"/>
          <w:szCs w:val="16"/>
          <w:b w:val="1"/>
          <w:bCs w:val="1"/>
          <w:color w:val="auto"/>
        </w:rPr>
      </w:pPr>
    </w:p>
    <w:p>
      <w:pPr>
        <w:ind w:left="352" w:right="20" w:hanging="352"/>
        <w:spacing w:after="0" w:line="282" w:lineRule="auto"/>
        <w:tabs>
          <w:tab w:leader="none" w:pos="35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or to require the Participant to pay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federal, state or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-4663440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335280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2" w:right="80"/>
        <w:spacing w:after="0" w:line="279" w:lineRule="auto"/>
        <w:rPr>
          <w:sz w:val="20"/>
          <w:szCs w:val="20"/>
          <w:color w:val="auto"/>
        </w:rPr>
      </w:pPr>
      <w:r>
        <w:rPr>
          <w:rFonts w:ascii="Arial" w:cs="Arial" w:eastAsia="Arial" w:hAnsi="Arial"/>
          <w:sz w:val="17"/>
          <w:szCs w:val="17"/>
          <w:color w:val="auto"/>
        </w:rPr>
        <w:t>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67" w:lineRule="exact"/>
        <w:rPr>
          <w:sz w:val="20"/>
          <w:szCs w:val="20"/>
          <w:color w:val="auto"/>
        </w:rPr>
      </w:pPr>
    </w:p>
    <w:p>
      <w:pPr>
        <w:ind w:left="352" w:right="120" w:hanging="352"/>
        <w:spacing w:after="0" w:line="261" w:lineRule="auto"/>
        <w:tabs>
          <w:tab w:leader="none" w:pos="35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awards granted under the Plan, agreements entered into under the Plan and Performance Shares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180" w:lineRule="exact"/>
        <w:rPr>
          <w:rFonts w:ascii="Arial" w:cs="Arial" w:eastAsia="Arial" w:hAnsi="Arial"/>
          <w:sz w:val="18"/>
          <w:szCs w:val="18"/>
          <w:b w:val="1"/>
          <w:bCs w:val="1"/>
          <w:color w:val="auto"/>
        </w:rPr>
      </w:pPr>
    </w:p>
    <w:p>
      <w:pPr>
        <w:ind w:left="352" w:right="20" w:hanging="352"/>
        <w:spacing w:after="0" w:line="303" w:lineRule="auto"/>
        <w:tabs>
          <w:tab w:leader="none" w:pos="35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Committee may, in its sole discretion, amend, suspend or terminate the Plan at any time, 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notice to Plan Participants, provided that no amendment to the Plan shall be effective that would increase the maximum number of Performance Shares that may be granted under paragraph 3.c.(iii) to a participant who is a person referred to in Section 162(m); that would change the Performance Goal criteria applicable to a participant who is a person referred to in Section 162(m) for payment of awards as set forth in paragraph 3.c.(i); or that</w:t>
      </w:r>
    </w:p>
    <w:p>
      <w:pPr>
        <w:sectPr>
          <w:pgSz w:w="11900" w:h="16838" w:orient="portrait"/>
          <w:cols w:equalWidth="0" w:num="1">
            <w:col w:w="11372"/>
          </w:cols>
          <w:pgMar w:left="248" w:top="125" w:right="279" w:bottom="0" w:gutter="0" w:footer="0" w:header="0"/>
        </w:sectPr>
      </w:pPr>
    </w:p>
    <w:bookmarkStart w:id="22" w:name="page23"/>
    <w:bookmarkEnd w:id="22"/>
    <w:p>
      <w:pPr>
        <w:ind w:left="352" w:right="100"/>
        <w:spacing w:after="0" w:line="259" w:lineRule="auto"/>
        <w:rPr>
          <w:sz w:val="20"/>
          <w:szCs w:val="20"/>
          <w:color w:val="auto"/>
        </w:rPr>
      </w:pPr>
      <w:r>
        <w:rPr>
          <w:rFonts w:ascii="Arial" w:cs="Arial" w:eastAsia="Arial" w:hAnsi="Arial"/>
          <w:sz w:val="18"/>
          <w:szCs w:val="18"/>
          <w:color w:val="auto"/>
        </w:rPr>
        <w:t>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83" w:lineRule="exact"/>
        <w:rPr>
          <w:sz w:val="20"/>
          <w:szCs w:val="20"/>
          <w:color w:val="auto"/>
        </w:rPr>
      </w:pPr>
    </w:p>
    <w:p>
      <w:pPr>
        <w:ind w:left="352" w:hanging="352"/>
        <w:spacing w:after="0" w:line="313" w:lineRule="auto"/>
        <w:tabs>
          <w:tab w:leader="none" w:pos="356"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 Date of the Plan and Amendments. </w:t>
      </w:r>
      <w:r>
        <w:rPr>
          <w:rFonts w:ascii="Arial" w:cs="Arial" w:eastAsia="Arial" w:hAnsi="Arial"/>
          <w:sz w:val="17"/>
          <w:szCs w:val="17"/>
          <w:color w:val="auto"/>
        </w:rPr>
        <w:t>The Plan first became effective on November 18, 1998. Any amendment to the Plan shall be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established by the Committee, subject to stockholder approval, if required under the provisions of paragraph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594995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125" w:right="4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w:t>
      </w:r>
    </w:p>
    <w:p>
      <w:pPr>
        <w:spacing w:after="0" w:line="207"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entered into as of November 30, 2006, by and between &lt; Name&gt; (“Employee” or “you”) and The Toro Company,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(“Toro” or “we”), to set forth the terms and conditions of a Performance Share Award granted to you by the Compensation and Human Resources Committee of the Board of Directors of Toro (the “Committee”) pursuant to The Toro Company Performance Share Plan (the “Plan”).</w:t>
      </w:r>
    </w:p>
    <w:p>
      <w:pPr>
        <w:spacing w:after="0" w:line="142" w:lineRule="exact"/>
        <w:rPr>
          <w:sz w:val="20"/>
          <w:szCs w:val="20"/>
          <w:color w:val="auto"/>
        </w:rPr>
      </w:pPr>
    </w:p>
    <w:p>
      <w:pPr>
        <w:ind w:right="240" w:firstLine="8"/>
        <w:spacing w:after="0" w:line="347"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 Award. </w:t>
      </w:r>
      <w:r>
        <w:rPr>
          <w:rFonts w:ascii="Arial" w:cs="Arial" w:eastAsia="Arial" w:hAnsi="Arial"/>
          <w:sz w:val="16"/>
          <w:szCs w:val="16"/>
          <w:color w:val="auto"/>
        </w:rPr>
        <w:t>Toro hereby grants you &lt;shareawards&gt; Performance Shares (your “Maximum Potential Payout”) for Fiscal Years</w:t>
      </w:r>
      <w:r>
        <w:rPr>
          <w:rFonts w:ascii="Arial" w:cs="Arial" w:eastAsia="Arial" w:hAnsi="Arial"/>
          <w:sz w:val="16"/>
          <w:szCs w:val="16"/>
          <w:b w:val="1"/>
          <w:bCs w:val="1"/>
          <w:color w:val="auto"/>
        </w:rPr>
        <w:t xml:space="preserve"> </w:t>
      </w:r>
      <w:r>
        <w:rPr>
          <w:rFonts w:ascii="Arial" w:cs="Arial" w:eastAsia="Arial" w:hAnsi="Arial"/>
          <w:sz w:val="16"/>
          <w:szCs w:val="16"/>
          <w:color w:val="auto"/>
        </w:rPr>
        <w:t>2007 to 2009 (the “Award Term”), subject to the terms and conditions of this Agreement and of the Plan and to your consent to those terms and conditions.</w:t>
      </w:r>
    </w:p>
    <w:p>
      <w:pPr>
        <w:spacing w:after="0" w:line="120" w:lineRule="exact"/>
        <w:rPr>
          <w:rFonts w:ascii="Arial" w:cs="Arial" w:eastAsia="Arial" w:hAnsi="Arial"/>
          <w:sz w:val="16"/>
          <w:szCs w:val="16"/>
          <w:color w:val="auto"/>
        </w:rPr>
      </w:pPr>
    </w:p>
    <w:p>
      <w:pPr>
        <w:ind w:left="660" w:right="260" w:hanging="4"/>
        <w:spacing w:after="0" w:line="342" w:lineRule="auto"/>
        <w:tabs>
          <w:tab w:leader="none" w:pos="1370"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Share Definition. </w:t>
      </w:r>
      <w:r>
        <w:rPr>
          <w:rFonts w:ascii="Arial" w:cs="Arial" w:eastAsia="Arial" w:hAnsi="Arial"/>
          <w:sz w:val="16"/>
          <w:szCs w:val="16"/>
          <w:color w:val="auto"/>
        </w:rPr>
        <w:t>A Performance Share is a right to receive one share of Toro Common Stock, par value $1.00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Preferred Share Purchase Rights attached thereto, (the “Common Stock”), contingent on the achievement of Performance Goals.</w:t>
      </w:r>
    </w:p>
    <w:p>
      <w:pPr>
        <w:spacing w:after="0" w:line="123" w:lineRule="exact"/>
        <w:rPr>
          <w:rFonts w:ascii="Arial" w:cs="Arial" w:eastAsia="Arial" w:hAnsi="Arial"/>
          <w:sz w:val="16"/>
          <w:szCs w:val="16"/>
          <w:color w:val="auto"/>
        </w:rPr>
      </w:pPr>
    </w:p>
    <w:p>
      <w:pPr>
        <w:ind w:left="660" w:right="60" w:hanging="4"/>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Goal Achievement Required</w:t>
      </w:r>
      <w:r>
        <w:rPr>
          <w:rFonts w:ascii="Arial" w:cs="Arial" w:eastAsia="Arial" w:hAnsi="Arial"/>
          <w:sz w:val="18"/>
          <w:szCs w:val="18"/>
          <w:color w:val="auto"/>
        </w:rPr>
        <w:t>. You will receive shares of Common Stock for Performance Shares under this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Award only if Toro achieves Performance Goals for the Award Term established by the Committee and the Committee certifies in writing that the Performance Goals have been achieved. If the Performance Goals are not achieved, a portion or all of your Performance Shares will be canceled and you will receive no Common Stock for canceled shares.</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The Performance Goals to be achieved with respect to the Award Term are cumulative net income plus after-tax</w:t>
      </w:r>
    </w:p>
    <w:p>
      <w:pPr>
        <w:spacing w:after="0" w:line="46" w:lineRule="exact"/>
        <w:rPr>
          <w:sz w:val="20"/>
          <w:szCs w:val="20"/>
          <w:color w:val="auto"/>
        </w:rPr>
      </w:pPr>
    </w:p>
    <w:p>
      <w:pPr>
        <w:ind w:left="660"/>
        <w:spacing w:after="0"/>
        <w:tabs>
          <w:tab w:leader="none" w:pos="2360" w:val="left"/>
          <w:tab w:leader="none" w:pos="6420" w:val="left"/>
        </w:tabs>
        <w:rPr>
          <w:sz w:val="20"/>
          <w:szCs w:val="20"/>
          <w:color w:val="auto"/>
        </w:rPr>
      </w:pPr>
      <w:r>
        <w:rPr>
          <w:rFonts w:ascii="Arial" w:cs="Arial" w:eastAsia="Arial" w:hAnsi="Arial"/>
          <w:sz w:val="18"/>
          <w:szCs w:val="18"/>
          <w:color w:val="auto"/>
        </w:rPr>
        <w:t>interest of $</w:t>
      </w:r>
      <w:r>
        <w:rPr>
          <w:sz w:val="20"/>
          <w:szCs w:val="20"/>
          <w:color w:val="auto"/>
        </w:rPr>
        <w:tab/>
      </w:r>
      <w:r>
        <w:rPr>
          <w:rFonts w:ascii="Arial" w:cs="Arial" w:eastAsia="Arial" w:hAnsi="Arial"/>
          <w:sz w:val="18"/>
          <w:szCs w:val="18"/>
          <w:color w:val="auto"/>
        </w:rPr>
        <w:t>and cumulative average net assets turns of</w:t>
      </w:r>
      <w:r>
        <w:rPr>
          <w:sz w:val="20"/>
          <w:szCs w:val="20"/>
          <w:color w:val="auto"/>
        </w:rPr>
        <w:tab/>
      </w:r>
      <w:r>
        <w:rPr>
          <w:rFonts w:ascii="Arial" w:cs="Arial" w:eastAsia="Arial" w:hAnsi="Arial"/>
          <w:sz w:val="16"/>
          <w:szCs w:val="16"/>
          <w:color w:val="auto"/>
        </w:rPr>
        <w:t>(the “Target Levels”).</w:t>
      </w:r>
    </w:p>
    <w:p>
      <w:pPr>
        <w:spacing w:after="0" w:line="207" w:lineRule="exact"/>
        <w:rPr>
          <w:sz w:val="20"/>
          <w:szCs w:val="20"/>
          <w:color w:val="auto"/>
        </w:rPr>
      </w:pPr>
    </w:p>
    <w:p>
      <w:pPr>
        <w:ind w:left="660" w:right="40" w:hanging="652"/>
        <w:spacing w:after="0" w:line="277" w:lineRule="auto"/>
        <w:tabs>
          <w:tab w:leader="none" w:pos="673"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Number of Shares Delivered</w:t>
      </w:r>
      <w:r>
        <w:rPr>
          <w:rFonts w:ascii="Arial" w:cs="Arial" w:eastAsia="Arial" w:hAnsi="Arial"/>
          <w:sz w:val="17"/>
          <w:szCs w:val="17"/>
          <w:color w:val="auto"/>
        </w:rPr>
        <w:t>. If the Performance Goals are achieved at the Target Levels, you will receive «target» shares of Common Stock (your</w:t>
      </w:r>
      <w:r>
        <w:rPr>
          <w:rFonts w:ascii="Arial" w:cs="Arial" w:eastAsia="Arial" w:hAnsi="Arial"/>
          <w:sz w:val="17"/>
          <w:szCs w:val="17"/>
          <w:b w:val="1"/>
          <w:bCs w:val="1"/>
          <w:color w:val="auto"/>
        </w:rPr>
        <w:t xml:space="preserve"> </w:t>
      </w:r>
      <w:r>
        <w:rPr>
          <w:rFonts w:ascii="Arial" w:cs="Arial" w:eastAsia="Arial" w:hAnsi="Arial"/>
          <w:sz w:val="17"/>
          <w:szCs w:val="17"/>
          <w:color w:val="auto"/>
        </w:rPr>
        <w:t>“Target Payout”). If the Performance Goals are achieved at levels above or below the Target Levels, the number of shares of Common Stock you will receive will be increased or reduced, including to zero, in accordance with the matrix set forth in Exhibit A, which is attached to and forms a part of this Agreement, subject further to adjustment and proration as provided in the Plan and the Committee’s resolutions of November 30, 2006. You may not receive a greater number of shares of Common Stock than your Maximum Potential Payout.</w:t>
      </w:r>
    </w:p>
    <w:p>
      <w:pPr>
        <w:spacing w:after="0" w:line="168" w:lineRule="exact"/>
        <w:rPr>
          <w:rFonts w:ascii="Arial" w:cs="Arial" w:eastAsia="Arial" w:hAnsi="Arial"/>
          <w:sz w:val="17"/>
          <w:szCs w:val="17"/>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Payment of Awards</w:t>
      </w:r>
      <w:r>
        <w:rPr>
          <w:rFonts w:ascii="Arial" w:cs="Arial" w:eastAsia="Arial" w:hAnsi="Arial"/>
          <w:sz w:val="18"/>
          <w:szCs w:val="18"/>
          <w:color w:val="auto"/>
        </w:rPr>
        <w:t>. Performance Shares payable to you will be paid solely in shares of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Vesting and Cancellation Under Special Circumstances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Retirement, Death or Disability</w:t>
      </w:r>
      <w:r>
        <w:rPr>
          <w:rFonts w:ascii="Arial" w:cs="Arial" w:eastAsia="Arial" w:hAnsi="Arial"/>
          <w:sz w:val="16"/>
          <w:szCs w:val="16"/>
          <w:color w:val="auto"/>
        </w:rPr>
        <w:t>. If a Plan Participant retires, dies or becomes permanently disabled and unable to work prior to the end of an Award Term, but after the conclusion of not less than 33% of the Award Term, the Committee may, in its sole discretion, cause shares of Common Stock to be delivered with respect to the participant’s Performance Share Award, but only if otherwise earned and only with respect to the portion of the applicable Award Term completed at the date of such event, with proration based on full fiscal years only and no shares to be delivered for partial fiscal years. “Retirement” means termination of employment with the Company at age 55 or older and with a number of years of service to the Company that, when added together with the participant’s age, equals at least 65. The Committee shall consider the requirements of paragraph 3.e.</w:t>
      </w:r>
    </w:p>
    <w:p>
      <w:pPr>
        <w:spacing w:after="0" w:line="4" w:lineRule="exact"/>
        <w:rPr>
          <w:rFonts w:ascii="Arial" w:cs="Arial" w:eastAsia="Arial" w:hAnsi="Arial"/>
          <w:sz w:val="18"/>
          <w:szCs w:val="18"/>
          <w:color w:val="auto"/>
        </w:rPr>
      </w:pPr>
    </w:p>
    <w:p>
      <w:pPr>
        <w:jc w:val="both"/>
        <w:ind w:left="660" w:right="420"/>
        <w:spacing w:after="0" w:line="255" w:lineRule="auto"/>
        <w:rPr>
          <w:rFonts w:ascii="Arial" w:cs="Arial" w:eastAsia="Arial" w:hAnsi="Arial"/>
          <w:sz w:val="18"/>
          <w:szCs w:val="18"/>
          <w:color w:val="auto"/>
        </w:rPr>
      </w:pPr>
      <w:r>
        <w:rPr>
          <w:rFonts w:ascii="Arial" w:cs="Arial" w:eastAsia="Arial" w:hAnsi="Arial"/>
          <w:sz w:val="18"/>
          <w:szCs w:val="18"/>
          <w:color w:val="auto"/>
        </w:rPr>
        <w:t>(i).(A) of the Plan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190" w:lineRule="exact"/>
        <w:rPr>
          <w:rFonts w:ascii="Arial" w:cs="Arial" w:eastAsia="Arial" w:hAnsi="Arial"/>
          <w:sz w:val="18"/>
          <w:szCs w:val="18"/>
          <w:color w:val="auto"/>
        </w:rPr>
      </w:pPr>
    </w:p>
    <w:p>
      <w:pPr>
        <w:ind w:left="1620" w:right="60" w:hanging="315"/>
        <w:spacing w:after="0" w:line="270" w:lineRule="auto"/>
        <w:tabs>
          <w:tab w:leader="none" w:pos="1641" w:val="left"/>
        </w:tabs>
        <w:numPr>
          <w:ilvl w:val="2"/>
          <w:numId w:val="17"/>
        </w:numPr>
        <w:rPr>
          <w:rFonts w:ascii="Arial" w:cs="Arial" w:eastAsia="Arial" w:hAnsi="Arial"/>
          <w:sz w:val="17"/>
          <w:szCs w:val="17"/>
          <w:color w:val="auto"/>
        </w:rPr>
      </w:pPr>
      <w:r>
        <w:rPr>
          <w:rFonts w:ascii="Arial" w:cs="Arial" w:eastAsia="Arial" w:hAnsi="Arial"/>
          <w:sz w:val="17"/>
          <w:szCs w:val="17"/>
          <w:i w:val="1"/>
          <w:iCs w:val="1"/>
          <w:color w:val="auto"/>
        </w:rPr>
        <w:t>Non-compete</w:t>
      </w:r>
      <w:r>
        <w:rPr>
          <w:rFonts w:ascii="Arial" w:cs="Arial" w:eastAsia="Arial" w:hAnsi="Arial"/>
          <w:sz w:val="17"/>
          <w:szCs w:val="17"/>
          <w:color w:val="auto"/>
        </w:rPr>
        <w:t>. Notwithstanding the foregoing, if a Plan Participant retires prior to age 65, and within one year after the later of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that retirement or the date shares are delivered pursuant to paragraph 3.e.(i) of the Plan,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paragraph 3.e.(i) of the Plan or withhold or have the right to the return of the economic value of the Performance Shares that vested under that paragraph; provided, however, that this provision shall not be applicable in the event of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-3144520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2" w:lineRule="exact"/>
        <w:rPr>
          <w:sz w:val="20"/>
          <w:szCs w:val="20"/>
          <w:color w:val="auto"/>
        </w:rPr>
      </w:pPr>
    </w:p>
    <w:p>
      <w:pPr>
        <w:ind w:left="740" w:right="160" w:hanging="3"/>
        <w:spacing w:after="0" w:line="276" w:lineRule="auto"/>
        <w:tabs>
          <w:tab w:leader="none" w:pos="1370"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Reassignment</w:t>
      </w:r>
      <w:r>
        <w:rPr>
          <w:rFonts w:ascii="Arial" w:cs="Arial" w:eastAsia="Arial" w:hAnsi="Arial"/>
          <w:sz w:val="17"/>
          <w:szCs w:val="17"/>
          <w:color w:val="auto"/>
        </w:rPr>
        <w:t>. If prior to the end of an Award Term, a Plan Participant is reassigned to a position with the Company (including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or parent of the Company), and that position is not eligible to participate in the Plan, but the Plan Participant does not terminate employment with the Company, the Committee may, in its sole discretion, cause shares of Common Stock to be delivered with respect to the participant’s Performance Share Award, but only if otherwise earned and only with respect to the portion of the applicable Award Term completed at the date of such reassignment, based on full fiscal years only, with no shares to be delivered for partial fiscal years.</w:t>
      </w:r>
    </w:p>
    <w:p>
      <w:pPr>
        <w:spacing w:after="0" w:line="172" w:lineRule="exact"/>
        <w:rPr>
          <w:rFonts w:ascii="Arial" w:cs="Arial" w:eastAsia="Arial" w:hAnsi="Arial"/>
          <w:sz w:val="17"/>
          <w:szCs w:val="17"/>
          <w:color w:val="auto"/>
        </w:rPr>
      </w:pPr>
    </w:p>
    <w:p>
      <w:pPr>
        <w:ind w:left="660" w:right="20" w:hanging="4"/>
        <w:spacing w:after="0" w:line="264" w:lineRule="auto"/>
        <w:tabs>
          <w:tab w:leader="none" w:pos="137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Termination</w:t>
      </w:r>
      <w:r>
        <w:rPr>
          <w:rFonts w:ascii="Arial" w:cs="Arial" w:eastAsia="Arial" w:hAnsi="Arial"/>
          <w:sz w:val="18"/>
          <w:szCs w:val="18"/>
          <w:color w:val="auto"/>
        </w:rPr>
        <w:t>. In the event that a Plan Participant terminates employment with the Company other than by reason of retirement, death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disability as provided in paragraph 3.e.(i) of the Plan, Performance Shares in such participant’s name that have not yet vested shall not vest and shall be canceled.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60" w:hanging="4"/>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Notwithstanding any other provision of this Agreement, all Performance Shares that have not yet vested shall vest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immediately payable if there is a Change of Control of Toro, as defined in the Plan.</w:t>
      </w:r>
    </w:p>
    <w:p>
      <w:pPr>
        <w:spacing w:after="0" w:line="170" w:lineRule="exact"/>
        <w:rPr>
          <w:rFonts w:ascii="Arial" w:cs="Arial" w:eastAsia="Arial" w:hAnsi="Arial"/>
          <w:sz w:val="18"/>
          <w:szCs w:val="18"/>
          <w:color w:val="auto"/>
        </w:rPr>
      </w:pPr>
    </w:p>
    <w:p>
      <w:pPr>
        <w:ind w:left="660" w:right="340" w:hanging="4"/>
        <w:spacing w:after="0" w:line="264" w:lineRule="auto"/>
        <w:tabs>
          <w:tab w:leader="none" w:pos="137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Scale Back. </w:t>
      </w:r>
      <w:r>
        <w:rPr>
          <w:rFonts w:ascii="Arial" w:cs="Arial" w:eastAsia="Arial" w:hAnsi="Arial"/>
          <w:sz w:val="18"/>
          <w:szCs w:val="18"/>
          <w:color w:val="auto"/>
        </w:rPr>
        <w:t>The Committee may, in its discretion, cancel a portion of the Performance Shares covered by this Agreement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conclusion of the Award Term, if the Committee determines that the Performance Goals for the Award Term cannot be achieved at the maximum levels established, in accordance with paragraph 3.e.(v)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-1086485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4" w:name="page25"/>
    <w:bookmarkEnd w:id="24"/>
    <w:p>
      <w:pPr>
        <w:ind w:left="660" w:hanging="652"/>
        <w:spacing w:after="0" w:line="266" w:lineRule="auto"/>
        <w:tabs>
          <w:tab w:leader="none" w:pos="673"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Dividends and Voting</w:t>
      </w:r>
      <w:r>
        <w:rPr>
          <w:rFonts w:ascii="Arial" w:cs="Arial" w:eastAsia="Arial" w:hAnsi="Arial"/>
          <w:sz w:val="18"/>
          <w:szCs w:val="18"/>
          <w:color w:val="auto"/>
        </w:rPr>
        <w:t>. You will have no rights as a stockholder with respect to Performance Shares unless and until Common Stock is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the Performance Share Award. Except as expressly provided in the Plan, no adjustments will be made for dividends or other rights for which the record date is prior to issuance of the Common Stock.</w:t>
      </w:r>
    </w:p>
    <w:p>
      <w:pPr>
        <w:spacing w:after="0" w:line="176" w:lineRule="exact"/>
        <w:rPr>
          <w:rFonts w:ascii="Arial" w:cs="Arial" w:eastAsia="Arial" w:hAnsi="Arial"/>
          <w:sz w:val="18"/>
          <w:szCs w:val="18"/>
          <w:color w:val="auto"/>
        </w:rPr>
      </w:pPr>
    </w:p>
    <w:p>
      <w:pPr>
        <w:ind w:left="660" w:right="40" w:hanging="652"/>
        <w:spacing w:after="0" w:line="281" w:lineRule="auto"/>
        <w:tabs>
          <w:tab w:leader="none" w:pos="673"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Non-transferability</w:t>
      </w:r>
      <w:r>
        <w:rPr>
          <w:rFonts w:ascii="Arial" w:cs="Arial" w:eastAsia="Arial" w:hAnsi="Arial"/>
          <w:sz w:val="17"/>
          <w:szCs w:val="17"/>
          <w:color w:val="auto"/>
        </w:rPr>
        <w:t>. Neither your Performance Shares nor this Performance Share Award nor any interest in the shares or award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w:t>
      </w:r>
    </w:p>
    <w:p>
      <w:pPr>
        <w:spacing w:after="0" w:line="164" w:lineRule="exact"/>
        <w:rPr>
          <w:rFonts w:ascii="Arial" w:cs="Arial" w:eastAsia="Arial" w:hAnsi="Arial"/>
          <w:sz w:val="17"/>
          <w:szCs w:val="17"/>
          <w:color w:val="auto"/>
        </w:rPr>
      </w:pPr>
    </w:p>
    <w:p>
      <w:pPr>
        <w:ind w:left="660" w:hanging="652"/>
        <w:spacing w:after="0" w:line="261" w:lineRule="auto"/>
        <w:tabs>
          <w:tab w:leader="none" w:pos="673"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Successors and Heirs</w:t>
      </w:r>
      <w:r>
        <w:rPr>
          <w:rFonts w:ascii="Arial" w:cs="Arial" w:eastAsia="Arial" w:hAnsi="Arial"/>
          <w:sz w:val="18"/>
          <w:szCs w:val="18"/>
          <w:color w:val="auto"/>
        </w:rPr>
        <w:t>. This Agreement shall be binding upon and inure to the benefit of Toro and its successors and assigns, and upon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acquiring, whether by merger, consolidation, purchase of assets or otherwise, all or substantially all of Toro’s assets and business. In the event of your death, any shares of Common Stock to which you may become entitled will be delivered to your heirs or personal representative in accordance with the terms of the Plan.</w:t>
      </w:r>
    </w:p>
    <w:p>
      <w:pPr>
        <w:spacing w:after="0" w:line="180" w:lineRule="exact"/>
        <w:rPr>
          <w:rFonts w:ascii="Arial" w:cs="Arial" w:eastAsia="Arial" w:hAnsi="Arial"/>
          <w:sz w:val="18"/>
          <w:szCs w:val="18"/>
          <w:color w:val="auto"/>
        </w:rPr>
      </w:pPr>
    </w:p>
    <w:p>
      <w:pPr>
        <w:ind w:left="660" w:right="80" w:hanging="652"/>
        <w:spacing w:after="0" w:line="266" w:lineRule="auto"/>
        <w:tabs>
          <w:tab w:leader="none" w:pos="673"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construed, administered and governed in all respects under and by the applicable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excluding any conflicts or choice of law rule or principle that might otherwise refer construction or interpretation of this Agreement, the Plan, the award or the Performance Shares to the substantive law of another jurisdiction.</w:t>
      </w:r>
    </w:p>
    <w:p>
      <w:pPr>
        <w:spacing w:after="0" w:line="176" w:lineRule="exact"/>
        <w:rPr>
          <w:rFonts w:ascii="Arial" w:cs="Arial" w:eastAsia="Arial" w:hAnsi="Arial"/>
          <w:sz w:val="18"/>
          <w:szCs w:val="18"/>
          <w:color w:val="auto"/>
        </w:rPr>
      </w:pPr>
    </w:p>
    <w:p>
      <w:pPr>
        <w:ind w:left="660" w:right="180" w:hanging="652"/>
        <w:spacing w:after="0" w:line="298" w:lineRule="auto"/>
        <w:tabs>
          <w:tab w:leader="none" w:pos="673"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Toro has the right to deduct from any award payment made under this Agreement or to require you to pay the amount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or local taxes of any kind required by law to be withheld with respect to the grant, vesting, payment or settlement of an award under this Agreement, or to take such other action as may be necessary in the opinion of Toro to satisfy all obligations for the payment of such taxes. If Common Stock is withheld or surrendered to satisfy tax withholding, such stock will be valued at fair market value as of the date such Common Stock is withheld or surrendered. Toro may also deduct from any award payment any other amounts due by you to Toro.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660" w:right="120" w:hanging="652"/>
        <w:spacing w:after="0" w:line="282" w:lineRule="auto"/>
        <w:tabs>
          <w:tab w:leader="none" w:pos="682"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Notwithstanding anything in this Agreement to the contrary, the terms of this Agreement shall be subject to the terms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Plan, all decisions of the Committee shall be final and binding upon you and Toro.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Performance Share Award Agreement has been executed and delivered by Toro on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w:t>
      </w:r>
    </w:p>
    <w:p>
      <w:pPr>
        <w:spacing w:after="0" w:line="162"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  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-130810</wp:posOffset>
            </wp:positionV>
            <wp:extent cx="2984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agree to the terms and conditions of this Performance Share Award Agreement as a condition to the grant made to me.</w:t>
      </w:r>
    </w:p>
    <w:p>
      <w:pPr>
        <w:spacing w:after="0" w:line="25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&lt;Name&gt;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-130175</wp:posOffset>
            </wp:positionV>
            <wp:extent cx="3215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BENEFIT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MANAGEMENT RETIREMENT PLAN)</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This revised and renamed Amendment No. 2 is made to The Toro Company Supplemental Management Retirement Plan (herein renamed The Toro Company Supplemental Benefit Plan), as previously amended and restated effective July 27, 1998 (the “Plan”). All defined terms shall have the meanings set forth in the Plan. This Amendment is effective October 16, 2006, unless otherwise stated herein. In no event will this Amendment apply to any amounts earned and vested as of December 31, 2004. All provisions of the Plan not amended by this Amendment shall remain in full force and effect.</w:t>
      </w:r>
    </w:p>
    <w:p>
      <w:pPr>
        <w:spacing w:after="0" w:line="15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Section 3.3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6"/>
          <w:szCs w:val="16"/>
          <w:b w:val="1"/>
          <w:bCs w:val="1"/>
          <w:color w:val="auto"/>
        </w:rPr>
        <w:t>Earnings on Amounts Credited</w:t>
      </w:r>
    </w:p>
    <w:p>
      <w:pPr>
        <w:spacing w:after="0" w:line="229" w:lineRule="exact"/>
        <w:rPr>
          <w:sz w:val="20"/>
          <w:szCs w:val="20"/>
          <w:color w:val="auto"/>
        </w:rPr>
      </w:pPr>
    </w:p>
    <w:p>
      <w:pPr>
        <w:ind w:left="660" w:right="80" w:firstLine="1293"/>
        <w:spacing w:after="0" w:line="312" w:lineRule="auto"/>
        <w:tabs>
          <w:tab w:leader="none" w:pos="265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credited to a Participant’s Article III account shall be credited with earnings at a rate and in a manner authorized by the Committee from time to time, provided that beginning January 1, 2007, and until changed by subsequent action of the Committee, the earnings rate for all Participants (except as otherwise provided in (b) below) shall be based on a Participant’s selection from the following funds: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Century Large Company Value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Funds Growth Fund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Artisan Mid Cap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Fidelity Diversified International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ICM Small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Mid Cap Value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Prime Money Market Fund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Alger Small Cap Growth Institutional 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Total Bond Index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Institutional Index</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a Change in Control, the method for determining the earnings rate may be changed at any time, at the discretion of the Company.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 Change in Control, the Trustee shall have authority to change the method for determining the earnings rate.</w:t>
      </w:r>
    </w:p>
    <w:p>
      <w:pPr>
        <w:spacing w:after="0" w:line="211" w:lineRule="exact"/>
        <w:rPr>
          <w:sz w:val="20"/>
          <w:szCs w:val="20"/>
          <w:color w:val="auto"/>
        </w:rPr>
      </w:pPr>
    </w:p>
    <w:p>
      <w:pPr>
        <w:ind w:left="2660" w:hanging="707"/>
        <w:spacing w:after="0"/>
        <w:tabs>
          <w:tab w:leader="none" w:pos="2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Notwithstanding the foregoing provisions, all current Participants shall be given a one-time election, until October 31,</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2006,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60" w:right="480" w:hanging="655"/>
        <w:spacing w:after="0" w:line="277" w:lineRule="auto"/>
        <w:tabs>
          <w:tab w:leader="none" w:pos="19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allocate all funds in all accounts, past and future, so that the earnings rate is based on the Wells Fargo Stable Return Fund measure; or</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allocate all funds in all accounts, past and future, so that the earnings rate is based on the rate of return from one or more of the funds provided for in (a) above.</w:t>
      </w:r>
    </w:p>
    <w:p>
      <w:pPr>
        <w:spacing w:after="0" w:line="17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such a Participant does not make an election, the earnings rate applicable to all of such Participant’s accounts, past and future, shall be based on the Wells Fargo Stable Return Fund measure.</w:t>
      </w:r>
    </w:p>
    <w:p>
      <w:pPr>
        <w:spacing w:after="0" w:line="166" w:lineRule="exact"/>
        <w:rPr>
          <w:sz w:val="20"/>
          <w:szCs w:val="20"/>
          <w:color w:val="auto"/>
        </w:rPr>
      </w:pPr>
    </w:p>
    <w:p>
      <w:pPr>
        <w:ind w:left="660" w:right="20" w:hanging="652"/>
        <w:spacing w:after="0" w:line="282"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third sentence of Section 6.2, the third sentence, second paragraph, of Section 6.4 and the third sentence of Section 6.5 shall be amended as follows: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Participant may change his or her election at any time up to one year before the date of the Participant’s retirement from the Company.</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6.9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Limitation on Election of Distribution Method</w:t>
      </w:r>
    </w:p>
    <w:p>
      <w:pPr>
        <w:spacing w:after="0" w:line="229"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color w:val="auto"/>
        </w:rPr>
        <w:t>Effective January 1, 2008, a Participant may change his or her election of distribution method only one time after making an initial election with respect to distribution of any accounts under this Plan.</w:t>
      </w:r>
    </w:p>
    <w:p>
      <w:pPr>
        <w:spacing w:after="0" w:line="16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as of January 1, 2005 a new Section 7.5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 predistribution inclusion in income of amounts deferred under the Plan and (b) the imposition of any additional tax or interest with respect thereto.</w:t>
      </w:r>
    </w:p>
    <w:p>
      <w:pPr>
        <w:sectPr>
          <w:pgSz w:w="11900" w:h="16838" w:orient="portrait"/>
          <w:cols w:equalWidth="0" w:num="1">
            <w:col w:w="11420"/>
          </w:cols>
          <w:pgMar w:left="240" w:top="121" w:right="239" w:bottom="40" w:gutter="0" w:footer="0" w:header="0"/>
        </w:sectPr>
      </w:pPr>
    </w:p>
    <w:bookmarkStart w:id="26" w:name="page27"/>
    <w:bookmarkEnd w:id="26"/>
    <w:p>
      <w:pPr>
        <w:ind w:left="660" w:hanging="652"/>
        <w:spacing w:after="0" w:line="282"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November 30, 2006, the name of the Plan is changed to “The Toro Company Supplemental Benefit Plan,” and all references to the Plan shall be modified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has caused this Amendment to be executed on the date indicated below.</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3/12/2007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 J. Lawrence McIntyre</w:t>
      </w:r>
    </w:p>
    <w:p>
      <w:pPr>
        <w:spacing w:after="0" w:line="46" w:lineRule="exact"/>
        <w:rPr>
          <w:sz w:val="20"/>
          <w:szCs w:val="20"/>
          <w:color w:val="auto"/>
        </w:rPr>
      </w:pPr>
    </w:p>
    <w:p>
      <w:pPr>
        <w:sectPr>
          <w:pgSz w:w="11900" w:h="16838" w:orient="portrait"/>
          <w:cols w:equalWidth="0" w:num="4">
            <w:col w:w="480" w:space="300"/>
            <w:col w:w="4280" w:space="720"/>
            <w:col w:w="260" w:space="200"/>
            <w:col w:w="5080"/>
          </w:cols>
          <w:pgMar w:left="240" w:top="121" w:right="339" w:bottom="1440" w:gutter="0" w:footer="0" w:header="0"/>
          <w:type w:val="continuous"/>
        </w:sectPr>
      </w:pPr>
    </w:p>
    <w:p>
      <w:pPr>
        <w:ind w:left="6240"/>
        <w:spacing w:after="0"/>
        <w:rPr>
          <w:sz w:val="20"/>
          <w:szCs w:val="20"/>
          <w:color w:val="auto"/>
        </w:rPr>
      </w:pPr>
      <w:r>
        <w:rPr>
          <w:rFonts w:ascii="Arial" w:cs="Arial" w:eastAsia="Arial" w:hAnsi="Arial"/>
          <w:sz w:val="16"/>
          <w:szCs w:val="16"/>
          <w:color w:val="auto"/>
        </w:rPr>
        <w:t>Its: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-116205</wp:posOffset>
            </wp:positionV>
            <wp:extent cx="67576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867410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SUPPLEMENTAL RETIREMENT PLAN</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revised and renamed Amendment No. 1 is made to The Toro Company Supplemental Retirement Plan, as previously amended and restated effective July 27, 1998 (the “Plan”). All defined terms shall have the meanings set forth in the Plan. This Amendment is effective as of January 1, 2005, unless otherwise indicated herein. In no event will this Amendment apply to any amounts earned and vested as of December 31, 2004. All provisions of the Plan not amended by this Amendment shall remain in full force and effect.</w:t>
      </w:r>
    </w:p>
    <w:p>
      <w:pPr>
        <w:spacing w:after="0" w:line="18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Section 3.1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Deferral Election</w:t>
      </w:r>
    </w:p>
    <w:p>
      <w:pPr>
        <w:spacing w:after="0" w:line="229" w:lineRule="exact"/>
        <w:rPr>
          <w:sz w:val="20"/>
          <w:szCs w:val="20"/>
          <w:color w:val="auto"/>
        </w:rPr>
      </w:pPr>
    </w:p>
    <w:p>
      <w:pPr>
        <w:ind w:left="660" w:right="20" w:firstLine="648"/>
        <w:spacing w:after="0" w:line="272" w:lineRule="auto"/>
        <w:rPr>
          <w:sz w:val="20"/>
          <w:szCs w:val="20"/>
          <w:color w:val="auto"/>
        </w:rPr>
      </w:pPr>
      <w:r>
        <w:rPr>
          <w:rFonts w:ascii="Arial" w:cs="Arial" w:eastAsia="Arial" w:hAnsi="Arial"/>
          <w:sz w:val="17"/>
          <w:szCs w:val="17"/>
          <w:color w:val="auto"/>
        </w:rPr>
        <w:t>A Participant may elect to defer Compensation for a calendar year by completing and submitting a deferral election on a form provided by the Company. Except as provided in the following sentence, such election must be submitted to the Director or the Assistant Corporate Secretary by December 31 to be effective for the following year. Notwithstanding the foregoing, an election to defer incentive compensation under a Company incentive compensation plan must be made on a fiscal year basis. A Participant may elect to defer incentive compensation by completing and submitting a deferral election by the last day of the Company’s fiscal year immediately preceding the fiscal year in which the services to which the incentive compensation relate are performed. An election shall take effect as of January 1 of the year following the year in which it is received, or as of the first day of the Company’s fiscal year following the fiscal year in which it is received.</w:t>
      </w:r>
    </w:p>
    <w:p>
      <w:pPr>
        <w:spacing w:after="0" w:line="178" w:lineRule="exact"/>
        <w:rPr>
          <w:sz w:val="20"/>
          <w:szCs w:val="20"/>
          <w:color w:val="auto"/>
        </w:rPr>
      </w:pPr>
    </w:p>
    <w:p>
      <w:pPr>
        <w:ind w:left="660" w:right="140" w:firstLine="648"/>
        <w:spacing w:after="0" w:line="342" w:lineRule="auto"/>
        <w:rPr>
          <w:sz w:val="20"/>
          <w:szCs w:val="20"/>
          <w:color w:val="auto"/>
        </w:rPr>
      </w:pPr>
      <w:r>
        <w:rPr>
          <w:rFonts w:ascii="Arial" w:cs="Arial" w:eastAsia="Arial" w:hAnsi="Arial"/>
          <w:sz w:val="16"/>
          <w:szCs w:val="16"/>
          <w:color w:val="auto"/>
        </w:rPr>
        <w:t>A Participant shall not be eligible to defer Compensation for any calendar year or incentive compensation for any fiscal year following the year in which he or she no longer satisfies the eligibility requirements of this Plan, unless the Committee in its discretion permits such a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-211455</wp:posOffset>
            </wp:positionV>
            <wp:extent cx="285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Section 4.1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Earnings Rate</w:t>
      </w:r>
    </w:p>
    <w:p>
      <w:pPr>
        <w:spacing w:after="0" w:line="229" w:lineRule="exact"/>
        <w:rPr>
          <w:rFonts w:ascii="Arial" w:cs="Arial" w:eastAsia="Arial" w:hAnsi="Arial"/>
          <w:sz w:val="18"/>
          <w:szCs w:val="18"/>
          <w:b w:val="1"/>
          <w:bCs w:val="1"/>
          <w:color w:val="auto"/>
        </w:rPr>
      </w:pPr>
    </w:p>
    <w:p>
      <w:pPr>
        <w:ind w:left="660" w:right="60" w:firstLine="1293"/>
        <w:spacing w:after="0" w:line="254" w:lineRule="auto"/>
        <w:tabs>
          <w:tab w:leader="none" w:pos="26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Amounts held in an account maintained for a Participant shall be credited with earnings (which may include losses in principal value) at a rate and in a manner authorized by the Committee from time to time; provided that beginning January 1, 2007, and until changed by subsequent action of the Committee, the earnings rate for all Participants (except as otherwise provided in (b) below) shall be based on a Participant’s selection from the following funds:</w:t>
      </w:r>
    </w:p>
    <w:p>
      <w:pPr>
        <w:spacing w:after="0" w:line="2" w:lineRule="exact"/>
        <w:rPr>
          <w:rFonts w:ascii="Arial" w:cs="Arial" w:eastAsia="Arial" w:hAnsi="Arial"/>
          <w:sz w:val="18"/>
          <w:szCs w:val="18"/>
          <w:color w:val="auto"/>
        </w:rPr>
      </w:pPr>
    </w:p>
    <w:p>
      <w:pPr>
        <w:ind w:left="1300" w:right="7060"/>
        <w:spacing w:after="0" w:line="250" w:lineRule="auto"/>
        <w:rPr>
          <w:rFonts w:ascii="Arial" w:cs="Arial" w:eastAsia="Arial" w:hAnsi="Arial"/>
          <w:sz w:val="18"/>
          <w:szCs w:val="18"/>
          <w:color w:val="auto"/>
        </w:rPr>
      </w:pPr>
      <w:r>
        <w:rPr>
          <w:rFonts w:ascii="Arial" w:cs="Arial" w:eastAsia="Arial" w:hAnsi="Arial"/>
          <w:sz w:val="18"/>
          <w:szCs w:val="18"/>
          <w:color w:val="auto"/>
        </w:rPr>
        <w:t>American Century Large Company Value American Funds Growth Fund of America Artisan Mid Cap</w:t>
      </w:r>
    </w:p>
    <w:p>
      <w:pPr>
        <w:spacing w:after="0" w:line="1" w:lineRule="exact"/>
        <w:rPr>
          <w:rFonts w:ascii="Arial" w:cs="Arial" w:eastAsia="Arial" w:hAnsi="Arial"/>
          <w:sz w:val="18"/>
          <w:szCs w:val="18"/>
          <w:color w:val="auto"/>
        </w:rPr>
      </w:pPr>
    </w:p>
    <w:p>
      <w:pPr>
        <w:ind w:left="1300" w:right="7300"/>
        <w:spacing w:after="0" w:line="252" w:lineRule="auto"/>
        <w:rPr>
          <w:rFonts w:ascii="Arial" w:cs="Arial" w:eastAsia="Arial" w:hAnsi="Arial"/>
          <w:sz w:val="18"/>
          <w:szCs w:val="18"/>
          <w:color w:val="auto"/>
        </w:rPr>
      </w:pPr>
      <w:r>
        <w:rPr>
          <w:rFonts w:ascii="Arial" w:cs="Arial" w:eastAsia="Arial" w:hAnsi="Arial"/>
          <w:sz w:val="18"/>
          <w:szCs w:val="18"/>
          <w:color w:val="auto"/>
        </w:rPr>
        <w:t>Fidelity Diversified International ICM Small Company JPMorgan Mid Cap Value JPMorgan Prime Money Market Fund Alger Small Cap Growth Institutional I Vanguard Total Bond Index Vanguard Institutional Index</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a Change in Control, the method for determining the earnings rate may be changed at any time, at the discretion of the Committee.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 Change in Control, the Trustee shall have authority to change the method for determining the earnings rate.</w:t>
      </w:r>
    </w:p>
    <w:p>
      <w:pPr>
        <w:spacing w:after="0" w:line="211" w:lineRule="exact"/>
        <w:rPr>
          <w:sz w:val="20"/>
          <w:szCs w:val="20"/>
          <w:color w:val="auto"/>
        </w:rPr>
      </w:pPr>
    </w:p>
    <w:p>
      <w:pPr>
        <w:ind w:left="660" w:right="520" w:firstLine="1293"/>
        <w:spacing w:after="0" w:line="277" w:lineRule="auto"/>
        <w:tabs>
          <w:tab w:leader="none" w:pos="26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Notwithstanding the foregoing provisions in paragraph (a) above, all current Participants shall be given a one-time election, until October 31, 2006, either:</w:t>
      </w:r>
    </w:p>
    <w:p>
      <w:pPr>
        <w:spacing w:after="0" w:line="170" w:lineRule="exact"/>
        <w:rPr>
          <w:rFonts w:ascii="Arial" w:cs="Arial" w:eastAsia="Arial" w:hAnsi="Arial"/>
          <w:sz w:val="18"/>
          <w:szCs w:val="18"/>
          <w:color w:val="auto"/>
        </w:rPr>
      </w:pPr>
    </w:p>
    <w:p>
      <w:pPr>
        <w:ind w:left="1960" w:right="480" w:hanging="655"/>
        <w:spacing w:after="0" w:line="277" w:lineRule="auto"/>
        <w:tabs>
          <w:tab w:leader="none" w:pos="19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allocate all funds in all accounts, past and future, so that the earnings rate is based on the Wells Fargo Stable Return Fund measure; or</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allocate all funds in all accounts, past and future, so that the earnings rate is based on the rate of return from one or more of the funds provided for in (a) above.</w:t>
      </w:r>
    </w:p>
    <w:p>
      <w:pPr>
        <w:spacing w:after="0" w:line="17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such a Participant does not make an election, the earnings rate applicable to all of such Participant’s accounts, past and future, shall be based on the Wells Fargo Stable Return Fund measure.</w:t>
      </w:r>
    </w:p>
    <w:p>
      <w:pPr>
        <w:spacing w:after="0" w:line="16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the first paragraph of Section 5.2 shall be amended to read as follows:</w:t>
      </w:r>
    </w:p>
    <w:p>
      <w:pPr>
        <w:spacing w:after="0" w:line="229" w:lineRule="exact"/>
        <w:rPr>
          <w:sz w:val="20"/>
          <w:szCs w:val="20"/>
          <w:color w:val="auto"/>
        </w:rPr>
      </w:pPr>
    </w:p>
    <w:p>
      <w:pPr>
        <w:ind w:left="660" w:right="680" w:firstLine="648"/>
        <w:spacing w:after="0" w:line="308" w:lineRule="auto"/>
        <w:rPr>
          <w:sz w:val="20"/>
          <w:szCs w:val="20"/>
          <w:color w:val="auto"/>
        </w:rPr>
      </w:pPr>
      <w:r>
        <w:rPr>
          <w:rFonts w:ascii="Arial" w:cs="Arial" w:eastAsia="Arial" w:hAnsi="Arial"/>
          <w:sz w:val="17"/>
          <w:szCs w:val="17"/>
          <w:color w:val="auto"/>
        </w:rPr>
        <w:t>Except as provided in Sections 5.3, 5.4, 5.5, and 5.6 hereof, the amount of the Participant’s deferred compensation account shall be distributed on the Participant’s retirement, resignation or termination from employment with the Company, or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80"/>
        <w:spacing w:after="0" w:line="342" w:lineRule="auto"/>
        <w:rPr>
          <w:sz w:val="20"/>
          <w:szCs w:val="20"/>
          <w:color w:val="auto"/>
        </w:rPr>
      </w:pPr>
      <w:r>
        <w:rPr>
          <w:rFonts w:ascii="Arial" w:cs="Arial" w:eastAsia="Arial" w:hAnsi="Arial"/>
          <w:sz w:val="16"/>
          <w:szCs w:val="16"/>
          <w:color w:val="auto"/>
        </w:rPr>
        <w:t xml:space="preserve">disability or death of the Participant, whichever occurs first. Distributions shall be made in accordance with the Participant’s distribution election most recently filed with the Director or Assistant Corporate Secretary; provided, that any election filed </w:t>
      </w:r>
      <w:r>
        <w:rPr>
          <w:rFonts w:ascii="Arial" w:cs="Arial" w:eastAsia="Arial" w:hAnsi="Arial"/>
          <w:sz w:val="16"/>
          <w:szCs w:val="16"/>
          <w:u w:val="single" w:color="auto"/>
          <w:color w:val="auto"/>
        </w:rPr>
        <w:t>one year</w:t>
      </w:r>
      <w:r>
        <w:rPr>
          <w:rFonts w:ascii="Arial" w:cs="Arial" w:eastAsia="Arial" w:hAnsi="Arial"/>
          <w:sz w:val="16"/>
          <w:szCs w:val="16"/>
          <w:color w:val="auto"/>
        </w:rPr>
        <w:t xml:space="preserve"> or less before the date of the</w:t>
      </w:r>
    </w:p>
    <w:p>
      <w:pPr>
        <w:sectPr>
          <w:pgSz w:w="11900" w:h="16838" w:orient="portrait"/>
          <w:cols w:equalWidth="0" w:num="1">
            <w:col w:w="11420"/>
          </w:cols>
          <w:pgMar w:left="240" w:top="121" w:right="239" w:bottom="0" w:gutter="0" w:footer="0" w:header="0"/>
          <w:type w:val="continuous"/>
        </w:sectPr>
      </w:pPr>
    </w:p>
    <w:bookmarkStart w:id="28" w:name="page29"/>
    <w:bookmarkEnd w:id="28"/>
    <w:p>
      <w:pPr>
        <w:ind w:left="660"/>
        <w:spacing w:after="0"/>
        <w:rPr>
          <w:sz w:val="20"/>
          <w:szCs w:val="20"/>
          <w:color w:val="auto"/>
        </w:rPr>
      </w:pPr>
      <w:r>
        <w:rPr>
          <w:rFonts w:ascii="Arial" w:cs="Arial" w:eastAsia="Arial" w:hAnsi="Arial"/>
          <w:sz w:val="18"/>
          <w:szCs w:val="18"/>
          <w:color w:val="auto"/>
        </w:rPr>
        <w:t>Participant’s retirement, resignation or termination of employment shall be disregarded.</w:t>
      </w:r>
    </w:p>
    <w:p>
      <w:pPr>
        <w:spacing w:after="0" w:line="22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November 30, 2006, Section 5.3 shall be amended to read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Early Distributions</w:t>
      </w:r>
    </w:p>
    <w:p>
      <w:pPr>
        <w:spacing w:after="0" w:line="229" w:lineRule="exact"/>
        <w:rPr>
          <w:sz w:val="20"/>
          <w:szCs w:val="20"/>
          <w:color w:val="auto"/>
        </w:rPr>
      </w:pPr>
    </w:p>
    <w:p>
      <w:pPr>
        <w:ind w:left="660" w:right="80" w:firstLine="648"/>
        <w:spacing w:after="0" w:line="259" w:lineRule="auto"/>
        <w:rPr>
          <w:sz w:val="20"/>
          <w:szCs w:val="20"/>
          <w:color w:val="auto"/>
        </w:rPr>
      </w:pPr>
      <w:r>
        <w:rPr>
          <w:rFonts w:ascii="Arial" w:cs="Arial" w:eastAsia="Arial" w:hAnsi="Arial"/>
          <w:sz w:val="18"/>
          <w:szCs w:val="18"/>
          <w:color w:val="auto"/>
        </w:rPr>
        <w:t>A Participant may irrevocably elect to receive a distribution of all or a portion of the Participant’s account prior to retirement, resignation or termination of employment with the Company by submitting a proper form of distribution election to the Company; provided, however, that such election shall be made not later than two years prior to the Plan Year in which the early distribution is to be made. Distributions under this Section shall be paid in a lump sum.</w:t>
      </w:r>
    </w:p>
    <w:p>
      <w:pPr>
        <w:spacing w:after="0" w:line="18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a new Section 5.9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Limitation on Election of Distribution Method</w:t>
      </w:r>
    </w:p>
    <w:p>
      <w:pPr>
        <w:spacing w:after="0" w:line="229" w:lineRule="exact"/>
        <w:rPr>
          <w:sz w:val="20"/>
          <w:szCs w:val="20"/>
          <w:color w:val="auto"/>
        </w:rPr>
      </w:pPr>
    </w:p>
    <w:p>
      <w:pPr>
        <w:ind w:left="660" w:right="680" w:firstLine="648"/>
        <w:spacing w:after="0" w:line="277" w:lineRule="auto"/>
        <w:rPr>
          <w:sz w:val="20"/>
          <w:szCs w:val="20"/>
          <w:color w:val="auto"/>
        </w:rPr>
      </w:pPr>
      <w:r>
        <w:rPr>
          <w:rFonts w:ascii="Arial" w:cs="Arial" w:eastAsia="Arial" w:hAnsi="Arial"/>
          <w:sz w:val="18"/>
          <w:szCs w:val="18"/>
          <w:color w:val="auto"/>
        </w:rPr>
        <w:t>Effective January 1, 2008, a Participant may change his or her election only one time after making an initial election with respect to distributions under this Plan.</w:t>
      </w:r>
    </w:p>
    <w:p>
      <w:pPr>
        <w:spacing w:after="0" w:line="166"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6.5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 predistribution inclusion in income of amounts deferred under the Plan and (b) the imposition of any additional tax or interest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right="120" w:hanging="652"/>
        <w:spacing w:after="0" w:line="282"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the name of the Plan is changed to “The Toro Company Deferred Compensation Plan,” and all references to the Plan shall be modified accordingly.</w:t>
      </w:r>
    </w:p>
    <w:p>
      <w:pPr>
        <w:spacing w:after="0" w:line="165" w:lineRule="exact"/>
        <w:rPr>
          <w:rFonts w:ascii="Arial" w:cs="Arial" w:eastAsia="Arial" w:hAnsi="Arial"/>
          <w:sz w:val="18"/>
          <w:szCs w:val="18"/>
          <w:b w:val="1"/>
          <w:bCs w:val="1"/>
          <w:color w:val="auto"/>
        </w:rPr>
      </w:pPr>
    </w:p>
    <w:p>
      <w:pPr>
        <w:ind w:left="548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has caused this Amendment to be executed on the date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20"/>
                <w:szCs w:val="20"/>
                <w:color w:val="auto"/>
              </w:rPr>
            </w:pPr>
          </w:p>
        </w:tc>
      </w:tr>
      <w:tr>
        <w:trPr>
          <w:trHeight w:val="864"/>
        </w:trPr>
        <w:tc>
          <w:tcPr>
            <w:tcW w:w="4860" w:type="dxa"/>
            <w:vAlign w:val="bottom"/>
          </w:tcPr>
          <w:p>
            <w:pPr>
              <w:spacing w:after="0"/>
              <w:rPr>
                <w:sz w:val="20"/>
                <w:szCs w:val="20"/>
                <w:color w:val="auto"/>
              </w:rPr>
            </w:pPr>
            <w:r>
              <w:rPr>
                <w:rFonts w:ascii="Arial" w:cs="Arial" w:eastAsia="Arial" w:hAnsi="Arial"/>
                <w:sz w:val="18"/>
                <w:szCs w:val="18"/>
                <w:color w:val="auto"/>
              </w:rPr>
              <w:t>Dated  3/12/2007</w:t>
            </w: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By   /s/ J. Lawrence McIntyre</w:t>
            </w:r>
          </w:p>
        </w:tc>
        <w:tc>
          <w:tcPr>
            <w:tcW w:w="40" w:type="dxa"/>
            <w:vAlign w:val="bottom"/>
          </w:tcPr>
          <w:p>
            <w:pPr>
              <w:spacing w:after="0"/>
              <w:rPr>
                <w:sz w:val="24"/>
                <w:szCs w:val="24"/>
                <w:color w:val="auto"/>
              </w:rPr>
            </w:pPr>
          </w:p>
        </w:tc>
      </w:tr>
      <w:tr>
        <w:trPr>
          <w:trHeight w:val="224"/>
        </w:trPr>
        <w:tc>
          <w:tcPr>
            <w:tcW w:w="48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Vice President, Secretary and General Counsel</w:t>
            </w:r>
          </w:p>
        </w:tc>
        <w:tc>
          <w:tcPr>
            <w:tcW w:w="40" w:type="dxa"/>
            <w:vAlign w:val="bottom"/>
          </w:tcPr>
          <w:p>
            <w:pPr>
              <w:spacing w:after="0"/>
              <w:rPr>
                <w:sz w:val="19"/>
                <w:szCs w:val="19"/>
                <w:color w:val="auto"/>
              </w:rPr>
            </w:pPr>
          </w:p>
        </w:tc>
      </w:tr>
      <w:tr>
        <w:trPr>
          <w:trHeight w:val="1009"/>
        </w:trPr>
        <w:tc>
          <w:tcPr>
            <w:tcW w:w="48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5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10(i)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DEFERRED COMPENSATION PLAN FOR OFFICERS</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revised and renamed Amendment No. 1 is made to The Toro Company Deferred Compensation Plan for Officers, as previously amended and restated effective September 19, 2002 (the “Plan”). All defined terms shall have the meanings set forth in the Plan. This Amendment is effective January 1, 2005. In no event will this Amendment apply to any amounts earned and vested as of December 31, 2004. All provisions of the Plan not amended by this Amendment shall remain in full force and effect.</w:t>
      </w:r>
    </w:p>
    <w:p>
      <w:pPr>
        <w:spacing w:after="0" w:line="183"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Section 5.2(c) shall be amended to read as follows:</w:t>
      </w:r>
    </w:p>
    <w:p>
      <w:pPr>
        <w:spacing w:after="0" w:line="229" w:lineRule="exact"/>
        <w:rPr>
          <w:rFonts w:ascii="Arial" w:cs="Arial" w:eastAsia="Arial" w:hAnsi="Arial"/>
          <w:sz w:val="18"/>
          <w:szCs w:val="18"/>
          <w:b w:val="1"/>
          <w:bCs w:val="1"/>
          <w:color w:val="auto"/>
        </w:rPr>
      </w:pPr>
    </w:p>
    <w:p>
      <w:pPr>
        <w:ind w:left="1300" w:right="200" w:hanging="644"/>
        <w:spacing w:after="0" w:line="257" w:lineRule="auto"/>
        <w:tabs>
          <w:tab w:leader="none" w:pos="131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Change in Election of Method of Payment</w:t>
      </w:r>
      <w:r>
        <w:rPr>
          <w:rFonts w:ascii="Arial" w:cs="Arial" w:eastAsia="Arial" w:hAnsi="Arial"/>
          <w:sz w:val="18"/>
          <w:szCs w:val="18"/>
          <w:color w:val="auto"/>
        </w:rPr>
        <w:t>. An election of a method of payment will apply to all benefits payable to or on behalf of a Participant under the Plan, including amounts deferred in prior years and subject to a prior election. A Participant may change the method of payment by electing another method available under the Plan at any time up to one year before the date of the Participant’s retirement from the Company; provided, however, that effective January 1, 2008, a Participant may change his or her election only one time after making an initial election.</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November 30, 2006, Section 5.3(a) shall be amended to read as follows:</w:t>
      </w:r>
    </w:p>
    <w:p>
      <w:pPr>
        <w:spacing w:after="0" w:line="229" w:lineRule="exact"/>
        <w:rPr>
          <w:rFonts w:ascii="Arial" w:cs="Arial" w:eastAsia="Arial" w:hAnsi="Arial"/>
          <w:sz w:val="18"/>
          <w:szCs w:val="18"/>
          <w:b w:val="1"/>
          <w:bCs w:val="1"/>
          <w:color w:val="auto"/>
        </w:rPr>
      </w:pPr>
    </w:p>
    <w:p>
      <w:pPr>
        <w:ind w:left="1300" w:right="160" w:hanging="644"/>
        <w:spacing w:after="0" w:line="257" w:lineRule="auto"/>
        <w:tabs>
          <w:tab w:leader="none" w:pos="131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Early Distributions</w:t>
      </w:r>
      <w:r>
        <w:rPr>
          <w:rFonts w:ascii="Arial" w:cs="Arial" w:eastAsia="Arial" w:hAnsi="Arial"/>
          <w:sz w:val="18"/>
          <w:szCs w:val="18"/>
          <w:color w:val="auto"/>
        </w:rPr>
        <w:t>. Notwithstanding Section 5.1, a Participant may irrevocably elect to receive a distribution of a portion or all of the Participant’s Performance Share Units Account, Retained Units Account and the vested portion of the Matching Units Account prior to the Participant’s death, Disability or termination of employment, provided that only benefits credited to an Account for at least two years may be paid. The election shall be made on a proper Deferral Election form not later than two years prior to the year in which the early distribution is to begin.</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10.8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right="140" w:firstLine="648"/>
        <w:spacing w:after="0" w:line="257"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predistribution inclusion in income of amounts deferred under the Plan and (b) the imposition of any additional tax or interest with respect thereto.</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340" w:type="dxa"/>
            <w:vAlign w:val="bottom"/>
            <w:gridSpan w:val="2"/>
          </w:tcPr>
          <w:p>
            <w:pPr>
              <w:jc w:val="right"/>
              <w:ind w:right="5480"/>
              <w:spacing w:after="0"/>
              <w:rPr>
                <w:sz w:val="20"/>
                <w:szCs w:val="20"/>
                <w:color w:val="auto"/>
              </w:rPr>
            </w:pPr>
            <w:r>
              <w:rPr>
                <w:rFonts w:ascii="Arial" w:cs="Arial" w:eastAsia="Arial" w:hAnsi="Arial"/>
                <w:sz w:val="18"/>
                <w:szCs w:val="18"/>
                <w:color w:val="auto"/>
              </w:rPr>
              <w:t>* * *</w:t>
            </w:r>
          </w:p>
        </w:tc>
        <w:tc>
          <w:tcPr>
            <w:tcW w:w="40" w:type="dxa"/>
            <w:vAlign w:val="bottom"/>
          </w:tcPr>
          <w:p>
            <w:pPr>
              <w:spacing w:after="0"/>
              <w:rPr>
                <w:sz w:val="20"/>
                <w:szCs w:val="20"/>
                <w:color w:val="auto"/>
              </w:rPr>
            </w:pPr>
          </w:p>
        </w:tc>
      </w:tr>
      <w:tr>
        <w:trPr>
          <w:trHeight w:val="432"/>
        </w:trPr>
        <w:tc>
          <w:tcPr>
            <w:tcW w:w="11420" w:type="dxa"/>
            <w:vAlign w:val="bottom"/>
            <w:gridSpan w:val="4"/>
          </w:tcPr>
          <w:p>
            <w:pPr>
              <w:jc w:val="right"/>
              <w:ind w:right="4540"/>
              <w:spacing w:after="0"/>
              <w:rPr>
                <w:sz w:val="20"/>
                <w:szCs w:val="20"/>
                <w:color w:val="auto"/>
              </w:rPr>
            </w:pPr>
            <w:r>
              <w:rPr>
                <w:rFonts w:ascii="Arial" w:cs="Arial" w:eastAsia="Arial" w:hAnsi="Arial"/>
                <w:sz w:val="18"/>
                <w:szCs w:val="18"/>
                <w:color w:val="auto"/>
                <w:w w:val="98"/>
              </w:rPr>
              <w:t>The Company has caused this Amendment to be executed on the date indicated below.</w:t>
            </w: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340" w:type="dxa"/>
            <w:vAlign w:val="bottom"/>
            <w:gridSpan w:val="2"/>
          </w:tcPr>
          <w:p>
            <w:pPr>
              <w:ind w:left="2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24"/>
                <w:szCs w:val="24"/>
                <w:color w:val="auto"/>
              </w:rPr>
            </w:pPr>
          </w:p>
        </w:tc>
      </w:tr>
      <w:tr>
        <w:trPr>
          <w:trHeight w:val="864"/>
        </w:trPr>
        <w:tc>
          <w:tcPr>
            <w:tcW w:w="5080" w:type="dxa"/>
            <w:vAlign w:val="bottom"/>
            <w:gridSpan w:val="2"/>
          </w:tcPr>
          <w:p>
            <w:pPr>
              <w:spacing w:after="0"/>
              <w:rPr>
                <w:sz w:val="20"/>
                <w:szCs w:val="20"/>
                <w:color w:val="auto"/>
              </w:rPr>
            </w:pPr>
            <w:r>
              <w:rPr>
                <w:rFonts w:ascii="Arial" w:cs="Arial" w:eastAsia="Arial" w:hAnsi="Arial"/>
                <w:sz w:val="18"/>
                <w:szCs w:val="18"/>
                <w:color w:val="auto"/>
              </w:rPr>
              <w:t>Dated:   3/12/2007</w:t>
            </w:r>
          </w:p>
        </w:tc>
        <w:tc>
          <w:tcPr>
            <w:tcW w:w="6340" w:type="dxa"/>
            <w:vAlign w:val="bottom"/>
            <w:gridSpan w:val="2"/>
          </w:tcPr>
          <w:p>
            <w:pPr>
              <w:ind w:left="260"/>
              <w:spacing w:after="0"/>
              <w:rPr>
                <w:sz w:val="20"/>
                <w:szCs w:val="20"/>
                <w:color w:val="auto"/>
              </w:rPr>
            </w:pPr>
            <w:r>
              <w:rPr>
                <w:rFonts w:ascii="Arial" w:cs="Arial" w:eastAsia="Arial" w:hAnsi="Arial"/>
                <w:sz w:val="18"/>
                <w:szCs w:val="18"/>
                <w:color w:val="auto"/>
              </w:rPr>
              <w:t>By:  /s/ J. Lawrence McIntyre</w:t>
            </w:r>
          </w:p>
        </w:tc>
        <w:tc>
          <w:tcPr>
            <w:tcW w:w="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340" w:type="dxa"/>
            <w:vAlign w:val="bottom"/>
            <w:gridSpan w:val="2"/>
          </w:tcPr>
          <w:p>
            <w:pPr>
              <w:ind w:left="260"/>
              <w:spacing w:after="0"/>
              <w:rPr>
                <w:sz w:val="20"/>
                <w:szCs w:val="20"/>
                <w:color w:val="auto"/>
              </w:rPr>
            </w:pPr>
            <w:r>
              <w:rPr>
                <w:rFonts w:ascii="Arial" w:cs="Arial" w:eastAsia="Arial" w:hAnsi="Arial"/>
                <w:sz w:val="18"/>
                <w:szCs w:val="18"/>
                <w:color w:val="auto"/>
              </w:rPr>
              <w:t>Its: Vice President, Secretary and General Counsel</w:t>
            </w:r>
          </w:p>
        </w:tc>
        <w:tc>
          <w:tcPr>
            <w:tcW w:w="40" w:type="dxa"/>
            <w:vAlign w:val="bottom"/>
          </w:tcPr>
          <w:p>
            <w:pPr>
              <w:spacing w:after="0"/>
              <w:rPr>
                <w:sz w:val="19"/>
                <w:szCs w:val="19"/>
                <w:color w:val="auto"/>
              </w:rPr>
            </w:pPr>
          </w:p>
        </w:tc>
      </w:tr>
      <w:tr>
        <w:trPr>
          <w:trHeight w:val="779"/>
        </w:trPr>
        <w:tc>
          <w:tcPr>
            <w:tcW w:w="720" w:type="dxa"/>
            <w:vAlign w:val="bottom"/>
            <w:tcBorders>
              <w:bottom w:val="single" w:sz="8" w:color="010101"/>
            </w:tcBorders>
          </w:tcPr>
          <w:p>
            <w:pPr>
              <w:spacing w:after="0"/>
              <w:rPr>
                <w:sz w:val="24"/>
                <w:szCs w:val="24"/>
                <w:color w:val="auto"/>
              </w:rPr>
            </w:pPr>
          </w:p>
        </w:tc>
        <w:tc>
          <w:tcPr>
            <w:tcW w:w="43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NON-EMPLOYEE DIRECTORS</w:t>
      </w:r>
    </w:p>
    <w:p>
      <w:pPr>
        <w:spacing w:after="0" w:line="21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This revised and renamed Amendment No. 1 is made to The Toro Company Deferred Compensation Plan for Non-Employee Directors, as previously amended and restated effective July 20, 2000 (the “Plan”). All defined terms shall have the meanings set forth in the Plan. This Amendment is effective October 16, 2006, unless otherwise stated herein. In no event will this Amendment apply to any amounts earned and vested as of December 31, 2004. All provisions of the Plan not amended by this Amendment shall remain in full force and effect.</w:t>
      </w:r>
    </w:p>
    <w:p>
      <w:pPr>
        <w:spacing w:after="0" w:line="16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Section 3.1(a) shall be amended to read as follows:</w:t>
      </w:r>
    </w:p>
    <w:p>
      <w:pPr>
        <w:spacing w:after="0" w:line="229" w:lineRule="exact"/>
        <w:rPr>
          <w:rFonts w:ascii="Arial" w:cs="Arial" w:eastAsia="Arial" w:hAnsi="Arial"/>
          <w:sz w:val="18"/>
          <w:szCs w:val="18"/>
          <w:b w:val="1"/>
          <w:bCs w:val="1"/>
          <w:color w:val="auto"/>
        </w:rPr>
      </w:pPr>
    </w:p>
    <w:p>
      <w:pPr>
        <w:ind w:left="2000" w:hanging="695"/>
        <w:spacing w:after="0"/>
        <w:tabs>
          <w:tab w:leader="none" w:pos="200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Cash Account.</w:t>
      </w:r>
    </w:p>
    <w:p>
      <w:pPr>
        <w:spacing w:after="0" w:line="225" w:lineRule="exact"/>
        <w:rPr>
          <w:sz w:val="20"/>
          <w:szCs w:val="20"/>
          <w:color w:val="auto"/>
        </w:rPr>
      </w:pPr>
    </w:p>
    <w:p>
      <w:pPr>
        <w:ind w:left="660" w:right="200" w:firstLine="645"/>
        <w:spacing w:after="0" w:line="279" w:lineRule="auto"/>
        <w:tabs>
          <w:tab w:leader="none" w:pos="15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Participant’s Cash Account shall be credited with Directors Fees deferred pursuant to a valid Deferral Election and shall be further credited with earnings (which may include losses in principal value) at a rate and in a manner authorized by the Committee from time to time; provided that beginning January 1, 2007, and until changed by subsequent action of the Committee, the earnings rate for all Participants (except as otherwise provided in (ii) below) shall be based on a Participant’s selection from the following funds</w:t>
      </w:r>
      <w:r>
        <w:rPr>
          <w:rFonts w:ascii="Arial" w:cs="Arial" w:eastAsia="Arial" w:hAnsi="Arial"/>
          <w:sz w:val="17"/>
          <w:szCs w:val="17"/>
          <w:u w:val="single" w:color="auto"/>
          <w:color w:val="auto"/>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Century Large Company Value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Funds Growth Fund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Artisan Mid Cap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Fidelity Diversified International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ICM Small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Mid Cap Value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Prime Money Market Fund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Alger Small Cap Growth Institutional 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Total Bond Index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Institutional Index</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a Change in Control, the method for determining the earnings rate may be changed at any time, at the discretion of the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a Change in Control, the Trustee shall have authority to change the method for determining the earnings rate.</w:t>
      </w:r>
    </w:p>
    <w:p>
      <w:pPr>
        <w:spacing w:after="0" w:line="211" w:lineRule="exact"/>
        <w:rPr>
          <w:sz w:val="20"/>
          <w:szCs w:val="20"/>
          <w:color w:val="auto"/>
        </w:rPr>
      </w:pPr>
    </w:p>
    <w:p>
      <w:pPr>
        <w:ind w:left="1620" w:hanging="315"/>
        <w:spacing w:after="0"/>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Notwithstanding the foregoing provisions in paragraph (i) above, all current Participants shall be given a one-time election, until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October 31, 2006, to:</w:t>
      </w:r>
    </w:p>
    <w:p>
      <w:pPr>
        <w:spacing w:after="0" w:line="211" w:lineRule="exact"/>
        <w:rPr>
          <w:sz w:val="20"/>
          <w:szCs w:val="20"/>
          <w:color w:val="auto"/>
        </w:rPr>
      </w:pPr>
    </w:p>
    <w:p>
      <w:pPr>
        <w:ind w:left="1960" w:right="680" w:hanging="655"/>
        <w:spacing w:after="0" w:line="277" w:lineRule="auto"/>
        <w:tabs>
          <w:tab w:leader="none" w:pos="19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 the Wells Fargo Stable Return Fund measure;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960" w:right="260" w:hanging="655"/>
        <w:spacing w:after="0" w:line="277" w:lineRule="auto"/>
        <w:tabs>
          <w:tab w:leader="none" w:pos="19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 the rate of return from one or more of the funds provided for in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660" w:right="20" w:hanging="17"/>
        <w:spacing w:after="0" w:line="277" w:lineRule="auto"/>
        <w:rPr>
          <w:sz w:val="20"/>
          <w:szCs w:val="20"/>
          <w:color w:val="auto"/>
        </w:rPr>
      </w:pPr>
      <w:r>
        <w:rPr>
          <w:rFonts w:ascii="Arial" w:cs="Arial" w:eastAsia="Arial" w:hAnsi="Arial"/>
          <w:sz w:val="18"/>
          <w:szCs w:val="18"/>
          <w:color w:val="auto"/>
        </w:rPr>
        <w:t>If such a Participant does not make an election, the earnings rate applicable to all of such Participant’s accounts, past and future, shall be based on the Wells Fargo Stable Return Fund measure.</w:t>
      </w:r>
    </w:p>
    <w:p>
      <w:pPr>
        <w:spacing w:after="0" w:line="16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Section 4.2(b) shall be amended to read as follows:</w:t>
      </w:r>
    </w:p>
    <w:p>
      <w:pPr>
        <w:spacing w:after="0" w:line="229" w:lineRule="exact"/>
        <w:rPr>
          <w:rFonts w:ascii="Arial" w:cs="Arial" w:eastAsia="Arial" w:hAnsi="Arial"/>
          <w:sz w:val="18"/>
          <w:szCs w:val="18"/>
          <w:b w:val="1"/>
          <w:bCs w:val="1"/>
          <w:color w:val="auto"/>
        </w:rPr>
      </w:pPr>
    </w:p>
    <w:p>
      <w:pPr>
        <w:ind w:left="660" w:right="140" w:firstLine="645"/>
        <w:spacing w:after="0" w:line="272" w:lineRule="auto"/>
        <w:tabs>
          <w:tab w:leader="none" w:pos="2013" w:val="left"/>
        </w:tabs>
        <w:numPr>
          <w:ilvl w:val="1"/>
          <w:numId w:val="44"/>
        </w:numPr>
        <w:rPr>
          <w:rFonts w:ascii="Arial" w:cs="Arial" w:eastAsia="Arial" w:hAnsi="Arial"/>
          <w:sz w:val="17"/>
          <w:szCs w:val="17"/>
          <w:color w:val="auto"/>
        </w:rPr>
      </w:pPr>
      <w:r>
        <w:rPr>
          <w:rFonts w:ascii="Arial" w:cs="Arial" w:eastAsia="Arial" w:hAnsi="Arial"/>
          <w:sz w:val="17"/>
          <w:szCs w:val="17"/>
          <w:color w:val="auto"/>
        </w:rPr>
        <w:t>Subject to the following sentence, an election may be changed to an allowable alternative payment period by submitting a new election to the Committee, in a form approved by the Committee, provided that an election submitted less than one year before the distribution is to commence shall not be given effect. Effective January 1, 2008, a Participant may change his or her election only one time after making an initial election with respect to distributions under this Plan. Subject to the foregoing, the most recent effective election received by the Committee shall govern the payment. If a Participant does not make a valid election with respect to the payment of benefits, then such benefits shall be payable in a single distribution. The single distribution shall be made, or installment payments shall commence, on or around the 15th day of January immediately after the calendar year in which the Participant retires.</w:t>
      </w:r>
    </w:p>
    <w:p>
      <w:pPr>
        <w:spacing w:after="0" w:line="173" w:lineRule="exact"/>
        <w:rPr>
          <w:rFonts w:ascii="Arial" w:cs="Arial" w:eastAsia="Arial" w:hAnsi="Arial"/>
          <w:sz w:val="17"/>
          <w:szCs w:val="17"/>
          <w:color w:val="auto"/>
        </w:rPr>
      </w:pPr>
    </w:p>
    <w:p>
      <w:pPr>
        <w:ind w:left="720" w:hanging="712"/>
        <w:spacing w:after="0"/>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6.5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 predistribution inclusion in income of amounts deferred under the Plan and (b) the imposition of any additional tax or interest with respect thereto.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caused this Amendment to be executed on the date indicated below.</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420"/>
          </w:cols>
          <w:pgMar w:left="240" w:top="121" w:right="2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92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w w:val="87"/>
              </w:rPr>
              <w:t>3/12/2007</w:t>
            </w:r>
          </w:p>
        </w:tc>
        <w:tc>
          <w:tcPr>
            <w:tcW w:w="920" w:type="dxa"/>
            <w:vAlign w:val="bottom"/>
          </w:tcPr>
          <w:p>
            <w:pPr>
              <w:ind w:left="360"/>
              <w:spacing w:after="0"/>
              <w:rPr>
                <w:sz w:val="20"/>
                <w:szCs w:val="20"/>
                <w:color w:val="auto"/>
              </w:rPr>
            </w:pPr>
            <w:r>
              <w:rPr>
                <w:rFonts w:ascii="Arial" w:cs="Arial" w:eastAsia="Arial" w:hAnsi="Arial"/>
                <w:sz w:val="18"/>
                <w:szCs w:val="18"/>
                <w:color w:val="auto"/>
              </w:rPr>
              <w:t>By:</w:t>
            </w: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Lawrence McIntyre</w:t>
            </w:r>
          </w:p>
        </w:tc>
        <w:tc>
          <w:tcPr>
            <w:tcW w:w="40" w:type="dxa"/>
            <w:vAlign w:val="bottom"/>
          </w:tcPr>
          <w:p>
            <w:pPr>
              <w:spacing w:after="0"/>
              <w:rPr>
                <w:sz w:val="20"/>
                <w:szCs w:val="20"/>
                <w:color w:val="auto"/>
              </w:rPr>
            </w:pPr>
          </w:p>
        </w:tc>
      </w:tr>
      <w:tr>
        <w:trPr>
          <w:trHeight w:val="224"/>
        </w:trPr>
        <w:tc>
          <w:tcPr>
            <w:tcW w:w="8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rPr>
              <w:t>Its:</w:t>
            </w:r>
          </w:p>
        </w:tc>
        <w:tc>
          <w:tcPr>
            <w:tcW w:w="6760" w:type="dxa"/>
            <w:vAlign w:val="bottom"/>
          </w:tcPr>
          <w:p>
            <w:pPr>
              <w:spacing w:after="0"/>
              <w:rPr>
                <w:sz w:val="20"/>
                <w:szCs w:val="20"/>
                <w:color w:val="auto"/>
              </w:rPr>
            </w:pPr>
            <w:r>
              <w:rPr>
                <w:rFonts w:ascii="Arial" w:cs="Arial" w:eastAsia="Arial" w:hAnsi="Arial"/>
                <w:sz w:val="18"/>
                <w:szCs w:val="18"/>
                <w:color w:val="auto"/>
              </w:rPr>
              <w:t>Vice President, Secretary and General Counsel</w:t>
            </w:r>
          </w:p>
        </w:tc>
        <w:tc>
          <w:tcPr>
            <w:tcW w:w="40" w:type="dxa"/>
            <w:vAlign w:val="bottom"/>
          </w:tcPr>
          <w:p>
            <w:pPr>
              <w:spacing w:after="0"/>
              <w:rPr>
                <w:sz w:val="19"/>
                <w:szCs w:val="19"/>
                <w:color w:val="auto"/>
              </w:rPr>
            </w:pPr>
          </w:p>
        </w:tc>
      </w:tr>
      <w:tr>
        <w:trPr>
          <w:trHeight w:val="1225"/>
        </w:trPr>
        <w:tc>
          <w:tcPr>
            <w:tcW w:w="82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6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140" w:hanging="352"/>
        <w:spacing w:after="0" w:line="264" w:lineRule="auto"/>
        <w:tabs>
          <w:tab w:leader="none" w:pos="54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40" w:right="120" w:hanging="352"/>
        <w:spacing w:after="0" w:line="264" w:lineRule="auto"/>
        <w:tabs>
          <w:tab w:leader="none" w:pos="54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40" w:right="180" w:hanging="352"/>
        <w:spacing w:after="0" w:line="308" w:lineRule="auto"/>
        <w:tabs>
          <w:tab w:leader="none" w:pos="549"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40" w:right="220" w:hanging="352"/>
        <w:spacing w:after="0" w:line="342" w:lineRule="auto"/>
        <w:tabs>
          <w:tab w:leader="none" w:pos="5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40" w:right="100" w:hanging="352"/>
        <w:spacing w:after="0" w:line="277" w:lineRule="auto"/>
        <w:tabs>
          <w:tab w:leader="none" w:pos="54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right="140" w:hanging="352"/>
        <w:spacing w:after="0" w:line="277" w:lineRule="auto"/>
        <w:tabs>
          <w:tab w:leader="none" w:pos="54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241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40" w:right="140" w:hanging="352"/>
        <w:spacing w:after="0" w:line="264" w:lineRule="auto"/>
        <w:tabs>
          <w:tab w:leader="none" w:pos="549"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40" w:right="120" w:hanging="352"/>
        <w:spacing w:after="0" w:line="264" w:lineRule="auto"/>
        <w:tabs>
          <w:tab w:leader="none" w:pos="5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40" w:right="180" w:hanging="352"/>
        <w:spacing w:after="0" w:line="308" w:lineRule="auto"/>
        <w:tabs>
          <w:tab w:leader="none" w:pos="549"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40" w:right="220" w:hanging="352"/>
        <w:spacing w:after="0" w:line="342" w:lineRule="auto"/>
        <w:tabs>
          <w:tab w:leader="none" w:pos="5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40" w:right="100" w:hanging="352"/>
        <w:spacing w:after="0" w:line="277" w:lineRule="auto"/>
        <w:tabs>
          <w:tab w:leader="none" w:pos="549"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right="140" w:hanging="352"/>
        <w:spacing w:after="0" w:line="277" w:lineRule="auto"/>
        <w:tabs>
          <w:tab w:leader="none" w:pos="5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322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February 2, 2007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1000" w:hanging="344"/>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212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2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2007</w:t>
      </w:r>
    </w:p>
    <w:p>
      <w:pPr>
        <w:spacing w:after="0" w:line="26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189A769B"/>
    <w:multiLevelType w:val="hybridMultilevel"/>
    <w:lvl w:ilvl="0">
      <w:lvlJc w:val="left"/>
      <w:lvlText w:val="%1"/>
      <w:numFmt w:val="lowerRoman"/>
      <w:start w:val="1"/>
    </w:lvl>
    <w:lvl w:ilvl="1">
      <w:lvlJc w:val="left"/>
      <w:lvlText w:val="(%2)"/>
      <w:numFmt w:val="upperLetter"/>
      <w:start w:val="1"/>
    </w:lvl>
  </w:abstractNum>
  <w:abstractNum w:abstractNumId="6">
    <w:nsid w:val="54E49EB4"/>
    <w:multiLevelType w:val="hybridMultilevel"/>
    <w:lvl w:ilvl="0">
      <w:lvlJc w:val="left"/>
      <w:lvlText w:val="(%1)"/>
      <w:numFmt w:val="lowerRoman"/>
      <w:start w:val="2"/>
    </w:lvl>
    <w:lvl w:ilvl="1">
      <w:lvlJc w:val="left"/>
      <w:lvlText w:val="%2"/>
      <w:numFmt w:val="upperLetter"/>
      <w:start w:val="1"/>
    </w:lvl>
  </w:abstractNum>
  <w:abstractNum w:abstractNumId="7">
    <w:nsid w:val="71F32454"/>
    <w:multiLevelType w:val="hybridMultilevel"/>
    <w:lvl w:ilvl="0">
      <w:lvlJc w:val="left"/>
      <w:lvlText w:val="(%1)"/>
      <w:numFmt w:val="lowerRoman"/>
      <w:start w:val="4"/>
    </w:lvl>
  </w:abstractNum>
  <w:abstractNum w:abstractNumId="8">
    <w:nsid w:val="2CA88611"/>
    <w:multiLevelType w:val="hybridMultilevel"/>
    <w:lvl w:ilvl="0">
      <w:lvlJc w:val="left"/>
      <w:lvlText w:val="(%1)"/>
      <w:numFmt w:val="upperLetter"/>
      <w:start w:val="1"/>
    </w:lvl>
  </w:abstractNum>
  <w:abstractNum w:abstractNumId="9">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10">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upperLetter"/>
      <w:start w:val="1"/>
    </w:lvl>
  </w:abstractNum>
  <w:abstractNum w:abstractNumId="11">
    <w:nsid w:val="3A95F87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2">
    <w:nsid w:val="81386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
    <w:nsid w:val="1E7FF521"/>
    <w:multiLevelType w:val="hybridMultilevel"/>
    <w:lvl w:ilvl="0">
      <w:lvlJc w:val="left"/>
      <w:lvlText w:val="%1."/>
      <w:numFmt w:val="decimal"/>
      <w:start w:val="7"/>
    </w:lvl>
  </w:abstractNum>
  <w:abstractNum w:abstractNumId="14">
    <w:nsid w:val="7C3DBD3D"/>
    <w:multiLevelType w:val="hybridMultilevel"/>
    <w:lvl w:ilvl="0">
      <w:lvlJc w:val="left"/>
      <w:lvlText w:val="%1."/>
      <w:numFmt w:val="decimal"/>
      <w:start w:val="9"/>
    </w:lvl>
  </w:abstractNum>
  <w:abstractNum w:abstractNumId="15">
    <w:nsid w:val="737B8DDC"/>
    <w:multiLevelType w:val="hybridMultilevel"/>
    <w:lvl w:ilvl="0">
      <w:lvlJc w:val="left"/>
      <w:lvlText w:val="%1."/>
      <w:numFmt w:val="decimal"/>
      <w:start w:val="1"/>
    </w:lvl>
    <w:lvl w:ilvl="1">
      <w:lvlJc w:val="left"/>
      <w:lvlText w:val="%2."/>
      <w:numFmt w:val="lowerLetter"/>
      <w:start w:val="1"/>
    </w:lvl>
  </w:abstractNum>
  <w:abstractNum w:abstractNumId="16">
    <w:nsid w:val="6CEAF0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22221A70"/>
    <w:multiLevelType w:val="hybridMultilevel"/>
    <w:lvl w:ilvl="0">
      <w:lvlJc w:val="left"/>
      <w:lvlText w:val="%1"/>
      <w:numFmt w:val="lowerLetter"/>
      <w:start w:val="1"/>
    </w:lvl>
    <w:lvl w:ilvl="1">
      <w:lvlJc w:val="left"/>
      <w:lvlText w:val="%2."/>
      <w:numFmt w:val="lowerLetter"/>
      <w:start w:val="2"/>
    </w:lvl>
  </w:abstractNum>
  <w:abstractNum w:abstractNumId="18">
    <w:nsid w:val="4516DDE9"/>
    <w:multiLevelType w:val="hybridMultilevel"/>
    <w:lvl w:ilvl="0">
      <w:lvlJc w:val="left"/>
      <w:lvlText w:val="%1."/>
      <w:numFmt w:val="lowerLetter"/>
      <w:start w:val="3"/>
    </w:lvl>
    <w:lvl w:ilvl="1">
      <w:lvlJc w:val="left"/>
      <w:lvlText w:val="%2"/>
      <w:numFmt w:val="lowerLetter"/>
      <w:start w:val="1"/>
    </w:lvl>
  </w:abstractNum>
  <w:abstractNum w:abstractNumId="19">
    <w:nsid w:val="3006C83E"/>
    <w:multiLevelType w:val="hybridMultilevel"/>
    <w:lvl w:ilvl="0">
      <w:lvlJc w:val="left"/>
      <w:lvlText w:val="%1."/>
      <w:numFmt w:val="decimal"/>
      <w:start w:val="5"/>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2"/>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4"/>
    </w:lvl>
  </w:abstractNum>
  <w:abstractNum w:abstractNumId="26">
    <w:nsid w:val="77465F01"/>
    <w:multiLevelType w:val="hybridMultilevel"/>
    <w:lvl w:ilvl="0">
      <w:lvlJc w:val="left"/>
      <w:lvlText w:val="%1."/>
      <w:numFmt w:val="decimal"/>
      <w:start w:val="5"/>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2"/>
    </w:lvl>
    <w:lvl w:ilvl="1">
      <w:lvlJc w:val="left"/>
      <w:lvlText w:val="(%2)"/>
      <w:numFmt w:val="lowerLetter"/>
      <w:start w:val="1"/>
    </w:lvl>
  </w:abstractNum>
  <w:abstractNum w:abstractNumId="29">
    <w:nsid w:val="2463B9EA"/>
    <w:multiLevelType w:val="hybridMultilevel"/>
    <w:lvl w:ilvl="0">
      <w:lvlJc w:val="left"/>
      <w:lvlText w:val="%1"/>
      <w:numFmt w:val="lowerRoman"/>
      <w:start w:val="1"/>
    </w:lvl>
    <w:lvl w:ilvl="1">
      <w:lvlJc w:val="left"/>
      <w:lvlText w:val="(%2)"/>
      <w:numFmt w:val="lowerLetter"/>
      <w:start w:val="2"/>
    </w:lvl>
  </w:abstractNum>
  <w:abstractNum w:abstractNumId="30">
    <w:nsid w:val="5E884ADC"/>
    <w:multiLevelType w:val="hybridMultilevel"/>
    <w:lvl w:ilvl="0">
      <w:lvlJc w:val="left"/>
      <w:lvlText w:val="(%1)"/>
      <w:numFmt w:val="lowerRoman"/>
      <w:start w:val="1"/>
    </w:lvl>
    <w:lvl w:ilvl="1">
      <w:lvlJc w:val="left"/>
      <w:lvlText w:val="%2"/>
      <w:numFmt w:val="lowerLetter"/>
      <w:start w:val="1"/>
    </w:lvl>
  </w:abstractNum>
  <w:abstractNum w:abstractNumId="31">
    <w:nsid w:val="51EAD36B"/>
    <w:multiLevelType w:val="hybridMultilevel"/>
    <w:lvl w:ilvl="0">
      <w:lvlJc w:val="left"/>
      <w:lvlText w:val="%1."/>
      <w:numFmt w:val="decimal"/>
      <w:start w:val="3"/>
    </w:lvl>
  </w:abstractNum>
  <w:abstractNum w:abstractNumId="32">
    <w:nsid w:val="2D517796"/>
    <w:multiLevelType w:val="hybridMultilevel"/>
    <w:lvl w:ilvl="0">
      <w:lvlJc w:val="left"/>
      <w:lvlText w:val="%1."/>
      <w:numFmt w:val="decimal"/>
      <w:start w:val="4"/>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decimal"/>
      <w:start w:val="6"/>
    </w:lvl>
  </w:abstractNum>
  <w:abstractNum w:abstractNumId="35">
    <w:nsid w:val="3855585C"/>
    <w:multiLevelType w:val="hybridMultilevel"/>
    <w:lvl w:ilvl="0">
      <w:lvlJc w:val="left"/>
      <w:lvlText w:val="%1."/>
      <w:numFmt w:val="decimal"/>
      <w:start w:val="7"/>
    </w:lvl>
    <w:lvl w:ilvl="1">
      <w:lvlJc w:val="left"/>
      <w:lvlText w:val="*"/>
      <w:numFmt w:val="bullet"/>
      <w:start w:val="1"/>
    </w:lvl>
  </w:abstractNum>
  <w:abstractNum w:abstractNumId="36">
    <w:nsid w:val="70A64E2A"/>
    <w:multiLevelType w:val="hybridMultilevel"/>
    <w:lvl w:ilvl="0">
      <w:lvlJc w:val="left"/>
      <w:lvlText w:val="%1."/>
      <w:numFmt w:val="decimal"/>
      <w:start w:val="1"/>
    </w:lvl>
    <w:lvl w:ilvl="1">
      <w:lvlJc w:val="left"/>
      <w:lvlText w:val="(%2)"/>
      <w:numFmt w:val="lowerLetter"/>
      <w:start w:val="3"/>
    </w:lvl>
  </w:abstractNum>
  <w:abstractNum w:abstractNumId="37">
    <w:nsid w:val="6A2342EC"/>
    <w:multiLevelType w:val="hybridMultilevel"/>
    <w:lvl w:ilvl="0">
      <w:lvlJc w:val="left"/>
      <w:lvlText w:val="%1"/>
      <w:numFmt w:val="decimal"/>
      <w:start w:val="1"/>
    </w:lvl>
    <w:lvl w:ilvl="1">
      <w:lvlJc w:val="left"/>
      <w:lvlText w:val="(%2)"/>
      <w:numFmt w:val="lowerLetter"/>
      <w:start w:val="1"/>
    </w:lvl>
  </w:abstractNum>
  <w:abstractNum w:abstractNumId="38">
    <w:nsid w:val="2A487CB0"/>
    <w:multiLevelType w:val="hybridMultilevel"/>
    <w:lvl w:ilvl="0">
      <w:lvlJc w:val="left"/>
      <w:lvlText w:val="%1."/>
      <w:numFmt w:val="decimal"/>
      <w:start w:val="3"/>
    </w:lvl>
    <w:lvl w:ilvl="1">
      <w:lvlJc w:val="left"/>
      <w:lvlText w:val="%2"/>
      <w:numFmt w:val="lowerLetter"/>
      <w:start w:val="1"/>
    </w:lvl>
  </w:abstractNum>
  <w:abstractNum w:abstractNumId="39">
    <w:nsid w:val="1D4ED43B"/>
    <w:multiLevelType w:val="hybridMultilevel"/>
    <w:lvl w:ilvl="0">
      <w:lvlJc w:val="left"/>
      <w:lvlText w:val="%1."/>
      <w:numFmt w:val="decimal"/>
      <w:start w:val="1"/>
    </w:lvl>
    <w:lvl w:ilvl="1">
      <w:lvlJc w:val="left"/>
      <w:lvlText w:val="(%2)"/>
      <w:numFmt w:val="lowerLetter"/>
      <w:start w:val="1"/>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lowerRoman"/>
      <w:start w:val="2"/>
    </w:lvl>
  </w:abstractNum>
  <w:abstractNum w:abstractNumId="42">
    <w:nsid w:val="57E4CCAF"/>
    <w:multiLevelType w:val="hybridMultilevel"/>
    <w:lvl w:ilvl="0">
      <w:lvlJc w:val="left"/>
      <w:lvlText w:val="(%1)"/>
      <w:numFmt w:val="upperLetter"/>
      <w:start w:val="1"/>
    </w:lvl>
  </w:abstractNum>
  <w:abstractNum w:abstractNumId="43">
    <w:nsid w:val="7A6D8D3C"/>
    <w:multiLevelType w:val="hybridMultilevel"/>
    <w:lvl w:ilvl="0">
      <w:lvlJc w:val="left"/>
      <w:lvlText w:val="%1."/>
      <w:numFmt w:val="decimal"/>
      <w:start w:val="2"/>
    </w:lvl>
    <w:lvl w:ilvl="1">
      <w:lvlJc w:val="left"/>
      <w:lvlText w:val="(%2)"/>
      <w:numFmt w:val="lowerLetter"/>
      <w:start w:val="2"/>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2019-12-13T13:37:44Z</dcterms:created>
  <dcterms:modified xsi:type="dcterms:W3CDTF">2019-12-13T13:37:44Z</dcterms:modified>
</cp:coreProperties>
</file>