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6, 2011</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50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tcPr>
          <w:p>
            <w:pPr>
              <w:jc w:val="right"/>
              <w:ind w:right="95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93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500" w:type="dxa"/>
            <w:vAlign w:val="bottom"/>
          </w:tcPr>
          <w:p>
            <w:pPr>
              <w:jc w:val="center"/>
              <w:ind w:right="1710"/>
              <w:spacing w:after="0"/>
              <w:rPr>
                <w:sz w:val="20"/>
                <w:szCs w:val="20"/>
                <w:color w:val="auto"/>
              </w:rPr>
            </w:pPr>
            <w:r>
              <w:rPr>
                <w:rFonts w:ascii="Arial" w:cs="Arial" w:eastAsia="Arial" w:hAnsi="Arial"/>
                <w:sz w:val="18"/>
                <w:szCs w:val="18"/>
                <w:color w:val="auto"/>
                <w:w w:val="92"/>
              </w:rPr>
              <w:t>(State of Incorporation)</w:t>
            </w: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350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8111 Lyndale Avenue South</w:t>
            </w:r>
          </w:p>
        </w:tc>
        <w:tc>
          <w:tcPr>
            <w:tcW w:w="25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350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Bloomington, Minnesota</w:t>
            </w:r>
          </w:p>
        </w:tc>
        <w:tc>
          <w:tcPr>
            <w:tcW w:w="2540" w:type="dxa"/>
            <w:vAlign w:val="bottom"/>
          </w:tcPr>
          <w:p>
            <w:pPr>
              <w:spacing w:after="0"/>
              <w:rPr>
                <w:sz w:val="19"/>
                <w:szCs w:val="19"/>
                <w:color w:val="auto"/>
              </w:rPr>
            </w:pPr>
          </w:p>
        </w:tc>
        <w:tc>
          <w:tcPr>
            <w:tcW w:w="4040" w:type="dxa"/>
            <w:vAlign w:val="bottom"/>
          </w:tcPr>
          <w:p>
            <w:pPr>
              <w:jc w:val="right"/>
              <w:ind w:right="2130"/>
              <w:spacing w:after="0"/>
              <w:rPr>
                <w:sz w:val="20"/>
                <w:szCs w:val="20"/>
                <w:color w:val="auto"/>
              </w:rPr>
            </w:pPr>
            <w:r>
              <w:rPr>
                <w:rFonts w:ascii="Arial" w:cs="Arial" w:eastAsia="Arial" w:hAnsi="Arial"/>
                <w:sz w:val="18"/>
                <w:szCs w:val="18"/>
                <w:b w:val="1"/>
                <w:bCs w:val="1"/>
                <w:color w:val="auto"/>
              </w:rPr>
              <w:t>55420</w:t>
            </w:r>
          </w:p>
        </w:tc>
      </w:tr>
      <w:tr>
        <w:trPr>
          <w:trHeight w:val="230"/>
        </w:trPr>
        <w:tc>
          <w:tcPr>
            <w:tcW w:w="3500" w:type="dxa"/>
            <w:vAlign w:val="bottom"/>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4040" w:type="dxa"/>
            <w:vAlign w:val="bottom"/>
          </w:tcPr>
          <w:p>
            <w:pPr>
              <w:jc w:val="center"/>
              <w:ind w:right="750"/>
              <w:spacing w:after="0"/>
              <w:rPr>
                <w:sz w:val="20"/>
                <w:szCs w:val="20"/>
                <w:color w:val="auto"/>
              </w:rPr>
            </w:pPr>
            <w:r>
              <w:rPr>
                <w:rFonts w:ascii="Arial" w:cs="Arial" w:eastAsia="Arial" w:hAnsi="Arial"/>
                <w:sz w:val="18"/>
                <w:szCs w:val="18"/>
                <w:color w:val="auto"/>
                <w:w w:val="94"/>
              </w:rPr>
              <w:t>(Zip Code)</w:t>
            </w:r>
          </w:p>
        </w:tc>
      </w:tr>
      <w:tr>
        <w:trPr>
          <w:trHeight w:val="432"/>
        </w:trPr>
        <w:tc>
          <w:tcPr>
            <w:tcW w:w="6040" w:type="dxa"/>
            <w:vAlign w:val="bottom"/>
            <w:gridSpan w:val="2"/>
          </w:tcPr>
          <w:p>
            <w:pPr>
              <w:ind w:left="2220"/>
              <w:spacing w:after="0"/>
              <w:rPr>
                <w:sz w:val="20"/>
                <w:szCs w:val="20"/>
                <w:color w:val="auto"/>
              </w:rPr>
            </w:pPr>
            <w:r>
              <w:rPr>
                <w:rFonts w:ascii="Arial" w:cs="Arial" w:eastAsia="Arial" w:hAnsi="Arial"/>
                <w:sz w:val="18"/>
                <w:szCs w:val="18"/>
                <w:color w:val="auto"/>
                <w:w w:val="91"/>
              </w:rPr>
              <w:t>Registrant’s telephone number, including area code:</w:t>
            </w:r>
          </w:p>
        </w:tc>
        <w:tc>
          <w:tcPr>
            <w:tcW w:w="4040" w:type="dxa"/>
            <w:vAlign w:val="bottom"/>
          </w:tcPr>
          <w:p>
            <w:pPr>
              <w:jc w:val="right"/>
              <w:ind w:right="2730"/>
              <w:spacing w:after="0"/>
              <w:rPr>
                <w:sz w:val="20"/>
                <w:szCs w:val="20"/>
                <w:color w:val="auto"/>
              </w:rPr>
            </w:pPr>
            <w:r>
              <w:rPr>
                <w:rFonts w:ascii="Arial" w:cs="Arial" w:eastAsia="Arial" w:hAnsi="Arial"/>
                <w:sz w:val="18"/>
                <w:szCs w:val="18"/>
                <w:b w:val="1"/>
                <w:bCs w:val="1"/>
                <w:color w:val="auto"/>
                <w:w w:val="97"/>
              </w:rPr>
              <w:t>(952) 888-8801</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On December 6, 2011, The Toro Company announced its earnings for the three and twelve months ended October 31, 2011.</w:t>
      </w:r>
    </w:p>
    <w:p>
      <w:pPr>
        <w:spacing w:after="0" w:line="225" w:lineRule="exact"/>
        <w:rPr>
          <w:sz w:val="24"/>
          <w:szCs w:val="24"/>
          <w:color w:val="auto"/>
        </w:rPr>
      </w:pPr>
    </w:p>
    <w:p>
      <w:pPr>
        <w:ind w:left="660" w:right="6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00" w:hanging="51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660" w:type="dxa"/>
            <w:vAlign w:val="bottom"/>
          </w:tcPr>
          <w:p>
            <w:pPr>
              <w:jc w:val="right"/>
              <w:ind w:right="389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92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8660" w:type="dxa"/>
            <w:vAlign w:val="bottom"/>
            <w:tcBorders>
              <w:top w:val="single" w:sz="8" w:color="auto"/>
            </w:tcBorders>
          </w:tcPr>
          <w:p>
            <w:pPr>
              <w:jc w:val="right"/>
              <w:ind w:right="4276"/>
              <w:spacing w:after="0"/>
              <w:rPr>
                <w:sz w:val="20"/>
                <w:szCs w:val="20"/>
                <w:color w:val="auto"/>
              </w:rPr>
            </w:pPr>
            <w:r>
              <w:rPr>
                <w:rFonts w:ascii="Arial" w:cs="Arial" w:eastAsia="Arial" w:hAnsi="Arial"/>
                <w:sz w:val="18"/>
                <w:szCs w:val="18"/>
                <w:color w:val="auto"/>
                <w:w w:val="88"/>
              </w:rPr>
              <w:t>Press release dated December 6, 2011 (furnished herewith).</w:t>
            </w:r>
          </w:p>
        </w:tc>
        <w:tc>
          <w:tcPr>
            <w:tcW w:w="200" w:type="dxa"/>
            <w:vAlign w:val="bottom"/>
          </w:tcPr>
          <w:p>
            <w:pPr>
              <w:spacing w:after="0"/>
              <w:rPr>
                <w:sz w:val="19"/>
                <w:szCs w:val="19"/>
                <w:color w:val="auto"/>
              </w:rPr>
            </w:pPr>
          </w:p>
        </w:tc>
      </w:tr>
      <w:tr>
        <w:trPr>
          <w:trHeight w:val="418"/>
        </w:trPr>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6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6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60" w:type="dxa"/>
            <w:vAlign w:val="bottom"/>
            <w:gridSpan w:val="2"/>
          </w:tcPr>
          <w:p>
            <w:pPr>
              <w:ind w:left="30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60" w:type="dxa"/>
            <w:vAlign w:val="bottom"/>
            <w:gridSpan w:val="2"/>
          </w:tcPr>
          <w:p>
            <w:pPr>
              <w:ind w:left="30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240" w:type="dxa"/>
            <w:vAlign w:val="bottom"/>
            <w:gridSpan w:val="2"/>
          </w:tcPr>
          <w:p>
            <w:pPr>
              <w:spacing w:after="0"/>
              <w:rPr>
                <w:sz w:val="20"/>
                <w:szCs w:val="20"/>
                <w:color w:val="auto"/>
              </w:rPr>
            </w:pPr>
            <w:r>
              <w:rPr>
                <w:rFonts w:ascii="Arial" w:cs="Arial" w:eastAsia="Arial" w:hAnsi="Arial"/>
                <w:sz w:val="18"/>
                <w:szCs w:val="18"/>
                <w:color w:val="auto"/>
              </w:rPr>
              <w:t>Date: December 6, 2011</w:t>
            </w:r>
          </w:p>
        </w:tc>
        <w:tc>
          <w:tcPr>
            <w:tcW w:w="420" w:type="dxa"/>
            <w:vAlign w:val="bottom"/>
          </w:tcPr>
          <w:p>
            <w:pPr>
              <w:spacing w:after="0"/>
              <w:rPr>
                <w:sz w:val="24"/>
                <w:szCs w:val="24"/>
                <w:color w:val="auto"/>
              </w:rPr>
            </w:pPr>
          </w:p>
        </w:tc>
        <w:tc>
          <w:tcPr>
            <w:tcW w:w="8760" w:type="dxa"/>
            <w:vAlign w:val="bottom"/>
            <w:gridSpan w:val="2"/>
          </w:tcPr>
          <w:p>
            <w:pPr>
              <w:ind w:left="30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20" w:type="dxa"/>
            <w:vAlign w:val="bottom"/>
          </w:tcPr>
          <w:p>
            <w:pPr>
              <w:ind w:left="3060"/>
              <w:spacing w:after="0" w:line="182" w:lineRule="exact"/>
              <w:rPr>
                <w:sz w:val="20"/>
                <w:szCs w:val="20"/>
                <w:color w:val="auto"/>
              </w:rPr>
            </w:pPr>
            <w:r>
              <w:rPr>
                <w:rFonts w:ascii="Arial" w:cs="Arial" w:eastAsia="Arial" w:hAnsi="Arial"/>
                <w:sz w:val="16"/>
                <w:szCs w:val="16"/>
                <w:color w:val="auto"/>
                <w:w w:val="72"/>
              </w:rPr>
              <w:t>Renee</w:t>
            </w:r>
          </w:p>
        </w:tc>
        <w:tc>
          <w:tcPr>
            <w:tcW w:w="53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60" w:type="dxa"/>
            <w:vAlign w:val="bottom"/>
            <w:gridSpan w:val="2"/>
          </w:tcPr>
          <w:p>
            <w:pPr>
              <w:ind w:left="306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60" w:type="dxa"/>
            <w:vAlign w:val="bottom"/>
            <w:gridSpan w:val="2"/>
          </w:tcPr>
          <w:p>
            <w:pPr>
              <w:ind w:left="30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40" w:type="dxa"/>
            <w:vAlign w:val="bottom"/>
            <w:gridSpan w:val="2"/>
          </w:tcPr>
          <w:p>
            <w:pPr>
              <w:jc w:val="center"/>
              <w:ind w:left="3010"/>
              <w:spacing w:after="0"/>
              <w:rPr>
                <w:sz w:val="20"/>
                <w:szCs w:val="20"/>
                <w:color w:val="auto"/>
              </w:rPr>
            </w:pPr>
            <w:r>
              <w:rPr>
                <w:rFonts w:ascii="Arial" w:cs="Arial" w:eastAsia="Arial" w:hAnsi="Arial"/>
                <w:sz w:val="18"/>
                <w:szCs w:val="18"/>
                <w:color w:val="auto"/>
                <w:w w:val="99"/>
              </w:rPr>
              <w:t>4</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7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60" w:type="dxa"/>
            <w:vAlign w:val="bottom"/>
            <w:gridSpan w:val="2"/>
          </w:tcPr>
          <w:p>
            <w:pPr>
              <w:jc w:val="center"/>
              <w:ind w:right="255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40" w:type="dxa"/>
            <w:vAlign w:val="bottom"/>
          </w:tcPr>
          <w:p>
            <w:pPr>
              <w:ind w:left="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8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6, 2011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40" w:type="dxa"/>
            <w:vAlign w:val="bottom"/>
            <w:gridSpan w:val="2"/>
          </w:tcPr>
          <w:p>
            <w:pPr>
              <w:jc w:val="center"/>
              <w:ind w:left="3010"/>
              <w:spacing w:after="0"/>
              <w:rPr>
                <w:sz w:val="20"/>
                <w:szCs w:val="20"/>
                <w:color w:val="auto"/>
              </w:rPr>
            </w:pPr>
            <w:r>
              <w:rPr>
                <w:rFonts w:ascii="Arial" w:cs="Arial" w:eastAsia="Arial" w:hAnsi="Arial"/>
                <w:sz w:val="18"/>
                <w:szCs w:val="18"/>
                <w:color w:val="auto"/>
                <w:w w:val="99"/>
              </w:rPr>
              <w:t>5</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Results for Fiscal 2011</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increase 11.5 percent for the year to a record $1.9 billion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year up 32.6 percent to $3.70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segment net sales up 14.2 percent on improved global demand in golf, grounds and agriculture markets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quarterly cash dividend to $0.22 per share, as announced last week</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BLOOMINGTON, Minn. (December 6, 2011) — The Toro Company (NYSE: TTC) today reported net earnings of $117.7 million, or $3.70 per share, on net sales of $1,884 million for its fiscal year ended October 31, 2011. In fiscal 2010, the company delivered net earnings of $93.2 million, or $2.79 per share, on net sales of $1,690.4 million.</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fourth quarter, Toro reported net earnings of $5 million, or $0.16 per share, on net sales of $368.1 million. In the comparable fiscal 2010 period, the company posted net earnings of $3.2 million, or $0.10 per share, on net sales of $337.3 million.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With a focus on returning value to shareholders, the company reported last week that the board of directors raised its regular quarterly cash dividend to $0.22 per share from its previous quarterly dividend rate of $0.20 per share. Additionally, for fiscal 2011, the company repurchased $130 million of company stock.</w:t>
      </w:r>
    </w:p>
    <w:p>
      <w:pPr>
        <w:spacing w:after="0" w:line="12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“Fiscal 2011 was a very good year for The Toro Company, delivering record revenues and earnings per share,” said Michael J. Hoffman, Toro’s chairman and chief executive officer. “Increased global demand across golf, grounds and agriculture markets drove further improvement in our professional businesses. Our innovation levels have never been higher, and we were successful in gaining share in many of our markets and key product categories. I am extremely proud of our team and their execution throughout the year. We finished the year strong and have good momentum going into fiscal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00" w:hanging="332"/>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fiscal 2011 totaled $1,239.1 million, up 14.2 percent over last year. Global demand across all professional businesses remained strong, increasing the Professional segment to nearly two-thirds of total sales. Worldwide sales of golf maintenance equipment and irrigation systems benefited from the successful introduction of new products, along with increased customer investments in course upgrades and equipment purchases. Shipments of landscape contractor and grounds products saw gains, including strong acceptance for Toro’s innovative Groundsmaster® 360 rotary mower. Orders for micro irrigation technologies experienced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right="520"/>
        <w:spacing w:after="0" w:line="342" w:lineRule="auto"/>
        <w:rPr>
          <w:sz w:val="20"/>
          <w:szCs w:val="20"/>
          <w:color w:val="auto"/>
        </w:rPr>
      </w:pPr>
      <w:r>
        <w:rPr>
          <w:rFonts w:ascii="Arial" w:cs="Arial" w:eastAsia="Arial" w:hAnsi="Arial"/>
          <w:sz w:val="16"/>
          <w:szCs w:val="16"/>
          <w:color w:val="auto"/>
        </w:rPr>
        <w:t>significant growth on a worldwide basis driven by added production capacity and agricultural growers transitioning to more efficient methods of irrigating crops. For the fourth quarter, professional segment net sales were $216.5 million, up 5.5 percent from the comparable fiscal 2010 period.</w:t>
      </w:r>
    </w:p>
    <w:p>
      <w:pPr>
        <w:spacing w:after="0" w:line="124" w:lineRule="exact"/>
        <w:rPr>
          <w:sz w:val="20"/>
          <w:szCs w:val="20"/>
          <w:color w:val="auto"/>
        </w:rPr>
      </w:pPr>
    </w:p>
    <w:p>
      <w:pPr>
        <w:ind w:left="340" w:right="64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fiscal 2011 totaled $205 million, up from $173.8 million last year. For the fourth quarter, professional segment earnings were $17.1 million, down slightly from the comparable fiscal 2010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40" w:hanging="332"/>
        <w:spacing w:after="0" w:line="25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net sales for fiscal 2011 totaled $623.9 million, up 5.8 percent over last year. For the year, sales of riding products increased on demand for Toro’s new line of zero-turn mowers. Shipments of snow products were up significantly in North America and Europe coming off last year’s strong snow season that boosted preseason orders, along with benefit from additional product placement. Somewhat offsetting these gains were lower orders of walk power mowers and electric blowers due to unfavorable weather conditions. For the fourth quarter, residential segment net sales were $143.5 million, up 12.9 percent from the comparable fiscal 2010 period.</w:t>
      </w:r>
    </w:p>
    <w:p>
      <w:pPr>
        <w:spacing w:after="0" w:line="188" w:lineRule="exact"/>
        <w:rPr>
          <w:rFonts w:ascii="Arial" w:cs="Arial" w:eastAsia="Arial" w:hAnsi="Arial"/>
          <w:sz w:val="18"/>
          <w:szCs w:val="18"/>
          <w:color w:val="auto"/>
        </w:rPr>
      </w:pPr>
    </w:p>
    <w:p>
      <w:pPr>
        <w:ind w:left="340" w:right="16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fiscal 2011 totaled $54.4 million, down from $58 million last year. For the fourth quarter, residential segment earnings were $11.9 million, up from $8.8 million in the comparable fiscal 2010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ectPr>
          <w:pgSz w:w="11900" w:h="16838" w:orient="portrait"/>
          <w:cols w:equalWidth="0" w:num="1">
            <w:col w:w="11420"/>
          </w:cols>
          <w:pgMar w:left="240" w:top="121" w:right="239" w:bottom="0" w:gutter="0" w:footer="0" w:header="0"/>
        </w:sectPr>
      </w:pPr>
    </w:p>
    <w:bookmarkStart w:id="3" w:name="page4"/>
    <w:bookmarkEnd w:id="3"/>
    <w:p>
      <w:pPr>
        <w:jc w:val="both"/>
        <w:ind w:right="80"/>
        <w:spacing w:after="0" w:line="264" w:lineRule="auto"/>
        <w:rPr>
          <w:sz w:val="20"/>
          <w:szCs w:val="20"/>
          <w:color w:val="auto"/>
        </w:rPr>
      </w:pPr>
      <w:r>
        <w:rPr>
          <w:rFonts w:ascii="Arial" w:cs="Arial" w:eastAsia="Arial" w:hAnsi="Arial"/>
          <w:sz w:val="18"/>
          <w:szCs w:val="18"/>
          <w:color w:val="auto"/>
        </w:rPr>
        <w:t>Gross margin for fiscal 2011 declined 30 basis points from last year to 33.8 percent, and for the fourth quarter was down 60 basis points from the comparable fiscal 2010 period to 32.3 percent. The margin decline for both periods was mostly due to increased commodity costs and higher freight expense, somewhat offset by higher production volumes.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fiscal 2011 was down 110 basis points to 24 percent, and for the fourth quarter decreased 150 basis points to 29.8 percent. The decline in SG&amp;A as a percent of sales for both periods reflects further leveraging of costs over improved sales volumes and lower product liability expense, while increasing investments in marketing.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Operating earnings as a percent of sales increased 80 basis points to 9.8 percent for the year, and increased 90 basis points to 2.5 percent for the fourth quarter.</w:t>
      </w:r>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expense for fiscal 2011 was $17 million, down slightly from last year. For the fourth quarter, interest expense totaled $4.4 million, and was up slightly from the same period last year.</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effective tax rate for fiscal 2011 was 32.7 percent compared with 34 percent last year, primarily the result of the retroactive extension of the Federal Research and Engineering Tax Credit. For the fourth quarter, the tax rate increased to 33.6 percent from 20.8 percent in same period last year.</w:t>
      </w:r>
    </w:p>
    <w:p>
      <w:pPr>
        <w:spacing w:after="0" w:line="12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Accounts receivable at the end of fiscal 2011 totaled $148.1 million, up 3.7 percent from last year, on a sales increase of 11.5 percent. Net inventories for the year were $223 million, up 14.7 percent over last year. Trade payables decreased 5.7 percent for the year to $118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“Looking ahead, we find ourselves at the threshold of reaching $2 billion in revenues for the first time in our history,” said Hoffman. “We remain committed to delivering against our Destination 2014 goals, and have made some important changes internally with an increased focus on quality, cost and productivity improvement. We are well-positioned to grow share in our markets with a strong lineup of innovative new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products, along with the benefit of additional capacity from the investment in our new Romania operation. And, our employees are aggressively pursuing profitable revenue growth as we serve our growing global markets.”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expects net earnings for fiscal 2012 to be about $4.15 per share on a revenue increase of about 5 percent. For the first quarter, the company expects to report net earnings of about $0.58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6,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6, 2011.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ectPr>
          <w:pgSz w:w="11900" w:h="16838" w:orient="portrait"/>
          <w:cols w:equalWidth="0" w:num="1">
            <w:col w:w="11420"/>
          </w:cols>
          <w:pgMar w:left="240" w:top="125" w:right="239" w:bottom="51"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(Loss)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1,690,378</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118,787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110,955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636,647</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576,391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109,580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452,160</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425,125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(4,374)</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(16,970)</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174,826</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57,168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117,658</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93,237</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30,621</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31,758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31,267</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32,982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31,037</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32,280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31,797</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3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1,239,068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143,485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127,064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623,889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20,996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Total *</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368,094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1,883,953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1,690,378</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gridSpan w:val="2"/>
          </w:tcPr>
          <w:p>
            <w:pPr>
              <w:spacing w:after="0"/>
              <w:rPr>
                <w:sz w:val="8"/>
                <w:szCs w:val="8"/>
                <w:color w:val="auto"/>
              </w:rPr>
            </w:pPr>
          </w:p>
        </w:tc>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1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110,034</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607,915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537,588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30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Segment Earnings (Loss) Before Income Taxes</w:t>
            </w: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54,410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174,826</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80" w:type="dxa"/>
            <w:vAlign w:val="bottom"/>
            <w:gridSpan w:val="8"/>
          </w:tcPr>
          <w:p>
            <w:pPr>
              <w:jc w:val="center"/>
              <w:ind w:left="11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October 31,</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23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80,886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148,140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223,030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Prepaid expenses and other current assets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18,303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62,523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532,882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191,140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146,641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1,978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118,036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239,025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359,080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368,283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1,368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225,178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10,619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266,767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117,658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(5,682)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48,506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(2,908)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113,877</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(investments in) finance affiliate,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(69,275)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short-term debt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14,467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(24,970)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(140,103)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(96,480)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80,886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2019-12-10T05:37:10Z</dcterms:created>
  <dcterms:modified xsi:type="dcterms:W3CDTF">2019-12-10T05:37:10Z</dcterms:modified>
</cp:coreProperties>
</file>