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59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598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HOFFMAN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09/22/2011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8"/>
          <w:szCs w:val="18"/>
          <w:color w:val="0000FF"/>
        </w:rPr>
        <w:t>Chmn., CEO &amp; Pres.</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680" w:type="dxa"/>
            <w:vAlign w:val="bottom"/>
            <w:gridSpan w:val="6"/>
            <w:vMerge w:val="restart"/>
          </w:tcPr>
          <w:p>
            <w:pPr>
              <w:jc w:val="right"/>
              <w:ind w:right="34"/>
              <w:spacing w:after="0"/>
              <w:rPr>
                <w:sz w:val="20"/>
                <w:szCs w:val="20"/>
                <w:color w:val="auto"/>
              </w:rPr>
            </w:pPr>
            <w:r>
              <w:rPr>
                <w:rFonts w:ascii="Arial" w:cs="Arial" w:eastAsia="Arial" w:hAnsi="Arial"/>
                <w:sz w:val="14"/>
                <w:szCs w:val="14"/>
                <w:color w:val="auto"/>
                <w:w w:val="99"/>
              </w:rPr>
              <w:t>4. If Amendment, Date of Original Filed (Month/Day/Year)</w:t>
            </w:r>
          </w:p>
        </w:tc>
        <w:tc>
          <w:tcPr>
            <w:tcW w:w="3920" w:type="dxa"/>
            <w:vAlign w:val="bottom"/>
            <w:gridSpan w:val="10"/>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80" w:type="dxa"/>
            <w:vAlign w:val="bottom"/>
            <w:gridSpan w:val="6"/>
            <w:vMerge w:val="continue"/>
          </w:tcPr>
          <w:p>
            <w:pPr>
              <w:spacing w:after="0"/>
              <w:rPr>
                <w:sz w:val="11"/>
                <w:szCs w:val="11"/>
                <w:color w:val="auto"/>
              </w:rPr>
            </w:pPr>
          </w:p>
        </w:tc>
        <w:tc>
          <w:tcPr>
            <w:tcW w:w="39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60" w:type="dxa"/>
            <w:vAlign w:val="bottom"/>
            <w:gridSpan w:val="3"/>
          </w:tcPr>
          <w:p>
            <w:pPr>
              <w:ind w:left="46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0000FF"/>
              </w:rPr>
              <w:t>BLOOMINGTON MN</w:t>
            </w:r>
          </w:p>
        </w:tc>
        <w:tc>
          <w:tcPr>
            <w:tcW w:w="1200" w:type="dxa"/>
            <w:vAlign w:val="bottom"/>
          </w:tcPr>
          <w:p>
            <w:pPr>
              <w:ind w:left="60"/>
              <w:spacing w:after="0"/>
              <w:rPr>
                <w:sz w:val="20"/>
                <w:szCs w:val="20"/>
                <w:color w:val="auto"/>
              </w:rPr>
            </w:pPr>
            <w:r>
              <w:rPr>
                <w:rFonts w:ascii="Arial" w:cs="Arial" w:eastAsia="Arial" w:hAnsi="Arial"/>
                <w:sz w:val="18"/>
                <w:szCs w:val="18"/>
                <w:color w:val="0000FF"/>
              </w:rPr>
              <w:t>55420-1196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240" w:type="dxa"/>
            <w:vAlign w:val="bottom"/>
            <w:gridSpan w:val="8"/>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24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340"/>
              <w:spacing w:after="0"/>
              <w:rPr>
                <w:sz w:val="20"/>
                <w:szCs w:val="20"/>
                <w:color w:val="auto"/>
              </w:rPr>
            </w:pPr>
            <w:r>
              <w:rPr>
                <w:rFonts w:ascii="Arial" w:cs="Arial" w:eastAsia="Arial" w:hAnsi="Arial"/>
                <w:sz w:val="14"/>
                <w:szCs w:val="14"/>
                <w:color w:val="auto"/>
                <w:w w:val="94"/>
              </w:rPr>
              <w:t>Person</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2"/>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700"/>
              <w:spacing w:after="0"/>
              <w:rPr>
                <w:sz w:val="20"/>
                <w:szCs w:val="20"/>
                <w:color w:val="auto"/>
              </w:rPr>
            </w:pPr>
            <w:r>
              <w:rPr>
                <w:rFonts w:ascii="Arial" w:cs="Arial" w:eastAsia="Arial" w:hAnsi="Arial"/>
                <w:sz w:val="18"/>
                <w:szCs w:val="18"/>
                <w:color w:val="0000FF"/>
              </w:rPr>
              <w:t>09/22/2011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8,464</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11.812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213,392.732</w:t>
            </w:r>
            <w:r>
              <w:rPr>
                <w:rFonts w:ascii="Arial" w:cs="Arial" w:eastAsia="Arial" w:hAnsi="Arial"/>
                <w:sz w:val="22"/>
                <w:szCs w:val="22"/>
                <w:color w:val="008000"/>
                <w:w w:val="84"/>
                <w:vertAlign w:val="superscript"/>
              </w:rPr>
              <w:t>(1)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40" w:type="dxa"/>
            <w:vAlign w:val="bottom"/>
            <w:gridSpan w:val="3"/>
          </w:tcPr>
          <w:p>
            <w:pPr>
              <w:ind w:left="700"/>
              <w:spacing w:after="0"/>
              <w:rPr>
                <w:sz w:val="20"/>
                <w:szCs w:val="20"/>
                <w:color w:val="auto"/>
              </w:rPr>
            </w:pPr>
            <w:r>
              <w:rPr>
                <w:rFonts w:ascii="Arial" w:cs="Arial" w:eastAsia="Arial" w:hAnsi="Arial"/>
                <w:sz w:val="18"/>
                <w:szCs w:val="18"/>
                <w:color w:val="0000FF"/>
              </w:rPr>
              <w:t>09/22/2011</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Pr>
          <w:p>
            <w:pPr>
              <w:ind w:left="200"/>
              <w:spacing w:after="0"/>
              <w:rPr>
                <w:sz w:val="20"/>
                <w:szCs w:val="20"/>
                <w:color w:val="auto"/>
              </w:rPr>
            </w:pPr>
            <w:r>
              <w:rPr>
                <w:rFonts w:ascii="Arial" w:cs="Arial" w:eastAsia="Arial" w:hAnsi="Arial"/>
                <w:sz w:val="18"/>
                <w:szCs w:val="18"/>
                <w:color w:val="0000FF"/>
              </w:rPr>
              <w:t>2,017</w:t>
            </w:r>
          </w:p>
        </w:tc>
        <w:tc>
          <w:tcPr>
            <w:tcW w:w="580" w:type="dxa"/>
            <w:vAlign w:val="bottom"/>
          </w:tcPr>
          <w:p>
            <w:pPr>
              <w:ind w:left="220"/>
              <w:spacing w:after="0"/>
              <w:rPr>
                <w:sz w:val="20"/>
                <w:szCs w:val="20"/>
                <w:color w:val="auto"/>
              </w:rPr>
            </w:pPr>
            <w:r>
              <w:rPr>
                <w:rFonts w:ascii="Arial" w:cs="Arial" w:eastAsia="Arial" w:hAnsi="Arial"/>
                <w:sz w:val="18"/>
                <w:szCs w:val="18"/>
                <w:color w:val="0000FF"/>
              </w:rPr>
              <w:t>D</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49.57</w:t>
            </w:r>
          </w:p>
        </w:tc>
        <w:tc>
          <w:tcPr>
            <w:tcW w:w="1300" w:type="dxa"/>
            <w:vAlign w:val="bottom"/>
            <w:gridSpan w:val="3"/>
          </w:tcPr>
          <w:p>
            <w:pPr>
              <w:jc w:val="center"/>
              <w:spacing w:after="0"/>
              <w:rPr>
                <w:sz w:val="20"/>
                <w:szCs w:val="20"/>
                <w:color w:val="auto"/>
              </w:rPr>
            </w:pPr>
            <w:r>
              <w:rPr>
                <w:rFonts w:ascii="Arial" w:cs="Arial" w:eastAsia="Arial" w:hAnsi="Arial"/>
                <w:sz w:val="18"/>
                <w:szCs w:val="18"/>
                <w:color w:val="0000FF"/>
                <w:w w:val="87"/>
              </w:rPr>
              <w:t>211,375.732</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5"/>
              </w:rPr>
              <w:t>31,766.63</w:t>
            </w:r>
            <w:r>
              <w:rPr>
                <w:rFonts w:ascii="Arial" w:cs="Arial" w:eastAsia="Arial" w:hAnsi="Arial"/>
                <w:sz w:val="22"/>
                <w:szCs w:val="22"/>
                <w:color w:val="008000"/>
                <w:w w:val="85"/>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Performance Share Units</w:t>
            </w:r>
          </w:p>
        </w:tc>
        <w:tc>
          <w:tcPr>
            <w:tcW w:w="1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47,897.404</w:t>
            </w:r>
            <w:r>
              <w:rPr>
                <w:rFonts w:ascii="Arial" w:cs="Arial" w:eastAsia="Arial" w:hAnsi="Arial"/>
                <w:sz w:val="22"/>
                <w:szCs w:val="22"/>
                <w:color w:val="008000"/>
                <w:w w:val="85"/>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9"/>
          </w:tcPr>
          <w:p>
            <w:pPr>
              <w:ind w:left="7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Incentive</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40" w:type="dxa"/>
            <w:vAlign w:val="bottom"/>
            <w:vMerge w:val="restart"/>
          </w:tcPr>
          <w:p>
            <w:pPr>
              <w:jc w:val="right"/>
              <w:ind w:right="11"/>
              <w:spacing w:after="0"/>
              <w:rPr>
                <w:sz w:val="20"/>
                <w:szCs w:val="20"/>
                <w:color w:val="auto"/>
              </w:rPr>
            </w:pPr>
            <w:r>
              <w:rPr>
                <w:rFonts w:ascii="Arial" w:cs="Arial" w:eastAsia="Arial" w:hAnsi="Arial"/>
                <w:sz w:val="18"/>
                <w:szCs w:val="18"/>
                <w:color w:val="0000FF"/>
              </w:rPr>
              <w:t>8,464</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11.8125</w:t>
            </w:r>
          </w:p>
        </w:tc>
        <w:tc>
          <w:tcPr>
            <w:tcW w:w="10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09/22/2011</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5"/>
                <w:szCs w:val="5"/>
                <w:color w:val="auto"/>
              </w:rPr>
            </w:pPr>
          </w:p>
        </w:tc>
        <w:tc>
          <w:tcPr>
            <w:tcW w:w="72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8,464</w:t>
            </w:r>
          </w:p>
        </w:tc>
        <w:tc>
          <w:tcPr>
            <w:tcW w:w="82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w w:val="99"/>
              </w:rPr>
              <w:t>12/04/2001</w:t>
            </w:r>
          </w:p>
        </w:tc>
        <w:tc>
          <w:tcPr>
            <w:tcW w:w="7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w w:val="94"/>
              </w:rPr>
              <w:t>12/04/2011</w:t>
            </w: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20" w:type="dxa"/>
            <w:vAlign w:val="bottom"/>
            <w:gridSpan w:val="2"/>
            <w:vMerge w:val="restart"/>
          </w:tcPr>
          <w:p>
            <w:pPr>
              <w:jc w:val="right"/>
              <w:ind w:right="29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w w:val="76"/>
              </w:rPr>
              <w:t>0</w:t>
            </w:r>
          </w:p>
        </w:tc>
        <w:tc>
          <w:tcPr>
            <w:tcW w:w="320" w:type="dxa"/>
            <w:vAlign w:val="bottom"/>
          </w:tcPr>
          <w:p>
            <w:pPr>
              <w:spacing w:after="0"/>
              <w:rPr>
                <w:sz w:val="5"/>
                <w:szCs w:val="5"/>
                <w:color w:val="auto"/>
              </w:rPr>
            </w:pPr>
          </w:p>
        </w:tc>
        <w:tc>
          <w:tcPr>
            <w:tcW w:w="6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D</w:t>
            </w: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80" w:type="dxa"/>
            <w:vAlign w:val="bottom"/>
            <w:vMerge w:val="restart"/>
          </w:tcPr>
          <w:p>
            <w:pPr>
              <w:jc w:val="right"/>
              <w:ind w:right="34"/>
              <w:spacing w:after="0"/>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1,948.427 shares of common stock acquired by the reporting person under The Toro Company Dividend Reinvestment Plan since the date of his last report.</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300.484 shares acquired under the dividend reinvestment feature of The Toro Company Investment, Savings &amp; ESOP (IS&amp;ESOP); and 58.142 shares acquired through issuer annual investment fund contributions to the IS&amp;ESOP.</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454.506 Performance Share Units acquired by the reporting person under the dividend reinvestment feature of The Toro Company Deferred Compensation Plan for Officers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09/26/2011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Amy E. Dahl, Timothy P. Dordell and Nancy A. McGrath, signing singly, true and lawful attorneys-in-fact relative to the filings identified below in connection with the undersigned's derivative and non-derivative securities of The Toro Company (the ?Company?) to:</w:t>
      </w:r>
    </w:p>
    <w:p>
      <w:pPr>
        <w:spacing w:after="0" w:line="210" w:lineRule="exact"/>
        <w:rPr>
          <w:sz w:val="20"/>
          <w:szCs w:val="20"/>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Michael J. Hoffman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J. Hoffman</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03/29/2011</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2019-12-17T00:37:34Z</dcterms:created>
  <dcterms:modified xsi:type="dcterms:W3CDTF">2019-12-17T00:37:34Z</dcterms:modified>
</cp:coreProperties>
</file>