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3979545</wp:posOffset>
            </wp:positionH>
            <wp:positionV relativeFrom="paragraph">
              <wp:posOffset>-624840</wp:posOffset>
            </wp:positionV>
            <wp:extent cx="57785" cy="638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741680</wp:posOffset>
            </wp:positionV>
            <wp:extent cx="6993890" cy="7157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715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MOELLER PETER D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640" w:firstLine="2"/>
        <w:spacing w:after="0" w:line="25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9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9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VP, Undg, Spec Con &amp; Inl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3.073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Moeller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6,210.307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4,175.829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3,162.14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2,634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2,634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2,634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78.47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12/22/2035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7,477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7,477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20,632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20,632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946.722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946.722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-3148965</wp:posOffset>
            </wp:positionV>
            <wp:extent cx="29210" cy="31540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15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three equal annual installments commencing on the first anniversary of the December 22, 2025 grant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22, 2025 grant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full on October 10, 2028, which is the third anniversary of the date of grant.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March 1, 2023 grant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423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-20955</wp:posOffset>
            </wp:positionV>
            <wp:extent cx="3009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-86360</wp:posOffset>
            </wp:positionV>
            <wp:extent cx="4838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2539" w:firstLine="2"/>
        <w:spacing w:after="0" w:line="335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6513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2025-12-23T15:29:04Z</dcterms:created>
  <dcterms:modified xsi:type="dcterms:W3CDTF">2025-12-23T15:29:04Z</dcterms:modified>
</cp:coreProperties>
</file>