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19, 2018</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56" w:lineRule="exact"/>
        <w:rPr>
          <w:sz w:val="24"/>
          <w:szCs w:val="24"/>
          <w:color w:val="auto"/>
        </w:rPr>
      </w:pPr>
    </w:p>
    <w:tbl>
      <w:tblPr>
        <w:tblLayout w:type="fixed"/>
        <w:tblInd w:w="920" w:type="dxa"/>
        <w:tblCellMar>
          <w:top w:w="0" w:type="dxa"/>
          <w:left w:w="0" w:type="dxa"/>
          <w:bottom w:w="0" w:type="dxa"/>
          <w:right w:w="0" w:type="dxa"/>
        </w:tblCellMar>
      </w:tblPr>
      <w:tr>
        <w:trPr>
          <w:trHeight w:val="256"/>
        </w:trPr>
        <w:tc>
          <w:tcPr>
            <w:tcW w:w="3860" w:type="dxa"/>
            <w:vAlign w:val="bottom"/>
          </w:tcPr>
          <w:p>
            <w:pPr>
              <w:jc w:val="center"/>
              <w:ind w:right="1685"/>
              <w:spacing w:after="0"/>
              <w:rPr>
                <w:sz w:val="20"/>
                <w:szCs w:val="20"/>
                <w:color w:val="auto"/>
              </w:rPr>
            </w:pPr>
            <w:r>
              <w:rPr>
                <w:rFonts w:ascii="Arial" w:cs="Arial" w:eastAsia="Arial" w:hAnsi="Arial"/>
                <w:sz w:val="20"/>
                <w:szCs w:val="20"/>
                <w:b w:val="1"/>
                <w:bCs w:val="1"/>
                <w:color w:val="auto"/>
                <w:w w:val="91"/>
              </w:rPr>
              <w:t>Delaware</w:t>
            </w:r>
          </w:p>
        </w:tc>
        <w:tc>
          <w:tcPr>
            <w:tcW w:w="2080" w:type="dxa"/>
            <w:vAlign w:val="bottom"/>
            <w:gridSpan w:val="2"/>
          </w:tcPr>
          <w:p>
            <w:pPr>
              <w:jc w:val="right"/>
              <w:ind w:right="800"/>
              <w:spacing w:after="0"/>
              <w:rPr>
                <w:sz w:val="20"/>
                <w:szCs w:val="20"/>
                <w:color w:val="auto"/>
              </w:rPr>
            </w:pPr>
            <w:r>
              <w:rPr>
                <w:rFonts w:ascii="Arial" w:cs="Arial" w:eastAsia="Arial" w:hAnsi="Arial"/>
                <w:sz w:val="20"/>
                <w:szCs w:val="20"/>
                <w:b w:val="1"/>
                <w:bCs w:val="1"/>
                <w:color w:val="auto"/>
              </w:rPr>
              <w:t>1-8649</w:t>
            </w:r>
          </w:p>
        </w:tc>
        <w:tc>
          <w:tcPr>
            <w:tcW w:w="4000" w:type="dxa"/>
            <w:vAlign w:val="bottom"/>
            <w:gridSpan w:val="2"/>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3860" w:type="dxa"/>
            <w:vAlign w:val="bottom"/>
          </w:tcPr>
          <w:p>
            <w:pPr>
              <w:jc w:val="center"/>
              <w:ind w:right="1705"/>
              <w:spacing w:after="0"/>
              <w:rPr>
                <w:sz w:val="20"/>
                <w:szCs w:val="20"/>
                <w:color w:val="auto"/>
              </w:rPr>
            </w:pPr>
            <w:r>
              <w:rPr>
                <w:rFonts w:ascii="Arial" w:cs="Arial" w:eastAsia="Arial" w:hAnsi="Arial"/>
                <w:sz w:val="16"/>
                <w:szCs w:val="16"/>
                <w:color w:val="auto"/>
                <w:w w:val="94"/>
              </w:rPr>
              <w:t>(State of Incorporation)</w:t>
            </w:r>
          </w:p>
        </w:tc>
        <w:tc>
          <w:tcPr>
            <w:tcW w:w="20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(Commission File Number)</w:t>
            </w:r>
          </w:p>
        </w:tc>
        <w:tc>
          <w:tcPr>
            <w:tcW w:w="4000" w:type="dxa"/>
            <w:vAlign w:val="bottom"/>
            <w:gridSpan w:val="2"/>
          </w:tcPr>
          <w:p>
            <w:pPr>
              <w:jc w:val="center"/>
              <w:ind w:left="1265"/>
              <w:spacing w:after="0"/>
              <w:rPr>
                <w:sz w:val="20"/>
                <w:szCs w:val="20"/>
                <w:color w:val="auto"/>
              </w:rPr>
            </w:pPr>
            <w:r>
              <w:rPr>
                <w:rFonts w:ascii="Arial" w:cs="Arial" w:eastAsia="Arial" w:hAnsi="Arial"/>
                <w:sz w:val="16"/>
                <w:szCs w:val="16"/>
                <w:color w:val="auto"/>
                <w:w w:val="94"/>
              </w:rPr>
              <w:t>(I.R.S. Employer Identification Number)</w:t>
            </w:r>
          </w:p>
        </w:tc>
      </w:tr>
      <w:tr>
        <w:trPr>
          <w:trHeight w:val="658"/>
        </w:trPr>
        <w:tc>
          <w:tcPr>
            <w:tcW w:w="3860" w:type="dxa"/>
            <w:vAlign w:val="bottom"/>
          </w:tcPr>
          <w:p>
            <w:pPr>
              <w:jc w:val="center"/>
              <w:ind w:left="405"/>
              <w:spacing w:after="0"/>
              <w:rPr>
                <w:sz w:val="20"/>
                <w:szCs w:val="20"/>
                <w:color w:val="auto"/>
              </w:rPr>
            </w:pPr>
            <w:r>
              <w:rPr>
                <w:rFonts w:ascii="Arial" w:cs="Arial" w:eastAsia="Arial" w:hAnsi="Arial"/>
                <w:sz w:val="20"/>
                <w:szCs w:val="20"/>
                <w:b w:val="1"/>
                <w:bCs w:val="1"/>
                <w:color w:val="auto"/>
                <w:w w:val="87"/>
              </w:rPr>
              <w:t>8111 Lyndale Avenue South</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4"/>
        </w:trPr>
        <w:tc>
          <w:tcPr>
            <w:tcW w:w="3860" w:type="dxa"/>
            <w:vAlign w:val="bottom"/>
          </w:tcPr>
          <w:p>
            <w:pPr>
              <w:jc w:val="center"/>
              <w:ind w:left="405"/>
              <w:spacing w:after="0"/>
              <w:rPr>
                <w:sz w:val="20"/>
                <w:szCs w:val="20"/>
                <w:color w:val="auto"/>
              </w:rPr>
            </w:pPr>
            <w:r>
              <w:rPr>
                <w:rFonts w:ascii="Arial" w:cs="Arial" w:eastAsia="Arial" w:hAnsi="Arial"/>
                <w:sz w:val="20"/>
                <w:szCs w:val="20"/>
                <w:b w:val="1"/>
                <w:bCs w:val="1"/>
                <w:color w:val="auto"/>
                <w:w w:val="89"/>
              </w:rPr>
              <w:t>Bloomington, Minnesota</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jc w:val="right"/>
              <w:ind w:right="805"/>
              <w:spacing w:after="0"/>
              <w:rPr>
                <w:sz w:val="20"/>
                <w:szCs w:val="20"/>
                <w:color w:val="auto"/>
              </w:rPr>
            </w:pPr>
            <w:r>
              <w:rPr>
                <w:rFonts w:ascii="Arial" w:cs="Arial" w:eastAsia="Arial" w:hAnsi="Arial"/>
                <w:sz w:val="20"/>
                <w:szCs w:val="20"/>
                <w:b w:val="1"/>
                <w:bCs w:val="1"/>
                <w:color w:val="auto"/>
              </w:rPr>
              <w:t>55420</w:t>
            </w:r>
          </w:p>
        </w:tc>
        <w:tc>
          <w:tcPr>
            <w:tcW w:w="1720" w:type="dxa"/>
            <w:vAlign w:val="bottom"/>
          </w:tcPr>
          <w:p>
            <w:pPr>
              <w:spacing w:after="0"/>
              <w:rPr>
                <w:sz w:val="24"/>
                <w:szCs w:val="24"/>
                <w:color w:val="auto"/>
              </w:rPr>
            </w:pPr>
          </w:p>
        </w:tc>
      </w:tr>
      <w:tr>
        <w:trPr>
          <w:trHeight w:val="23"/>
        </w:trPr>
        <w:tc>
          <w:tcPr>
            <w:tcW w:w="3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254"/>
        </w:trPr>
        <w:tc>
          <w:tcPr>
            <w:tcW w:w="3860" w:type="dxa"/>
            <w:vAlign w:val="bottom"/>
          </w:tcPr>
          <w:p>
            <w:pPr>
              <w:jc w:val="center"/>
              <w:ind w:left="385"/>
              <w:spacing w:after="0"/>
              <w:rPr>
                <w:sz w:val="20"/>
                <w:szCs w:val="20"/>
                <w:color w:val="auto"/>
              </w:rPr>
            </w:pPr>
            <w:r>
              <w:rPr>
                <w:rFonts w:ascii="Arial" w:cs="Arial" w:eastAsia="Arial" w:hAnsi="Arial"/>
                <w:sz w:val="20"/>
                <w:szCs w:val="20"/>
                <w:color w:val="auto"/>
                <w:w w:val="91"/>
              </w:rPr>
              <w:t>(Address of principal executive offices)</w:t>
            </w:r>
          </w:p>
        </w:tc>
        <w:tc>
          <w:tcPr>
            <w:tcW w:w="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00" w:type="dxa"/>
            <w:vAlign w:val="bottom"/>
            <w:gridSpan w:val="2"/>
          </w:tcPr>
          <w:p>
            <w:pPr>
              <w:jc w:val="center"/>
              <w:ind w:right="1720"/>
              <w:spacing w:after="0"/>
              <w:rPr>
                <w:sz w:val="20"/>
                <w:szCs w:val="20"/>
                <w:color w:val="auto"/>
              </w:rPr>
            </w:pPr>
            <w:r>
              <w:rPr>
                <w:rFonts w:ascii="Arial" w:cs="Arial" w:eastAsia="Arial" w:hAnsi="Arial"/>
                <w:sz w:val="20"/>
                <w:szCs w:val="20"/>
                <w:color w:val="auto"/>
                <w:w w:val="93"/>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(952)888-8801</w:t>
      </w:r>
    </w:p>
    <w:p>
      <w:pPr>
        <w:spacing w:after="0" w:line="384" w:lineRule="exact"/>
        <w:rPr>
          <w:sz w:val="24"/>
          <w:szCs w:val="24"/>
          <w:color w:val="auto"/>
        </w:rPr>
      </w:pPr>
    </w:p>
    <w:p>
      <w:pPr>
        <w:jc w:val="center"/>
        <w:ind w:right="100"/>
        <w:spacing w:after="0"/>
        <w:rPr>
          <w:sz w:val="20"/>
          <w:szCs w:val="20"/>
          <w:color w:val="auto"/>
        </w:rPr>
      </w:pPr>
      <w:r>
        <w:rPr>
          <w:rFonts w:ascii="Arial" w:cs="Arial" w:eastAsia="Arial" w:hAnsi="Arial"/>
          <w:sz w:val="20"/>
          <w:szCs w:val="20"/>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1908810</wp:posOffset>
            </wp:positionH>
            <wp:positionV relativeFrom="paragraph">
              <wp:posOffset>27305</wp:posOffset>
            </wp:positionV>
            <wp:extent cx="3387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4"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5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(17 CFR §230.405) or Rule 12b-2 of the Securities Exchange Act of 1934 (17 CFR 240.12b-2).</w:t>
      </w:r>
    </w:p>
    <w:p>
      <w:pPr>
        <w:spacing w:after="0" w:line="140" w:lineRule="exact"/>
        <w:rPr>
          <w:sz w:val="24"/>
          <w:szCs w:val="24"/>
          <w:color w:val="auto"/>
        </w:rPr>
      </w:pPr>
    </w:p>
    <w:p>
      <w:pPr>
        <w:ind w:left="90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6" w:lineRule="exact"/>
        <w:rPr>
          <w:sz w:val="24"/>
          <w:szCs w:val="24"/>
          <w:color w:val="auto"/>
        </w:rPr>
      </w:pPr>
    </w:p>
    <w:p>
      <w:pPr>
        <w:ind w:right="360"/>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1 - Registrant’s Business and Operations</w:t>
      </w:r>
    </w:p>
    <w:p>
      <w:pPr>
        <w:spacing w:after="0" w:line="22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35" w:lineRule="exact"/>
        <w:rPr>
          <w:sz w:val="20"/>
          <w:szCs w:val="20"/>
          <w:color w:val="auto"/>
        </w:rPr>
      </w:pPr>
    </w:p>
    <w:p>
      <w:pPr>
        <w:ind w:right="120" w:firstLine="648"/>
        <w:spacing w:after="0" w:line="274" w:lineRule="auto"/>
        <w:rPr>
          <w:sz w:val="20"/>
          <w:szCs w:val="20"/>
          <w:color w:val="auto"/>
        </w:rPr>
      </w:pPr>
      <w:r>
        <w:rPr>
          <w:rFonts w:ascii="Arial" w:cs="Arial" w:eastAsia="Arial" w:hAnsi="Arial"/>
          <w:sz w:val="18"/>
          <w:szCs w:val="18"/>
          <w:color w:val="auto"/>
        </w:rPr>
        <w:t>On June 19, 2018, The Toro Company (“Toro”) and Toro Luxembourg S. a. r. l. (collectively, the “Borrowers”), entered into a credit agreement (the “Credit Agreement”) with certain lenders, Bank of America, N.A., as administrative agent, swingline lender and letter of credit issuer (the “Administrative Agent”), and Wells Fargo Bank, National Association as syndication agent (the “Syndication Agent”). The Credit Agreement provides for an aggregate credit commitment to the Borrowers pursuant to a $600 million unsecured senior five-year revolving credit facility, including a $10 million sublimit for the issuance of standby letters of credit and a $30 million sublimit for swingline loans (the “Facility”). At the election of the Borrowers, the maximum principal amount available under the Facility may be increased by an amount up to $300 million in the aggregate. Additional subsidiaries of Toro may be designated as Borrowers at the election of Toro.</w:t>
      </w:r>
    </w:p>
    <w:p>
      <w:pPr>
        <w:spacing w:after="0" w:line="183"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color w:val="auto"/>
        </w:rPr>
        <w:t>Funds are available under the Credit Agreement for working capital, capital expenditures and other lawful purposes, including, without limitation, certain acquisitions, stock repurchases and to replace and refinance borrowings outstanding under Toro’s Prior Credit Agreement (as defined below). Loans under the Facility are available in U.S. Dollars, Euros, British Pounds Sterling, Australian Dollars, Mexican Pesos and Canadian Dollars and, at the discretion of the lenders, other currencies. As of June 19, 2018, borrowings outstanding under the Prior Credit Agreement were $91 million, including the issuance of standby letters of credit in an aggregate amount of $1.6 million.</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In addition to certain initial fees payable to the Administrative Agent, the Syndication Agent and their respective affiliates, the Borrowers are obligated to pay a facility fee based on the availability of commitments under the Facility which is payable quarterly in arrears to each lender. At the option of the Borrowers, any loan under the Facility (other than swingline loans) will bear interest at a variable rate generally based on LIBOR or an alternative variable rate based on the highest of the Bank of America prime rate, the federal funds rate or a rate generally based on LIBOR, in each case depending on the leverage ratio (as measured quarterly and defined as the ratio of (a) total indebtedness to (b) consolidated EBIT (earnings before interest and taxes) plus depreciation and amortization expense) and debt rating of Toro, each as identified in the Credit Agreement. Swingline loans bear interest at a rate determined by the swingline lender or an alternative variable rate based on the highest of the Bank of America prime rate, the federal funds rate or a rate generally based on LIBOR, in each case depending on the leverage ratio and debt rating of Toro. Interest is payable quarterly in arrears.</w:t>
      </w:r>
    </w:p>
    <w:p>
      <w:pPr>
        <w:spacing w:after="0" w:line="18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8"/>
          <w:szCs w:val="18"/>
          <w:color w:val="auto"/>
        </w:rPr>
        <w:t>The Credit Agreement contains customary covenants regarding Toro and its subsidiaries, including, without limitation: financial covenants, such as the maintenance of minimum interest coverage and maximum leverage ratios; and negative covenants, which, among other things, limit dividends, disposition of assets, consolidations and mergers, liens and other matters customarily restricted in such agreements. Most of these restrictions are subject to certain minimum thresholds and exceptions. The Credit Agreement also contains customary events of default, including, without limitation, payment defaults, material inaccuracy of representations and warranties, covenant defaults, bankruptcy and insolvency proceedings, cross-defaults to certain other agreements, and change of control.</w:t>
      </w:r>
    </w:p>
    <w:p>
      <w:pPr>
        <w:spacing w:after="0" w:line="179"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Bank of America Merrill Lynch, an affiliate of the Administrative Agent, and Wells Fargo Securities, LLC, an affiliate of the Syndication Agent, served as joint lead arrangers and joint bookrunners for the Facility, for which they each received customary compensation. In addition, the Administrative Agent, the Syndication Agent and certain of the other lenders and their respective affiliates have in the past performed, and may in the future from time to time perform, investment banking, financial advisory, lending and/or commercial banking services for Toro and its subsidiaries, for which service they have in the past received, and may in the future receive, customary compensation and reimbursement of expenses.</w:t>
      </w:r>
    </w:p>
    <w:p>
      <w:pPr>
        <w:spacing w:after="0" w:line="210" w:lineRule="exact"/>
        <w:rPr>
          <w:sz w:val="20"/>
          <w:szCs w:val="20"/>
          <w:color w:val="auto"/>
        </w:rPr>
      </w:pPr>
    </w:p>
    <w:p>
      <w:pPr>
        <w:jc w:val="both"/>
        <w:ind w:right="560" w:firstLine="648"/>
        <w:spacing w:after="0" w:line="250" w:lineRule="auto"/>
        <w:rPr>
          <w:sz w:val="20"/>
          <w:szCs w:val="20"/>
          <w:color w:val="auto"/>
        </w:rPr>
      </w:pPr>
      <w:r>
        <w:rPr>
          <w:rFonts w:ascii="Arial" w:cs="Arial" w:eastAsia="Arial" w:hAnsi="Arial"/>
          <w:sz w:val="20"/>
          <w:szCs w:val="20"/>
          <w:color w:val="auto"/>
        </w:rPr>
        <w:t>The foregoing description of the Credit Agreement is a summary of the material terms of such agreement, does not purport to be complete and is qualified in its entirety by reference to the complete text of the agreement, a copy of which is filed as Exhibit 10.1 to this Current Report on Form 8-K and is incorporated herein by reference.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89" w:right="23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20"/>
          <w:szCs w:val="20"/>
          <w:b w:val="1"/>
          <w:bCs w:val="1"/>
          <w:color w:val="auto"/>
        </w:rPr>
        <w:t>Item 1.02</w:t>
      </w:r>
      <w:r>
        <w:rPr>
          <w:sz w:val="20"/>
          <w:szCs w:val="20"/>
          <w:color w:val="auto"/>
        </w:rPr>
        <w:tab/>
      </w:r>
      <w:r>
        <w:rPr>
          <w:rFonts w:ascii="Arial" w:cs="Arial" w:eastAsia="Arial" w:hAnsi="Arial"/>
          <w:sz w:val="18"/>
          <w:szCs w:val="18"/>
          <w:b w:val="1"/>
          <w:bCs w:val="1"/>
          <w:color w:val="auto"/>
        </w:rPr>
        <w:t>Termination of a Material Definitive Agreement.</w:t>
      </w:r>
    </w:p>
    <w:p>
      <w:pPr>
        <w:spacing w:after="0" w:line="249" w:lineRule="exact"/>
        <w:rPr>
          <w:sz w:val="20"/>
          <w:szCs w:val="20"/>
          <w:color w:val="auto"/>
        </w:rPr>
      </w:pPr>
    </w:p>
    <w:p>
      <w:pPr>
        <w:jc w:val="both"/>
        <w:ind w:right="80" w:firstLine="648"/>
        <w:spacing w:after="0" w:line="307" w:lineRule="auto"/>
        <w:rPr>
          <w:sz w:val="20"/>
          <w:szCs w:val="20"/>
          <w:color w:val="auto"/>
        </w:rPr>
      </w:pPr>
      <w:r>
        <w:rPr>
          <w:rFonts w:ascii="Arial" w:cs="Arial" w:eastAsia="Arial" w:hAnsi="Arial"/>
          <w:sz w:val="18"/>
          <w:szCs w:val="18"/>
          <w:color w:val="auto"/>
        </w:rPr>
        <w:t>In connection with the execution of the Credit Agreement described above, on June 19, 2018, the prior $280 million unsecured credit facility as evidenced by that certain Credit Agreement, dated as of October 27, 2014 (the “Prior Credit Agreement”) was terminated. The Prior Credit Agreement was scheduled to expire on October 27, 2019. The material relationships between the Borrowers and their affiliates, and the parties to the Prior Credit Agreement were the same as described above. The material terms and conditions of the Prior Credit Agreement were substantially similar to the material terms and conditions of the Credit Agreement described above, with the exception of the provisions in the Prior Credit Agreement relating to a term loan contemplated in connection with Toro’s previous acquisition of substantially all of the assets of Northern Star Industries, Inc.’s BOSS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professional snow and ice management business.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2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Arrangement of a Registrant.</w:t>
      </w:r>
    </w:p>
    <w:p>
      <w:pPr>
        <w:spacing w:after="0" w:line="213"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information described above under “Section 1 - Registrant’s Business and Operations - Item 1.01 Entry into a Material Definitive Agreement”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2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20" w:type="dxa"/>
            <w:vAlign w:val="bottom"/>
          </w:tcPr>
          <w:p>
            <w:pPr>
              <w:ind w:left="40"/>
              <w:spacing w:after="0"/>
              <w:rPr>
                <w:sz w:val="20"/>
                <w:szCs w:val="20"/>
                <w:color w:val="auto"/>
              </w:rPr>
            </w:pPr>
            <w:r>
              <w:rPr>
                <w:rFonts w:ascii="Arial" w:cs="Arial" w:eastAsia="Arial" w:hAnsi="Arial"/>
                <w:sz w:val="20"/>
                <w:szCs w:val="20"/>
                <w:b w:val="1"/>
                <w:bCs w:val="1"/>
                <w:color w:val="auto"/>
              </w:rPr>
              <w:t>Exhibit No.</w:t>
            </w:r>
          </w:p>
        </w:tc>
        <w:tc>
          <w:tcPr>
            <w:tcW w:w="10000" w:type="dxa"/>
            <w:vAlign w:val="bottom"/>
            <w:gridSpan w:val="4"/>
          </w:tcPr>
          <w:p>
            <w:pPr>
              <w:ind w:left="450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1420" w:type="dxa"/>
            <w:vAlign w:val="bottom"/>
            <w:tcBorders>
              <w:bottom w:val="single" w:sz="8" w:color="auto"/>
            </w:tcBorders>
          </w:tcPr>
          <w:p>
            <w:pPr>
              <w:spacing w:after="0"/>
              <w:rPr>
                <w:sz w:val="2"/>
                <w:szCs w:val="2"/>
                <w:color w:val="auto"/>
              </w:rPr>
            </w:pPr>
          </w:p>
        </w:tc>
        <w:tc>
          <w:tcPr>
            <w:tcW w:w="9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0"/>
        </w:trPr>
        <w:tc>
          <w:tcPr>
            <w:tcW w:w="1420" w:type="dxa"/>
            <w:vAlign w:val="bottom"/>
          </w:tcPr>
          <w:p>
            <w:pPr>
              <w:ind w:left="40"/>
              <w:spacing w:after="0" w:line="209" w:lineRule="exact"/>
              <w:rPr>
                <w:sz w:val="20"/>
                <w:szCs w:val="20"/>
                <w:color w:val="auto"/>
              </w:rPr>
            </w:pPr>
            <w:r>
              <w:rPr>
                <w:rFonts w:ascii="Arial" w:cs="Arial" w:eastAsia="Arial" w:hAnsi="Arial"/>
                <w:sz w:val="20"/>
                <w:szCs w:val="20"/>
                <w:color w:val="auto"/>
              </w:rPr>
              <w:t>10.1</w:t>
            </w:r>
          </w:p>
        </w:tc>
        <w:tc>
          <w:tcPr>
            <w:tcW w:w="10000" w:type="dxa"/>
            <w:vAlign w:val="bottom"/>
            <w:gridSpan w:val="4"/>
          </w:tcPr>
          <w:p>
            <w:pPr>
              <w:spacing w:after="0" w:line="209" w:lineRule="exact"/>
              <w:rPr>
                <w:rFonts w:ascii="Arial" w:cs="Arial" w:eastAsia="Arial" w:hAnsi="Arial"/>
                <w:sz w:val="20"/>
                <w:szCs w:val="20"/>
                <w:color w:val="0000FF"/>
                <w:w w:val="90"/>
              </w:rPr>
            </w:pPr>
            <w:hyperlink w:anchor="page5">
              <w:r>
                <w:rPr>
                  <w:rFonts w:ascii="Arial" w:cs="Arial" w:eastAsia="Arial" w:hAnsi="Arial"/>
                  <w:sz w:val="20"/>
                  <w:szCs w:val="20"/>
                  <w:color w:val="0000FF"/>
                  <w:w w:val="90"/>
                </w:rPr>
                <w:t>Credit Agreement dated as of June 19, 2018 among The Toro Company, Toro Luxembourg S. a. r. l. and certain subsidiaries,</w:t>
              </w:r>
            </w:hyperlink>
          </w:p>
        </w:tc>
      </w:tr>
      <w:tr>
        <w:trPr>
          <w:trHeight w:val="210"/>
        </w:trPr>
        <w:tc>
          <w:tcPr>
            <w:tcW w:w="1420" w:type="dxa"/>
            <w:vAlign w:val="bottom"/>
          </w:tcPr>
          <w:p>
            <w:pPr>
              <w:spacing w:after="0"/>
              <w:rPr>
                <w:sz w:val="18"/>
                <w:szCs w:val="18"/>
                <w:color w:val="auto"/>
              </w:rPr>
            </w:pPr>
          </w:p>
        </w:tc>
        <w:tc>
          <w:tcPr>
            <w:tcW w:w="9840" w:type="dxa"/>
            <w:vAlign w:val="bottom"/>
            <w:tcBorders>
              <w:top w:val="single" w:sz="8" w:color="0000FF"/>
            </w:tcBorders>
            <w:gridSpan w:val="3"/>
          </w:tcPr>
          <w:p>
            <w:pPr>
              <w:spacing w:after="0" w:line="209" w:lineRule="exact"/>
              <w:rPr>
                <w:rFonts w:ascii="Arial" w:cs="Arial" w:eastAsia="Arial" w:hAnsi="Arial"/>
                <w:sz w:val="20"/>
                <w:szCs w:val="20"/>
                <w:color w:val="0000FF"/>
                <w:w w:val="95"/>
              </w:rPr>
            </w:pPr>
            <w:hyperlink w:anchor="page5">
              <w:r>
                <w:rPr>
                  <w:rFonts w:ascii="Arial" w:cs="Arial" w:eastAsia="Arial" w:hAnsi="Arial"/>
                  <w:sz w:val="20"/>
                  <w:szCs w:val="20"/>
                  <w:color w:val="0000FF"/>
                  <w:w w:val="95"/>
                </w:rPr>
                <w:t>as Borrowers, the lenders from time to time party thereto, Bank of America, N.A., as Administrative Agent, Swingline</w:t>
              </w:r>
            </w:hyperlink>
          </w:p>
        </w:tc>
        <w:tc>
          <w:tcPr>
            <w:tcW w:w="16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9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9440" w:type="dxa"/>
            <w:vAlign w:val="bottom"/>
            <w:tcBorders>
              <w:bottom w:val="single" w:sz="8" w:color="0000FF"/>
            </w:tcBorders>
            <w:gridSpan w:val="2"/>
          </w:tcPr>
          <w:p>
            <w:pPr>
              <w:spacing w:after="0" w:line="209" w:lineRule="exact"/>
              <w:rPr>
                <w:rFonts w:ascii="Arial" w:cs="Arial" w:eastAsia="Arial" w:hAnsi="Arial"/>
                <w:sz w:val="20"/>
                <w:szCs w:val="20"/>
                <w:color w:val="0000FF"/>
                <w:w w:val="90"/>
              </w:rPr>
            </w:pPr>
            <w:hyperlink w:anchor="page5">
              <w:r>
                <w:rPr>
                  <w:rFonts w:ascii="Arial" w:cs="Arial" w:eastAsia="Arial" w:hAnsi="Arial"/>
                  <w:sz w:val="20"/>
                  <w:szCs w:val="20"/>
                  <w:color w:val="0000FF"/>
                  <w:w w:val="90"/>
                </w:rPr>
                <w:t>Lender and Letter of Credit Issuer, and Wells Fargo Bank, National Association, as Syndication Agent (filed herewith).</w:t>
              </w:r>
            </w:hyperlink>
          </w:p>
        </w:tc>
        <w:tc>
          <w:tcPr>
            <w:tcW w:w="560" w:type="dxa"/>
            <w:vAlign w:val="bottom"/>
            <w:gridSpan w:val="2"/>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THE TORO COMPANY</w:t>
            </w:r>
          </w:p>
        </w:tc>
      </w:tr>
      <w:tr>
        <w:trPr>
          <w:trHeight w:val="270"/>
        </w:trPr>
        <w:tc>
          <w:tcPr>
            <w:tcW w:w="38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864"/>
        </w:trPr>
        <w:tc>
          <w:tcPr>
            <w:tcW w:w="3840" w:type="dxa"/>
            <w:vAlign w:val="bottom"/>
          </w:tcPr>
          <w:p>
            <w:pPr>
              <w:spacing w:after="0"/>
              <w:rPr>
                <w:sz w:val="20"/>
                <w:szCs w:val="20"/>
                <w:color w:val="auto"/>
              </w:rPr>
            </w:pPr>
            <w:r>
              <w:rPr>
                <w:rFonts w:ascii="Arial" w:cs="Arial" w:eastAsia="Arial" w:hAnsi="Arial"/>
                <w:sz w:val="18"/>
                <w:szCs w:val="18"/>
                <w:color w:val="auto"/>
              </w:rPr>
              <w:t>Date: June 19, 2018</w:t>
            </w:r>
          </w:p>
        </w:tc>
        <w:tc>
          <w:tcPr>
            <w:tcW w:w="7540" w:type="dxa"/>
            <w:vAlign w:val="bottom"/>
            <w:gridSpan w:val="2"/>
          </w:tcPr>
          <w:p>
            <w:pPr>
              <w:ind w:left="2400"/>
              <w:spacing w:after="0"/>
              <w:rPr>
                <w:sz w:val="20"/>
                <w:szCs w:val="20"/>
                <w:color w:val="auto"/>
              </w:rPr>
            </w:pPr>
            <w:r>
              <w:rPr>
                <w:rFonts w:ascii="Arial" w:cs="Arial" w:eastAsia="Arial" w:hAnsi="Arial"/>
                <w:sz w:val="18"/>
                <w:szCs w:val="18"/>
                <w:color w:val="auto"/>
              </w:rPr>
              <w:t>By /s/ Timothy P. Dordell</w:t>
            </w:r>
          </w:p>
        </w:tc>
      </w:tr>
      <w:tr>
        <w:trPr>
          <w:trHeight w:val="27"/>
        </w:trPr>
        <w:tc>
          <w:tcPr>
            <w:tcW w:w="3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Timothy P. Dordell</w:t>
            </w:r>
          </w:p>
        </w:tc>
      </w:tr>
      <w:tr>
        <w:trPr>
          <w:trHeight w:val="270"/>
        </w:trPr>
        <w:tc>
          <w:tcPr>
            <w:tcW w:w="38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 Secretary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200025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217170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Published Deal CUSIP: 891091AH3</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Published Revolver CUSIP: 891091AJ9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CREDIT AGREEMENT</w:t>
      </w:r>
    </w:p>
    <w:p>
      <w:pPr>
        <w:spacing w:after="0" w:line="22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Dated as of June 19, 2018</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144780</wp:posOffset>
            </wp:positionV>
            <wp:extent cx="1372235" cy="892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THE TORO COMPANY,</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TORO LUXEMBOURG S.A.R.L.,</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CERTAIN OTHER SUBSIDIARIES,</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Borrowers,</w:t>
      </w:r>
    </w:p>
    <w:p>
      <w:pPr>
        <w:spacing w:after="0" w:line="19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BANK OF AMERICA, N.A.,</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Administrative Agent, Swing Line Lender</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L/C Issuer,</w:t>
      </w:r>
    </w:p>
    <w:p>
      <w:pPr>
        <w:spacing w:after="0" w:line="196"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WELLS FARGO BANK, NATIONAL ASSOCIATION,</w:t>
      </w:r>
    </w:p>
    <w:p>
      <w:pPr>
        <w:spacing w:after="0" w:line="39"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Syndication Agent,</w:t>
      </w:r>
    </w:p>
    <w:p>
      <w:pPr>
        <w:spacing w:after="0" w:line="19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BMO HARRIS BANK, N.A.,</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HSBC BANK USA, NATIONAL ASSOCIATION,</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U.S. BANK NATIONAL ASSOCIATION,</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Co-Documentation Agents,</w:t>
      </w:r>
    </w:p>
    <w:p>
      <w:pPr>
        <w:spacing w:after="0" w:line="20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The Other Lenders Party Hereto</w:t>
      </w:r>
    </w:p>
    <w:p>
      <w:pPr>
        <w:spacing w:after="0" w:line="214" w:lineRule="exact"/>
        <w:rPr>
          <w:sz w:val="20"/>
          <w:szCs w:val="20"/>
          <w:color w:val="auto"/>
        </w:rPr>
      </w:pPr>
    </w:p>
    <w:p>
      <w:pPr>
        <w:ind w:left="2520"/>
        <w:spacing w:after="0"/>
        <w:rPr>
          <w:sz w:val="20"/>
          <w:szCs w:val="20"/>
          <w:color w:val="auto"/>
        </w:rPr>
      </w:pPr>
      <w:r>
        <w:rPr>
          <w:rFonts w:ascii="Arial" w:cs="Arial" w:eastAsia="Arial" w:hAnsi="Arial"/>
          <w:sz w:val="22"/>
          <w:szCs w:val="22"/>
          <w:b w:val="1"/>
          <w:bCs w:val="1"/>
          <w:color w:val="auto"/>
        </w:rPr>
        <w:t>BANK OF AMERICA MERRILL LYNCH</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WELLS FARGO SECURITIES, LLC,</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Joint Lead Arrangers and Joint Bookrunners</w:t>
      </w:r>
    </w:p>
    <w:p>
      <w:pPr>
        <w:sectPr>
          <w:pgSz w:w="11900" w:h="16838" w:orient="portrait"/>
          <w:cols w:equalWidth="0" w:num="1">
            <w:col w:w="10220"/>
          </w:cols>
          <w:pgMar w:left="1440" w:top="369" w:right="239" w:bottom="1440" w:gutter="0" w:footer="0" w:header="0"/>
        </w:sectPr>
      </w:pPr>
    </w:p>
    <w:bookmarkStart w:id="5" w:name="page6"/>
    <w:bookmarkEnd w:id="5"/>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00" w:type="dxa"/>
            <w:vAlign w:val="bottom"/>
          </w:tcPr>
          <w:p>
            <w:pPr>
              <w:ind w:left="2480"/>
              <w:spacing w:after="0"/>
              <w:rPr>
                <w:sz w:val="20"/>
                <w:szCs w:val="20"/>
                <w:color w:val="auto"/>
              </w:rPr>
            </w:pPr>
            <w:r>
              <w:rPr>
                <w:rFonts w:ascii="Arial" w:cs="Arial" w:eastAsia="Arial" w:hAnsi="Arial"/>
                <w:sz w:val="22"/>
                <w:szCs w:val="22"/>
                <w:b w:val="1"/>
                <w:bCs w:val="1"/>
                <w:color w:val="auto"/>
              </w:rPr>
              <w:t>TABLE OF CONTENTS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560" w:type="dxa"/>
            <w:vAlign w:val="bottom"/>
          </w:tcPr>
          <w:p>
            <w:pPr>
              <w:spacing w:after="0"/>
              <w:rPr>
                <w:sz w:val="24"/>
                <w:szCs w:val="24"/>
                <w:color w:val="auto"/>
              </w:rPr>
            </w:pP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Section</w:t>
            </w:r>
          </w:p>
        </w:tc>
        <w:tc>
          <w:tcPr>
            <w:tcW w:w="420" w:type="dxa"/>
            <w:vAlign w:val="bottom"/>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598"/>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500" w:type="dxa"/>
            <w:vAlign w:val="bottom"/>
          </w:tcPr>
          <w:p>
            <w:pPr>
              <w:jc w:val="center"/>
              <w:ind w:right="792"/>
              <w:spacing w:after="0"/>
              <w:rPr>
                <w:sz w:val="20"/>
                <w:szCs w:val="20"/>
                <w:color w:val="auto"/>
              </w:rPr>
            </w:pPr>
            <w:r>
              <w:rPr>
                <w:rFonts w:ascii="Arial" w:cs="Arial" w:eastAsia="Arial" w:hAnsi="Arial"/>
                <w:sz w:val="22"/>
                <w:szCs w:val="22"/>
                <w:color w:val="auto"/>
                <w:w w:val="97"/>
              </w:rPr>
              <w:t>ARTICLE I.</w:t>
            </w:r>
          </w:p>
        </w:tc>
        <w:tc>
          <w:tcPr>
            <w:tcW w:w="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00" w:type="dxa"/>
            <w:vAlign w:val="bottom"/>
          </w:tcPr>
          <w:p>
            <w:pPr>
              <w:jc w:val="center"/>
              <w:ind w:right="792"/>
              <w:spacing w:after="0"/>
              <w:rPr>
                <w:sz w:val="20"/>
                <w:szCs w:val="20"/>
                <w:color w:val="auto"/>
              </w:rPr>
            </w:pPr>
            <w:r>
              <w:rPr>
                <w:rFonts w:ascii="Arial" w:cs="Arial" w:eastAsia="Arial" w:hAnsi="Arial"/>
                <w:sz w:val="22"/>
                <w:szCs w:val="22"/>
                <w:color w:val="auto"/>
                <w:w w:val="96"/>
              </w:rPr>
              <w:t>DEFINITIONS AND ACCOUNTING TERMS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0" w:type="dxa"/>
            <w:vAlign w:val="bottom"/>
          </w:tcPr>
          <w:p>
            <w:pPr>
              <w:spacing w:after="0"/>
              <w:rPr>
                <w:sz w:val="20"/>
                <w:szCs w:val="20"/>
                <w:color w:val="auto"/>
              </w:rPr>
            </w:pPr>
            <w:r>
              <w:rPr>
                <w:rFonts w:ascii="Arial" w:cs="Arial" w:eastAsia="Arial" w:hAnsi="Arial"/>
                <w:sz w:val="22"/>
                <w:szCs w:val="22"/>
                <w:color w:val="auto"/>
              </w:rPr>
              <w:t>1.01</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Defined Terms</w:t>
            </w:r>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1.02</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Other Interpretive Provisions</w:t>
            </w:r>
          </w:p>
        </w:tc>
        <w:tc>
          <w:tcPr>
            <w:tcW w:w="42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1.03</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Accounting Terms</w:t>
            </w:r>
          </w:p>
        </w:tc>
        <w:tc>
          <w:tcPr>
            <w:tcW w:w="42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1.04</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Exchange Rates; Currency Equivalents</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1.05</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Additional Alternative Currencies</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1.06</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Change of Currency</w:t>
            </w:r>
          </w:p>
        </w:tc>
        <w:tc>
          <w:tcPr>
            <w:tcW w:w="420" w:type="dxa"/>
            <w:vAlign w:val="bottom"/>
          </w:tcPr>
          <w:p>
            <w:pPr>
              <w:jc w:val="right"/>
              <w:spacing w:after="0"/>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1.07</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Times of Day</w:t>
            </w:r>
          </w:p>
        </w:tc>
        <w:tc>
          <w:tcPr>
            <w:tcW w:w="420" w:type="dxa"/>
            <w:vAlign w:val="bottom"/>
          </w:tcPr>
          <w:p>
            <w:pPr>
              <w:jc w:val="right"/>
              <w:spacing w:after="0"/>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1.08</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Letter of Credit Amounts</w:t>
            </w:r>
          </w:p>
        </w:tc>
        <w:tc>
          <w:tcPr>
            <w:tcW w:w="420" w:type="dxa"/>
            <w:vAlign w:val="bottom"/>
          </w:tcPr>
          <w:p>
            <w:pPr>
              <w:jc w:val="right"/>
              <w:spacing w:after="0"/>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97"/>
        </w:trPr>
        <w:tc>
          <w:tcPr>
            <w:tcW w:w="560" w:type="dxa"/>
            <w:vAlign w:val="bottom"/>
            <w:vMerge w:val="restart"/>
          </w:tcPr>
          <w:p>
            <w:pPr>
              <w:spacing w:after="0"/>
              <w:rPr>
                <w:sz w:val="20"/>
                <w:szCs w:val="20"/>
                <w:color w:val="auto"/>
              </w:rPr>
            </w:pPr>
            <w:r>
              <w:rPr>
                <w:rFonts w:ascii="Arial" w:cs="Arial" w:eastAsia="Arial" w:hAnsi="Arial"/>
                <w:sz w:val="22"/>
                <w:szCs w:val="22"/>
                <w:color w:val="auto"/>
              </w:rPr>
              <w:t>1.09</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Rounding</w:t>
            </w:r>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108"/>
        </w:trPr>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5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3"/>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00" w:type="dxa"/>
            <w:vAlign w:val="bottom"/>
          </w:tcPr>
          <w:p>
            <w:pPr>
              <w:jc w:val="center"/>
              <w:ind w:right="792"/>
              <w:spacing w:after="0"/>
              <w:rPr>
                <w:sz w:val="20"/>
                <w:szCs w:val="20"/>
                <w:color w:val="auto"/>
              </w:rPr>
            </w:pPr>
            <w:r>
              <w:rPr>
                <w:rFonts w:ascii="Arial" w:cs="Arial" w:eastAsia="Arial" w:hAnsi="Arial"/>
                <w:sz w:val="22"/>
                <w:szCs w:val="22"/>
                <w:color w:val="auto"/>
                <w:w w:val="98"/>
              </w:rPr>
              <w:t>ARTICLE II.</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00" w:type="dxa"/>
            <w:vAlign w:val="bottom"/>
          </w:tcPr>
          <w:p>
            <w:pPr>
              <w:jc w:val="center"/>
              <w:ind w:right="792"/>
              <w:spacing w:after="0"/>
              <w:rPr>
                <w:sz w:val="20"/>
                <w:szCs w:val="20"/>
                <w:color w:val="auto"/>
              </w:rPr>
            </w:pPr>
            <w:r>
              <w:rPr>
                <w:rFonts w:ascii="Arial" w:cs="Arial" w:eastAsia="Arial" w:hAnsi="Arial"/>
                <w:sz w:val="22"/>
                <w:szCs w:val="22"/>
                <w:color w:val="auto"/>
                <w:w w:val="95"/>
              </w:rPr>
              <w:t>THE COMMITMENTS AND CREDIT EXTENSIONS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0" w:type="dxa"/>
            <w:vAlign w:val="bottom"/>
          </w:tcPr>
          <w:p>
            <w:pPr>
              <w:spacing w:after="0"/>
              <w:rPr>
                <w:sz w:val="20"/>
                <w:szCs w:val="20"/>
                <w:color w:val="auto"/>
              </w:rPr>
            </w:pPr>
            <w:r>
              <w:rPr>
                <w:rFonts w:ascii="Arial" w:cs="Arial" w:eastAsia="Arial" w:hAnsi="Arial"/>
                <w:sz w:val="22"/>
                <w:szCs w:val="22"/>
                <w:color w:val="auto"/>
              </w:rPr>
              <w:t>2.01</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Committed Loans</w:t>
            </w:r>
          </w:p>
        </w:tc>
        <w:tc>
          <w:tcPr>
            <w:tcW w:w="42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2.02</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Borrowings, Conversions and Continuations of Committed Loans</w:t>
            </w:r>
          </w:p>
        </w:tc>
        <w:tc>
          <w:tcPr>
            <w:tcW w:w="42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2.03</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Letters of Credit</w:t>
            </w:r>
          </w:p>
        </w:tc>
        <w:tc>
          <w:tcPr>
            <w:tcW w:w="42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2.04</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Swing Line Loans</w:t>
            </w:r>
          </w:p>
        </w:tc>
        <w:tc>
          <w:tcPr>
            <w:tcW w:w="42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2.05</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Prepayments</w:t>
            </w:r>
          </w:p>
        </w:tc>
        <w:tc>
          <w:tcPr>
            <w:tcW w:w="420" w:type="dxa"/>
            <w:vAlign w:val="bottom"/>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2.06</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Termination or Reduction of Commitments</w:t>
            </w:r>
          </w:p>
        </w:tc>
        <w:tc>
          <w:tcPr>
            <w:tcW w:w="420" w:type="dxa"/>
            <w:vAlign w:val="bottom"/>
          </w:tcPr>
          <w:p>
            <w:pPr>
              <w:jc w:val="right"/>
              <w:spacing w:after="0"/>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2.07</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Repayment of Loans</w:t>
            </w:r>
          </w:p>
        </w:tc>
        <w:tc>
          <w:tcPr>
            <w:tcW w:w="420" w:type="dxa"/>
            <w:vAlign w:val="bottom"/>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2.08</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Interest</w:t>
            </w:r>
          </w:p>
        </w:tc>
        <w:tc>
          <w:tcPr>
            <w:tcW w:w="420" w:type="dxa"/>
            <w:vAlign w:val="bottom"/>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2.09</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Fees</w:t>
            </w:r>
          </w:p>
        </w:tc>
        <w:tc>
          <w:tcPr>
            <w:tcW w:w="42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2.10</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Computation of Interest and Fees; Retroactive Adjustments of Applicable Rate</w:t>
            </w:r>
          </w:p>
        </w:tc>
        <w:tc>
          <w:tcPr>
            <w:tcW w:w="42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2.11</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Evidence of Debt</w:t>
            </w:r>
          </w:p>
        </w:tc>
        <w:tc>
          <w:tcPr>
            <w:tcW w:w="420" w:type="dxa"/>
            <w:vAlign w:val="bottom"/>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2.12</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Payments Generally; Administrative Agent’s Clawback</w:t>
            </w:r>
          </w:p>
        </w:tc>
        <w:tc>
          <w:tcPr>
            <w:tcW w:w="420" w:type="dxa"/>
            <w:vAlign w:val="bottom"/>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2.13</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Sharing of Payments by Lenders</w:t>
            </w:r>
          </w:p>
        </w:tc>
        <w:tc>
          <w:tcPr>
            <w:tcW w:w="420" w:type="dxa"/>
            <w:vAlign w:val="bottom"/>
          </w:tcPr>
          <w:p>
            <w:pPr>
              <w:jc w:val="right"/>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2.14</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Increase in Commitments</w:t>
            </w:r>
          </w:p>
        </w:tc>
        <w:tc>
          <w:tcPr>
            <w:tcW w:w="420" w:type="dxa"/>
            <w:vAlign w:val="bottom"/>
          </w:tcPr>
          <w:p>
            <w:pPr>
              <w:jc w:val="right"/>
              <w:spacing w:after="0"/>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2.15</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Cash Collateral</w:t>
            </w:r>
          </w:p>
        </w:tc>
        <w:tc>
          <w:tcPr>
            <w:tcW w:w="420" w:type="dxa"/>
            <w:vAlign w:val="bottom"/>
          </w:tcPr>
          <w:p>
            <w:pPr>
              <w:jc w:val="right"/>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2.16</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Defaulting Lenders</w:t>
            </w:r>
          </w:p>
        </w:tc>
        <w:tc>
          <w:tcPr>
            <w:tcW w:w="420" w:type="dxa"/>
            <w:vAlign w:val="bottom"/>
          </w:tcPr>
          <w:p>
            <w:pPr>
              <w:jc w:val="right"/>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97"/>
        </w:trPr>
        <w:tc>
          <w:tcPr>
            <w:tcW w:w="560" w:type="dxa"/>
            <w:vAlign w:val="bottom"/>
            <w:vMerge w:val="restart"/>
          </w:tcPr>
          <w:p>
            <w:pPr>
              <w:spacing w:after="0"/>
              <w:rPr>
                <w:sz w:val="20"/>
                <w:szCs w:val="20"/>
                <w:color w:val="auto"/>
              </w:rPr>
            </w:pPr>
            <w:r>
              <w:rPr>
                <w:rFonts w:ascii="Arial" w:cs="Arial" w:eastAsia="Arial" w:hAnsi="Arial"/>
                <w:sz w:val="22"/>
                <w:szCs w:val="22"/>
                <w:color w:val="auto"/>
              </w:rPr>
              <w:t>2.17</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Designated Borrowers</w:t>
            </w:r>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108"/>
        </w:trPr>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5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3"/>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00" w:type="dxa"/>
            <w:vAlign w:val="bottom"/>
          </w:tcPr>
          <w:p>
            <w:pPr>
              <w:jc w:val="center"/>
              <w:ind w:right="812"/>
              <w:spacing w:after="0"/>
              <w:rPr>
                <w:sz w:val="20"/>
                <w:szCs w:val="20"/>
                <w:color w:val="auto"/>
              </w:rPr>
            </w:pPr>
            <w:r>
              <w:rPr>
                <w:rFonts w:ascii="Arial" w:cs="Arial" w:eastAsia="Arial" w:hAnsi="Arial"/>
                <w:sz w:val="22"/>
                <w:szCs w:val="22"/>
                <w:color w:val="auto"/>
                <w:w w:val="98"/>
              </w:rPr>
              <w:t>ARTICLE III.</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00" w:type="dxa"/>
            <w:vAlign w:val="bottom"/>
          </w:tcPr>
          <w:p>
            <w:pPr>
              <w:jc w:val="center"/>
              <w:ind w:right="792"/>
              <w:spacing w:after="0"/>
              <w:rPr>
                <w:sz w:val="20"/>
                <w:szCs w:val="20"/>
                <w:color w:val="auto"/>
              </w:rPr>
            </w:pPr>
            <w:r>
              <w:rPr>
                <w:rFonts w:ascii="Arial" w:cs="Arial" w:eastAsia="Arial" w:hAnsi="Arial"/>
                <w:sz w:val="22"/>
                <w:szCs w:val="22"/>
                <w:color w:val="auto"/>
                <w:w w:val="97"/>
              </w:rPr>
              <w:t>TAXES, YIELD PROTECTION AND ILLEGALITY</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0" w:type="dxa"/>
            <w:vAlign w:val="bottom"/>
          </w:tcPr>
          <w:p>
            <w:pPr>
              <w:spacing w:after="0"/>
              <w:rPr>
                <w:sz w:val="20"/>
                <w:szCs w:val="20"/>
                <w:color w:val="auto"/>
              </w:rPr>
            </w:pPr>
            <w:r>
              <w:rPr>
                <w:rFonts w:ascii="Arial" w:cs="Arial" w:eastAsia="Arial" w:hAnsi="Arial"/>
                <w:sz w:val="22"/>
                <w:szCs w:val="22"/>
                <w:color w:val="auto"/>
              </w:rPr>
              <w:t>3.01</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Taxes</w:t>
            </w:r>
          </w:p>
        </w:tc>
        <w:tc>
          <w:tcPr>
            <w:tcW w:w="420" w:type="dxa"/>
            <w:vAlign w:val="bottom"/>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3.02</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Illegality</w:t>
            </w:r>
          </w:p>
        </w:tc>
        <w:tc>
          <w:tcPr>
            <w:tcW w:w="42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3.03</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Inability to Determine Rates</w:t>
            </w:r>
          </w:p>
        </w:tc>
        <w:tc>
          <w:tcPr>
            <w:tcW w:w="42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3.04</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Increased Costs; Reserves on Eurocurrency Rate Loans</w:t>
            </w:r>
          </w:p>
        </w:tc>
        <w:tc>
          <w:tcPr>
            <w:tcW w:w="42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3.05</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Compensation for Losses</w:t>
            </w:r>
          </w:p>
        </w:tc>
        <w:tc>
          <w:tcPr>
            <w:tcW w:w="420" w:type="dxa"/>
            <w:vAlign w:val="bottom"/>
          </w:tcPr>
          <w:p>
            <w:pPr>
              <w:jc w:val="right"/>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3.06</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Mitigation Obligations; Replacement of Lenders</w:t>
            </w:r>
          </w:p>
        </w:tc>
        <w:tc>
          <w:tcPr>
            <w:tcW w:w="420" w:type="dxa"/>
            <w:vAlign w:val="bottom"/>
          </w:tcPr>
          <w:p>
            <w:pPr>
              <w:jc w:val="right"/>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97"/>
        </w:trPr>
        <w:tc>
          <w:tcPr>
            <w:tcW w:w="560" w:type="dxa"/>
            <w:vAlign w:val="bottom"/>
            <w:vMerge w:val="restart"/>
          </w:tcPr>
          <w:p>
            <w:pPr>
              <w:spacing w:after="0"/>
              <w:rPr>
                <w:sz w:val="20"/>
                <w:szCs w:val="20"/>
                <w:color w:val="auto"/>
              </w:rPr>
            </w:pPr>
            <w:r>
              <w:rPr>
                <w:rFonts w:ascii="Arial" w:cs="Arial" w:eastAsia="Arial" w:hAnsi="Arial"/>
                <w:sz w:val="22"/>
                <w:szCs w:val="22"/>
                <w:color w:val="auto"/>
              </w:rPr>
              <w:t>3.07</w:t>
            </w:r>
          </w:p>
        </w:tc>
        <w:tc>
          <w:tcPr>
            <w:tcW w:w="9340" w:type="dxa"/>
            <w:vAlign w:val="bottom"/>
            <w:gridSpan w:val="3"/>
          </w:tcPr>
          <w:p>
            <w:pPr>
              <w:ind w:left="180"/>
              <w:spacing w:after="0"/>
              <w:rPr>
                <w:sz w:val="20"/>
                <w:szCs w:val="20"/>
                <w:color w:val="auto"/>
              </w:rPr>
            </w:pPr>
            <w:r>
              <w:rPr>
                <w:rFonts w:ascii="Arial" w:cs="Arial" w:eastAsia="Arial" w:hAnsi="Arial"/>
                <w:sz w:val="22"/>
                <w:szCs w:val="22"/>
                <w:color w:val="auto"/>
              </w:rPr>
              <w:t>Survival</w:t>
            </w:r>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108"/>
        </w:trPr>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5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5" w:orient="portrait"/>
          <w:cols w:equalWidth="0" w:num="1">
            <w:col w:w="10320"/>
          </w:cols>
          <w:pgMar w:left="920" w:top="625" w:right="659" w:bottom="0" w:gutter="0" w:footer="0" w:header="0"/>
        </w:sectPr>
      </w:pPr>
    </w:p>
    <w:p>
      <w:pPr>
        <w:spacing w:after="0" w:line="214"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i</w:t>
      </w:r>
    </w:p>
    <w:p>
      <w:pPr>
        <w:sectPr>
          <w:pgSz w:w="11900" w:h="16845" w:orient="portrait"/>
          <w:cols w:equalWidth="0" w:num="1">
            <w:col w:w="10320"/>
          </w:cols>
          <w:pgMar w:left="920" w:top="625" w:right="659" w:bottom="0" w:gutter="0" w:footer="0" w:header="0"/>
          <w:type w:val="continuous"/>
        </w:sectPr>
      </w:pPr>
    </w:p>
    <w:bookmarkStart w:id="6" w:name="page7"/>
    <w:bookmarkEnd w:id="6"/>
    <w:p>
      <w:pPr>
        <w:spacing w:after="0" w:line="211" w:lineRule="auto"/>
        <w:framePr w:w="460" w:h="193" w:wrap="auto" w:vAnchor="page" w:hAnchor="page" w:x="880" w:y="2662"/>
        <w:rPr>
          <w:rFonts w:ascii="Arial" w:cs="Arial" w:eastAsia="Arial" w:hAnsi="Arial"/>
          <w:sz w:val="19"/>
          <w:szCs w:val="19"/>
          <w:color w:val="auto"/>
        </w:rPr>
      </w:pPr>
      <w:r>
        <w:rPr>
          <w:rFonts w:ascii="Arial" w:cs="Arial" w:eastAsia="Arial" w:hAnsi="Arial"/>
          <w:sz w:val="19"/>
          <w:szCs w:val="19"/>
          <w:color w:val="auto"/>
        </w:rPr>
        <w:t>4.02</w:t>
      </w:r>
    </w:p>
    <w:p>
      <w:pPr>
        <w:jc w:val="center"/>
        <w:ind w:left="1000"/>
        <w:spacing w:after="0"/>
        <w:rPr>
          <w:sz w:val="20"/>
          <w:szCs w:val="20"/>
          <w:color w:val="auto"/>
        </w:rPr>
      </w:pPr>
      <w:r>
        <w:rPr>
          <w:rFonts w:ascii="Arial" w:cs="Arial" w:eastAsia="Arial" w:hAnsi="Arial"/>
          <w:sz w:val="22"/>
          <w:szCs w:val="22"/>
          <w:color w:val="auto"/>
        </w:rPr>
        <w:t>ARTICLE IV.</w:t>
      </w:r>
    </w:p>
    <w:p>
      <w:pPr>
        <w:spacing w:after="0" w:line="368" w:lineRule="exact"/>
        <w:rPr>
          <w:rFonts w:ascii="Arial" w:cs="Arial" w:eastAsia="Arial" w:hAnsi="Arial"/>
          <w:sz w:val="19"/>
          <w:szCs w:val="19"/>
          <w:color w:val="auto"/>
        </w:rPr>
      </w:pPr>
    </w:p>
    <w:p>
      <w:pPr>
        <w:jc w:val="right"/>
        <w:ind w:right="1600"/>
        <w:spacing w:after="0"/>
        <w:rPr>
          <w:sz w:val="20"/>
          <w:szCs w:val="20"/>
          <w:color w:val="auto"/>
        </w:rPr>
      </w:pPr>
      <w:r>
        <w:rPr>
          <w:rFonts w:ascii="Arial" w:cs="Arial" w:eastAsia="Arial" w:hAnsi="Arial"/>
          <w:sz w:val="22"/>
          <w:szCs w:val="22"/>
          <w:color w:val="auto"/>
        </w:rPr>
        <w:t>CONDITIONS PRECEDENT TO CREDIT EXTENSIONS</w:t>
      </w:r>
    </w:p>
    <w:p>
      <w:pPr>
        <w:spacing w:after="0" w:line="368" w:lineRule="exact"/>
        <w:rPr>
          <w:rFonts w:ascii="Arial" w:cs="Arial" w:eastAsia="Arial" w:hAnsi="Arial"/>
          <w:sz w:val="19"/>
          <w:szCs w:val="19"/>
          <w:color w:val="auto"/>
        </w:rPr>
      </w:pPr>
    </w:p>
    <w:p>
      <w:pPr>
        <w:spacing w:after="0"/>
        <w:tabs>
          <w:tab w:leader="none" w:pos="72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19"/>
          <w:szCs w:val="19"/>
          <w:color w:val="auto"/>
        </w:rPr>
        <w:t>Conditions of Initial Credit Extension</w:t>
      </w:r>
    </w:p>
    <w:p>
      <w:pPr>
        <w:spacing w:after="0" w:line="44" w:lineRule="exact"/>
        <w:rPr>
          <w:rFonts w:ascii="Arial" w:cs="Arial" w:eastAsia="Arial" w:hAnsi="Arial"/>
          <w:sz w:val="19"/>
          <w:szCs w:val="19"/>
          <w:color w:val="auto"/>
        </w:rPr>
      </w:pPr>
    </w:p>
    <w:p>
      <w:pPr>
        <w:ind w:left="740"/>
        <w:spacing w:after="0"/>
        <w:rPr>
          <w:sz w:val="20"/>
          <w:szCs w:val="20"/>
          <w:color w:val="auto"/>
        </w:rPr>
      </w:pPr>
      <w:r>
        <w:rPr>
          <w:rFonts w:ascii="Arial" w:cs="Arial" w:eastAsia="Arial" w:hAnsi="Arial"/>
          <w:sz w:val="22"/>
          <w:szCs w:val="22"/>
          <w:color w:val="auto"/>
        </w:rPr>
        <w:t>Conditions to all Credit Extensions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jc w:val="center"/>
        <w:ind w:left="1000"/>
        <w:spacing w:after="0"/>
        <w:rPr>
          <w:sz w:val="20"/>
          <w:szCs w:val="20"/>
          <w:color w:val="auto"/>
        </w:rPr>
      </w:pPr>
      <w:r>
        <w:rPr>
          <w:rFonts w:ascii="Arial" w:cs="Arial" w:eastAsia="Arial" w:hAnsi="Arial"/>
          <w:sz w:val="22"/>
          <w:szCs w:val="22"/>
          <w:color w:val="auto"/>
        </w:rPr>
        <w:t>ARTICLE V.</w:t>
      </w:r>
    </w:p>
    <w:p>
      <w:pPr>
        <w:spacing w:after="0" w:line="20" w:lineRule="exact"/>
        <w:rPr>
          <w:rFonts w:ascii="Arial" w:cs="Arial" w:eastAsia="Arial" w:hAnsi="Arial"/>
          <w:sz w:val="19"/>
          <w:szCs w:val="19"/>
          <w:color w:val="auto"/>
        </w:rPr>
      </w:pPr>
      <w:r>
        <w:rPr>
          <w:rFonts w:ascii="Arial" w:cs="Arial" w:eastAsia="Arial" w:hAnsi="Arial"/>
          <w:sz w:val="19"/>
          <w:szCs w:val="19"/>
          <w:color w:val="auto"/>
        </w:rPr>
        <w:br w:type="column"/>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19"/>
          <w:szCs w:val="19"/>
          <w:color w:val="auto"/>
        </w:rPr>
        <w:t>75</w:t>
      </w:r>
    </w:p>
    <w:p>
      <w:pPr>
        <w:spacing w:after="0" w:line="187"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19"/>
          <w:szCs w:val="19"/>
          <w:color w:val="auto"/>
        </w:rPr>
        <w:t>77</w:t>
      </w:r>
    </w:p>
    <w:p>
      <w:pPr>
        <w:spacing w:after="0" w:line="1017" w:lineRule="exact"/>
        <w:rPr>
          <w:rFonts w:ascii="Arial" w:cs="Arial" w:eastAsia="Arial" w:hAnsi="Arial"/>
          <w:sz w:val="19"/>
          <w:szCs w:val="19"/>
          <w:color w:val="auto"/>
        </w:rPr>
      </w:pPr>
    </w:p>
    <w:p>
      <w:pPr>
        <w:sectPr>
          <w:pgSz w:w="11900" w:h="16838" w:orient="portrait"/>
          <w:cols w:equalWidth="0" w:num="2">
            <w:col w:w="9380" w:space="720"/>
            <w:col w:w="220"/>
          </w:cols>
          <w:pgMar w:left="920" w:top="996" w:right="659" w:bottom="0" w:gutter="0" w:footer="0" w:header="0"/>
        </w:sectPr>
      </w:pPr>
    </w:p>
    <w:p>
      <w:pPr>
        <w:spacing w:after="0" w:line="60"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75"/>
        </w:trPr>
        <w:tc>
          <w:tcPr>
            <w:tcW w:w="560" w:type="dxa"/>
            <w:vAlign w:val="bottom"/>
          </w:tcPr>
          <w:p>
            <w:pPr>
              <w:spacing w:after="0"/>
              <w:rPr>
                <w:sz w:val="23"/>
                <w:szCs w:val="23"/>
                <w:color w:val="auto"/>
              </w:rPr>
            </w:pPr>
          </w:p>
        </w:tc>
        <w:tc>
          <w:tcPr>
            <w:tcW w:w="8080" w:type="dxa"/>
            <w:vAlign w:val="bottom"/>
          </w:tcPr>
          <w:p>
            <w:pPr>
              <w:jc w:val="center"/>
              <w:ind w:left="1072"/>
              <w:spacing w:after="0"/>
              <w:rPr>
                <w:sz w:val="20"/>
                <w:szCs w:val="20"/>
                <w:color w:val="auto"/>
              </w:rPr>
            </w:pPr>
            <w:r>
              <w:rPr>
                <w:rFonts w:ascii="Arial" w:cs="Arial" w:eastAsia="Arial" w:hAnsi="Arial"/>
                <w:sz w:val="22"/>
                <w:szCs w:val="22"/>
                <w:color w:val="auto"/>
                <w:w w:val="93"/>
              </w:rPr>
              <w:t>REPRESENTATIONS AND WARRANTIES</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1"/>
        </w:trPr>
        <w:tc>
          <w:tcPr>
            <w:tcW w:w="560" w:type="dxa"/>
            <w:vAlign w:val="bottom"/>
          </w:tcPr>
          <w:p>
            <w:pPr>
              <w:spacing w:after="0"/>
              <w:rPr>
                <w:sz w:val="20"/>
                <w:szCs w:val="20"/>
                <w:color w:val="auto"/>
              </w:rPr>
            </w:pPr>
            <w:r>
              <w:rPr>
                <w:rFonts w:ascii="Arial" w:cs="Arial" w:eastAsia="Arial" w:hAnsi="Arial"/>
                <w:sz w:val="22"/>
                <w:szCs w:val="22"/>
                <w:color w:val="auto"/>
              </w:rPr>
              <w:t>5.01</w:t>
            </w:r>
          </w:p>
        </w:tc>
        <w:tc>
          <w:tcPr>
            <w:tcW w:w="8080" w:type="dxa"/>
            <w:vAlign w:val="bottom"/>
          </w:tcPr>
          <w:p>
            <w:pPr>
              <w:ind w:left="180"/>
              <w:spacing w:after="0"/>
              <w:rPr>
                <w:sz w:val="20"/>
                <w:szCs w:val="20"/>
                <w:color w:val="auto"/>
              </w:rPr>
            </w:pPr>
            <w:r>
              <w:rPr>
                <w:rFonts w:ascii="Arial" w:cs="Arial" w:eastAsia="Arial" w:hAnsi="Arial"/>
                <w:sz w:val="22"/>
                <w:szCs w:val="22"/>
                <w:color w:val="auto"/>
              </w:rPr>
              <w:t>Existence, Qualification and Power</w:t>
            </w:r>
          </w:p>
        </w:tc>
        <w:tc>
          <w:tcPr>
            <w:tcW w:w="1680" w:type="dxa"/>
            <w:vAlign w:val="bottom"/>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5.02</w:t>
            </w:r>
          </w:p>
        </w:tc>
        <w:tc>
          <w:tcPr>
            <w:tcW w:w="8080" w:type="dxa"/>
            <w:vAlign w:val="bottom"/>
          </w:tcPr>
          <w:p>
            <w:pPr>
              <w:ind w:left="180"/>
              <w:spacing w:after="0"/>
              <w:rPr>
                <w:sz w:val="20"/>
                <w:szCs w:val="20"/>
                <w:color w:val="auto"/>
              </w:rPr>
            </w:pPr>
            <w:r>
              <w:rPr>
                <w:rFonts w:ascii="Arial" w:cs="Arial" w:eastAsia="Arial" w:hAnsi="Arial"/>
                <w:sz w:val="22"/>
                <w:szCs w:val="22"/>
                <w:color w:val="auto"/>
              </w:rPr>
              <w:t>Authorization; No Contravention</w:t>
            </w:r>
          </w:p>
        </w:tc>
        <w:tc>
          <w:tcPr>
            <w:tcW w:w="168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5.03</w:t>
            </w:r>
          </w:p>
        </w:tc>
        <w:tc>
          <w:tcPr>
            <w:tcW w:w="8080" w:type="dxa"/>
            <w:vAlign w:val="bottom"/>
          </w:tcPr>
          <w:p>
            <w:pPr>
              <w:ind w:left="180"/>
              <w:spacing w:after="0"/>
              <w:rPr>
                <w:sz w:val="20"/>
                <w:szCs w:val="20"/>
                <w:color w:val="auto"/>
              </w:rPr>
            </w:pPr>
            <w:r>
              <w:rPr>
                <w:rFonts w:ascii="Arial" w:cs="Arial" w:eastAsia="Arial" w:hAnsi="Arial"/>
                <w:sz w:val="22"/>
                <w:szCs w:val="22"/>
                <w:color w:val="auto"/>
              </w:rPr>
              <w:t>Governmental Authorization; Other Consents</w:t>
            </w:r>
          </w:p>
        </w:tc>
        <w:tc>
          <w:tcPr>
            <w:tcW w:w="168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5.04</w:t>
            </w:r>
          </w:p>
        </w:tc>
        <w:tc>
          <w:tcPr>
            <w:tcW w:w="8080" w:type="dxa"/>
            <w:vAlign w:val="bottom"/>
          </w:tcPr>
          <w:p>
            <w:pPr>
              <w:ind w:left="180"/>
              <w:spacing w:after="0"/>
              <w:rPr>
                <w:sz w:val="20"/>
                <w:szCs w:val="20"/>
                <w:color w:val="auto"/>
              </w:rPr>
            </w:pPr>
            <w:r>
              <w:rPr>
                <w:rFonts w:ascii="Arial" w:cs="Arial" w:eastAsia="Arial" w:hAnsi="Arial"/>
                <w:sz w:val="22"/>
                <w:szCs w:val="22"/>
                <w:color w:val="auto"/>
              </w:rPr>
              <w:t>Binding Effect</w:t>
            </w:r>
          </w:p>
        </w:tc>
        <w:tc>
          <w:tcPr>
            <w:tcW w:w="168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5.05</w:t>
            </w:r>
          </w:p>
        </w:tc>
        <w:tc>
          <w:tcPr>
            <w:tcW w:w="8080" w:type="dxa"/>
            <w:vAlign w:val="bottom"/>
          </w:tcPr>
          <w:p>
            <w:pPr>
              <w:ind w:left="180"/>
              <w:spacing w:after="0"/>
              <w:rPr>
                <w:sz w:val="20"/>
                <w:szCs w:val="20"/>
                <w:color w:val="auto"/>
              </w:rPr>
            </w:pPr>
            <w:r>
              <w:rPr>
                <w:rFonts w:ascii="Arial" w:cs="Arial" w:eastAsia="Arial" w:hAnsi="Arial"/>
                <w:sz w:val="22"/>
                <w:szCs w:val="22"/>
                <w:color w:val="auto"/>
              </w:rPr>
              <w:t>Financial Statements; No Material Adverse Effect</w:t>
            </w:r>
          </w:p>
        </w:tc>
        <w:tc>
          <w:tcPr>
            <w:tcW w:w="168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5.06</w:t>
            </w:r>
          </w:p>
        </w:tc>
        <w:tc>
          <w:tcPr>
            <w:tcW w:w="8080" w:type="dxa"/>
            <w:vAlign w:val="bottom"/>
          </w:tcPr>
          <w:p>
            <w:pPr>
              <w:ind w:left="180"/>
              <w:spacing w:after="0"/>
              <w:rPr>
                <w:sz w:val="20"/>
                <w:szCs w:val="20"/>
                <w:color w:val="auto"/>
              </w:rPr>
            </w:pPr>
            <w:r>
              <w:rPr>
                <w:rFonts w:ascii="Arial" w:cs="Arial" w:eastAsia="Arial" w:hAnsi="Arial"/>
                <w:sz w:val="22"/>
                <w:szCs w:val="22"/>
                <w:color w:val="auto"/>
              </w:rPr>
              <w:t>Litigation</w:t>
            </w:r>
          </w:p>
        </w:tc>
        <w:tc>
          <w:tcPr>
            <w:tcW w:w="168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5.07</w:t>
            </w:r>
          </w:p>
        </w:tc>
        <w:tc>
          <w:tcPr>
            <w:tcW w:w="8080" w:type="dxa"/>
            <w:vAlign w:val="bottom"/>
          </w:tcPr>
          <w:p>
            <w:pPr>
              <w:ind w:left="180"/>
              <w:spacing w:after="0"/>
              <w:rPr>
                <w:sz w:val="20"/>
                <w:szCs w:val="20"/>
                <w:color w:val="auto"/>
              </w:rPr>
            </w:pPr>
            <w:r>
              <w:rPr>
                <w:rFonts w:ascii="Arial" w:cs="Arial" w:eastAsia="Arial" w:hAnsi="Arial"/>
                <w:sz w:val="22"/>
                <w:szCs w:val="22"/>
                <w:color w:val="auto"/>
              </w:rPr>
              <w:t>No Default</w:t>
            </w:r>
          </w:p>
        </w:tc>
        <w:tc>
          <w:tcPr>
            <w:tcW w:w="168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5.08</w:t>
            </w:r>
          </w:p>
        </w:tc>
        <w:tc>
          <w:tcPr>
            <w:tcW w:w="8080" w:type="dxa"/>
            <w:vAlign w:val="bottom"/>
          </w:tcPr>
          <w:p>
            <w:pPr>
              <w:ind w:left="180"/>
              <w:spacing w:after="0"/>
              <w:rPr>
                <w:sz w:val="20"/>
                <w:szCs w:val="20"/>
                <w:color w:val="auto"/>
              </w:rPr>
            </w:pPr>
            <w:r>
              <w:rPr>
                <w:rFonts w:ascii="Arial" w:cs="Arial" w:eastAsia="Arial" w:hAnsi="Arial"/>
                <w:sz w:val="22"/>
                <w:szCs w:val="22"/>
                <w:color w:val="auto"/>
              </w:rPr>
              <w:t>Ownership of Property; Liens</w:t>
            </w:r>
          </w:p>
        </w:tc>
        <w:tc>
          <w:tcPr>
            <w:tcW w:w="168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5.09</w:t>
            </w:r>
          </w:p>
        </w:tc>
        <w:tc>
          <w:tcPr>
            <w:tcW w:w="8080" w:type="dxa"/>
            <w:vAlign w:val="bottom"/>
          </w:tcPr>
          <w:p>
            <w:pPr>
              <w:ind w:left="180"/>
              <w:spacing w:after="0"/>
              <w:rPr>
                <w:sz w:val="20"/>
                <w:szCs w:val="20"/>
                <w:color w:val="auto"/>
              </w:rPr>
            </w:pPr>
            <w:r>
              <w:rPr>
                <w:rFonts w:ascii="Arial" w:cs="Arial" w:eastAsia="Arial" w:hAnsi="Arial"/>
                <w:sz w:val="22"/>
                <w:szCs w:val="22"/>
                <w:color w:val="auto"/>
              </w:rPr>
              <w:t>Environmental Compliance</w:t>
            </w:r>
          </w:p>
        </w:tc>
        <w:tc>
          <w:tcPr>
            <w:tcW w:w="168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5.10</w:t>
            </w:r>
          </w:p>
        </w:tc>
        <w:tc>
          <w:tcPr>
            <w:tcW w:w="8080" w:type="dxa"/>
            <w:vAlign w:val="bottom"/>
          </w:tcPr>
          <w:p>
            <w:pPr>
              <w:ind w:left="180"/>
              <w:spacing w:after="0"/>
              <w:rPr>
                <w:sz w:val="20"/>
                <w:szCs w:val="20"/>
                <w:color w:val="auto"/>
              </w:rPr>
            </w:pPr>
            <w:r>
              <w:rPr>
                <w:rFonts w:ascii="Arial" w:cs="Arial" w:eastAsia="Arial" w:hAnsi="Arial"/>
                <w:sz w:val="22"/>
                <w:szCs w:val="22"/>
                <w:color w:val="auto"/>
              </w:rPr>
              <w:t>Insurance</w:t>
            </w:r>
          </w:p>
        </w:tc>
        <w:tc>
          <w:tcPr>
            <w:tcW w:w="168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5.11</w:t>
            </w:r>
          </w:p>
        </w:tc>
        <w:tc>
          <w:tcPr>
            <w:tcW w:w="8080" w:type="dxa"/>
            <w:vAlign w:val="bottom"/>
          </w:tcPr>
          <w:p>
            <w:pPr>
              <w:ind w:left="180"/>
              <w:spacing w:after="0"/>
              <w:rPr>
                <w:sz w:val="20"/>
                <w:szCs w:val="20"/>
                <w:color w:val="auto"/>
              </w:rPr>
            </w:pPr>
            <w:r>
              <w:rPr>
                <w:rFonts w:ascii="Arial" w:cs="Arial" w:eastAsia="Arial" w:hAnsi="Arial"/>
                <w:sz w:val="22"/>
                <w:szCs w:val="22"/>
                <w:color w:val="auto"/>
              </w:rPr>
              <w:t>Taxes</w:t>
            </w:r>
          </w:p>
        </w:tc>
        <w:tc>
          <w:tcPr>
            <w:tcW w:w="168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5.12</w:t>
            </w:r>
          </w:p>
        </w:tc>
        <w:tc>
          <w:tcPr>
            <w:tcW w:w="8080" w:type="dxa"/>
            <w:vAlign w:val="bottom"/>
          </w:tcPr>
          <w:p>
            <w:pPr>
              <w:ind w:left="180"/>
              <w:spacing w:after="0"/>
              <w:rPr>
                <w:sz w:val="20"/>
                <w:szCs w:val="20"/>
                <w:color w:val="auto"/>
              </w:rPr>
            </w:pPr>
            <w:r>
              <w:rPr>
                <w:rFonts w:ascii="Arial" w:cs="Arial" w:eastAsia="Arial" w:hAnsi="Arial"/>
                <w:sz w:val="22"/>
                <w:szCs w:val="22"/>
                <w:color w:val="auto"/>
              </w:rPr>
              <w:t>ERISA Compliance</w:t>
            </w:r>
          </w:p>
        </w:tc>
        <w:tc>
          <w:tcPr>
            <w:tcW w:w="1680" w:type="dxa"/>
            <w:vAlign w:val="bottom"/>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5.13</w:t>
            </w:r>
          </w:p>
        </w:tc>
        <w:tc>
          <w:tcPr>
            <w:tcW w:w="8080" w:type="dxa"/>
            <w:vAlign w:val="bottom"/>
          </w:tcPr>
          <w:p>
            <w:pPr>
              <w:ind w:left="180"/>
              <w:spacing w:after="0"/>
              <w:rPr>
                <w:sz w:val="20"/>
                <w:szCs w:val="20"/>
                <w:color w:val="auto"/>
              </w:rPr>
            </w:pPr>
            <w:r>
              <w:rPr>
                <w:rFonts w:ascii="Arial" w:cs="Arial" w:eastAsia="Arial" w:hAnsi="Arial"/>
                <w:sz w:val="22"/>
                <w:szCs w:val="22"/>
                <w:color w:val="auto"/>
              </w:rPr>
              <w:t>Subsidiaries; Equity Interests</w:t>
            </w:r>
          </w:p>
        </w:tc>
        <w:tc>
          <w:tcPr>
            <w:tcW w:w="1680" w:type="dxa"/>
            <w:vAlign w:val="bottom"/>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5.14</w:t>
            </w:r>
          </w:p>
        </w:tc>
        <w:tc>
          <w:tcPr>
            <w:tcW w:w="8080" w:type="dxa"/>
            <w:vAlign w:val="bottom"/>
          </w:tcPr>
          <w:p>
            <w:pPr>
              <w:ind w:left="180"/>
              <w:spacing w:after="0"/>
              <w:rPr>
                <w:sz w:val="20"/>
                <w:szCs w:val="20"/>
                <w:color w:val="auto"/>
              </w:rPr>
            </w:pPr>
            <w:r>
              <w:rPr>
                <w:rFonts w:ascii="Arial" w:cs="Arial" w:eastAsia="Arial" w:hAnsi="Arial"/>
                <w:sz w:val="22"/>
                <w:szCs w:val="22"/>
                <w:color w:val="auto"/>
              </w:rPr>
              <w:t>Margin Regulations; Investment Company Act</w:t>
            </w:r>
          </w:p>
        </w:tc>
        <w:tc>
          <w:tcPr>
            <w:tcW w:w="168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5.15</w:t>
            </w:r>
          </w:p>
        </w:tc>
        <w:tc>
          <w:tcPr>
            <w:tcW w:w="8080" w:type="dxa"/>
            <w:vAlign w:val="bottom"/>
          </w:tcPr>
          <w:p>
            <w:pPr>
              <w:ind w:left="180"/>
              <w:spacing w:after="0"/>
              <w:rPr>
                <w:sz w:val="20"/>
                <w:szCs w:val="20"/>
                <w:color w:val="auto"/>
              </w:rPr>
            </w:pPr>
            <w:r>
              <w:rPr>
                <w:rFonts w:ascii="Arial" w:cs="Arial" w:eastAsia="Arial" w:hAnsi="Arial"/>
                <w:sz w:val="22"/>
                <w:szCs w:val="22"/>
                <w:color w:val="auto"/>
              </w:rPr>
              <w:t>Copyrights, Patents, Trademarks and Licenses, Etc</w:t>
            </w:r>
          </w:p>
        </w:tc>
        <w:tc>
          <w:tcPr>
            <w:tcW w:w="168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5.16</w:t>
            </w:r>
          </w:p>
        </w:tc>
        <w:tc>
          <w:tcPr>
            <w:tcW w:w="8080" w:type="dxa"/>
            <w:vAlign w:val="bottom"/>
          </w:tcPr>
          <w:p>
            <w:pPr>
              <w:ind w:left="180"/>
              <w:spacing w:after="0"/>
              <w:rPr>
                <w:sz w:val="20"/>
                <w:szCs w:val="20"/>
                <w:color w:val="auto"/>
              </w:rPr>
            </w:pPr>
            <w:r>
              <w:rPr>
                <w:rFonts w:ascii="Arial" w:cs="Arial" w:eastAsia="Arial" w:hAnsi="Arial"/>
                <w:sz w:val="22"/>
                <w:szCs w:val="22"/>
                <w:color w:val="auto"/>
              </w:rPr>
              <w:t>Disclosure</w:t>
            </w:r>
          </w:p>
        </w:tc>
        <w:tc>
          <w:tcPr>
            <w:tcW w:w="168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5.17</w:t>
            </w:r>
          </w:p>
        </w:tc>
        <w:tc>
          <w:tcPr>
            <w:tcW w:w="8080" w:type="dxa"/>
            <w:vAlign w:val="bottom"/>
          </w:tcPr>
          <w:p>
            <w:pPr>
              <w:ind w:left="180"/>
              <w:spacing w:after="0"/>
              <w:rPr>
                <w:sz w:val="20"/>
                <w:szCs w:val="20"/>
                <w:color w:val="auto"/>
              </w:rPr>
            </w:pPr>
            <w:r>
              <w:rPr>
                <w:rFonts w:ascii="Arial" w:cs="Arial" w:eastAsia="Arial" w:hAnsi="Arial"/>
                <w:sz w:val="22"/>
                <w:szCs w:val="22"/>
                <w:color w:val="auto"/>
              </w:rPr>
              <w:t>Compliance with Laws</w:t>
            </w:r>
          </w:p>
        </w:tc>
        <w:tc>
          <w:tcPr>
            <w:tcW w:w="1680" w:type="dxa"/>
            <w:vAlign w:val="bottom"/>
          </w:tcPr>
          <w:p>
            <w:pPr>
              <w:jc w:val="right"/>
              <w:spacing w:after="0"/>
              <w:rPr>
                <w:sz w:val="20"/>
                <w:szCs w:val="20"/>
                <w:color w:val="auto"/>
              </w:rPr>
            </w:pPr>
            <w:r>
              <w:rPr>
                <w:rFonts w:ascii="Arial" w:cs="Arial" w:eastAsia="Arial" w:hAnsi="Arial"/>
                <w:sz w:val="22"/>
                <w:szCs w:val="22"/>
                <w:color w:val="auto"/>
              </w:rPr>
              <w:t>83</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5.18</w:t>
            </w:r>
          </w:p>
        </w:tc>
        <w:tc>
          <w:tcPr>
            <w:tcW w:w="8080" w:type="dxa"/>
            <w:vAlign w:val="bottom"/>
          </w:tcPr>
          <w:p>
            <w:pPr>
              <w:ind w:left="180"/>
              <w:spacing w:after="0"/>
              <w:rPr>
                <w:sz w:val="20"/>
                <w:szCs w:val="20"/>
                <w:color w:val="auto"/>
              </w:rPr>
            </w:pPr>
            <w:r>
              <w:rPr>
                <w:rFonts w:ascii="Arial" w:cs="Arial" w:eastAsia="Arial" w:hAnsi="Arial"/>
                <w:sz w:val="22"/>
                <w:szCs w:val="22"/>
                <w:color w:val="auto"/>
              </w:rPr>
              <w:t>Representations as to Foreign Obligors</w:t>
            </w:r>
          </w:p>
        </w:tc>
        <w:tc>
          <w:tcPr>
            <w:tcW w:w="1680" w:type="dxa"/>
            <w:vAlign w:val="bottom"/>
          </w:tcPr>
          <w:p>
            <w:pPr>
              <w:jc w:val="right"/>
              <w:spacing w:after="0"/>
              <w:rPr>
                <w:sz w:val="20"/>
                <w:szCs w:val="20"/>
                <w:color w:val="auto"/>
              </w:rPr>
            </w:pPr>
            <w:r>
              <w:rPr>
                <w:rFonts w:ascii="Arial" w:cs="Arial" w:eastAsia="Arial" w:hAnsi="Arial"/>
                <w:sz w:val="22"/>
                <w:szCs w:val="22"/>
                <w:color w:val="auto"/>
              </w:rPr>
              <w:t>83</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5.19</w:t>
            </w:r>
          </w:p>
        </w:tc>
        <w:tc>
          <w:tcPr>
            <w:tcW w:w="8080" w:type="dxa"/>
            <w:vAlign w:val="bottom"/>
          </w:tcPr>
          <w:p>
            <w:pPr>
              <w:ind w:left="180"/>
              <w:spacing w:after="0"/>
              <w:rPr>
                <w:sz w:val="20"/>
                <w:szCs w:val="20"/>
                <w:color w:val="auto"/>
              </w:rPr>
            </w:pPr>
            <w:r>
              <w:rPr>
                <w:rFonts w:ascii="Arial" w:cs="Arial" w:eastAsia="Arial" w:hAnsi="Arial"/>
                <w:sz w:val="22"/>
                <w:szCs w:val="22"/>
                <w:color w:val="auto"/>
              </w:rPr>
              <w:t>Taxpayer Identification Number; Other Identifying Information</w:t>
            </w:r>
          </w:p>
        </w:tc>
        <w:tc>
          <w:tcPr>
            <w:tcW w:w="1680" w:type="dxa"/>
            <w:vAlign w:val="bottom"/>
          </w:tcPr>
          <w:p>
            <w:pPr>
              <w:jc w:val="right"/>
              <w:spacing w:after="0"/>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5.20</w:t>
            </w:r>
          </w:p>
        </w:tc>
        <w:tc>
          <w:tcPr>
            <w:tcW w:w="8080" w:type="dxa"/>
            <w:vAlign w:val="bottom"/>
          </w:tcPr>
          <w:p>
            <w:pPr>
              <w:ind w:left="180"/>
              <w:spacing w:after="0"/>
              <w:rPr>
                <w:sz w:val="20"/>
                <w:szCs w:val="20"/>
                <w:color w:val="auto"/>
              </w:rPr>
            </w:pPr>
            <w:r>
              <w:rPr>
                <w:rFonts w:ascii="Arial" w:cs="Arial" w:eastAsia="Arial" w:hAnsi="Arial"/>
                <w:sz w:val="22"/>
                <w:szCs w:val="22"/>
                <w:color w:val="auto"/>
              </w:rPr>
              <w:t>OFAC</w:t>
            </w:r>
          </w:p>
        </w:tc>
        <w:tc>
          <w:tcPr>
            <w:tcW w:w="1680" w:type="dxa"/>
            <w:vAlign w:val="bottom"/>
          </w:tcPr>
          <w:p>
            <w:pPr>
              <w:jc w:val="right"/>
              <w:spacing w:after="0"/>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5.21</w:t>
            </w:r>
          </w:p>
        </w:tc>
        <w:tc>
          <w:tcPr>
            <w:tcW w:w="8080" w:type="dxa"/>
            <w:vAlign w:val="bottom"/>
          </w:tcPr>
          <w:p>
            <w:pPr>
              <w:ind w:left="180"/>
              <w:spacing w:after="0"/>
              <w:rPr>
                <w:sz w:val="20"/>
                <w:szCs w:val="20"/>
                <w:color w:val="auto"/>
              </w:rPr>
            </w:pPr>
            <w:r>
              <w:rPr>
                <w:rFonts w:ascii="Arial" w:cs="Arial" w:eastAsia="Arial" w:hAnsi="Arial"/>
                <w:sz w:val="22"/>
                <w:szCs w:val="22"/>
                <w:color w:val="auto"/>
              </w:rPr>
              <w:t>Anti-Corruption Laws</w:t>
            </w:r>
          </w:p>
        </w:tc>
        <w:tc>
          <w:tcPr>
            <w:tcW w:w="1680" w:type="dxa"/>
            <w:vAlign w:val="bottom"/>
          </w:tcPr>
          <w:p>
            <w:pPr>
              <w:jc w:val="right"/>
              <w:spacing w:after="0"/>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297"/>
        </w:trPr>
        <w:tc>
          <w:tcPr>
            <w:tcW w:w="560" w:type="dxa"/>
            <w:vAlign w:val="bottom"/>
            <w:vMerge w:val="restart"/>
          </w:tcPr>
          <w:p>
            <w:pPr>
              <w:spacing w:after="0"/>
              <w:rPr>
                <w:sz w:val="20"/>
                <w:szCs w:val="20"/>
                <w:color w:val="auto"/>
              </w:rPr>
            </w:pPr>
            <w:r>
              <w:rPr>
                <w:rFonts w:ascii="Arial" w:cs="Arial" w:eastAsia="Arial" w:hAnsi="Arial"/>
                <w:sz w:val="22"/>
                <w:szCs w:val="22"/>
                <w:color w:val="auto"/>
              </w:rPr>
              <w:t>5.22</w:t>
            </w:r>
          </w:p>
        </w:tc>
        <w:tc>
          <w:tcPr>
            <w:tcW w:w="8080" w:type="dxa"/>
            <w:vAlign w:val="bottom"/>
          </w:tcPr>
          <w:p>
            <w:pPr>
              <w:ind w:left="180"/>
              <w:spacing w:after="0"/>
              <w:rPr>
                <w:sz w:val="20"/>
                <w:szCs w:val="20"/>
                <w:color w:val="auto"/>
              </w:rPr>
            </w:pPr>
            <w:r>
              <w:rPr>
                <w:rFonts w:ascii="Arial" w:cs="Arial" w:eastAsia="Arial" w:hAnsi="Arial"/>
                <w:sz w:val="22"/>
                <w:szCs w:val="22"/>
                <w:color w:val="auto"/>
              </w:rPr>
              <w:t>Beneficial Ownership</w:t>
            </w:r>
          </w:p>
        </w:tc>
        <w:tc>
          <w:tcPr>
            <w:tcW w:w="1680" w:type="dxa"/>
            <w:vAlign w:val="bottom"/>
            <w:vMerge w:val="restart"/>
          </w:tcPr>
          <w:p>
            <w:pPr>
              <w:jc w:val="right"/>
              <w:spacing w:after="0"/>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108"/>
        </w:trPr>
        <w:tc>
          <w:tcPr>
            <w:tcW w:w="560" w:type="dxa"/>
            <w:vAlign w:val="bottom"/>
            <w:vMerge w:val="continue"/>
          </w:tcPr>
          <w:p>
            <w:pPr>
              <w:spacing w:after="0"/>
              <w:rPr>
                <w:sz w:val="9"/>
                <w:szCs w:val="9"/>
                <w:color w:val="auto"/>
              </w:rPr>
            </w:pPr>
          </w:p>
        </w:tc>
        <w:tc>
          <w:tcPr>
            <w:tcW w:w="808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3"/>
        </w:trPr>
        <w:tc>
          <w:tcPr>
            <w:tcW w:w="560" w:type="dxa"/>
            <w:vAlign w:val="bottom"/>
          </w:tcPr>
          <w:p>
            <w:pPr>
              <w:spacing w:after="0"/>
              <w:rPr>
                <w:sz w:val="24"/>
                <w:szCs w:val="24"/>
                <w:color w:val="auto"/>
              </w:rPr>
            </w:pPr>
          </w:p>
        </w:tc>
        <w:tc>
          <w:tcPr>
            <w:tcW w:w="8080" w:type="dxa"/>
            <w:vAlign w:val="bottom"/>
          </w:tcPr>
          <w:p>
            <w:pPr>
              <w:jc w:val="center"/>
              <w:ind w:left="1092"/>
              <w:spacing w:after="0"/>
              <w:rPr>
                <w:sz w:val="20"/>
                <w:szCs w:val="20"/>
                <w:color w:val="auto"/>
              </w:rPr>
            </w:pPr>
            <w:r>
              <w:rPr>
                <w:rFonts w:ascii="Arial" w:cs="Arial" w:eastAsia="Arial" w:hAnsi="Arial"/>
                <w:sz w:val="22"/>
                <w:szCs w:val="22"/>
                <w:color w:val="auto"/>
                <w:w w:val="98"/>
              </w:rPr>
              <w:t>ARTICLE VI.</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0" w:type="dxa"/>
            <w:vAlign w:val="bottom"/>
          </w:tcPr>
          <w:p>
            <w:pPr>
              <w:spacing w:after="0"/>
              <w:rPr>
                <w:sz w:val="24"/>
                <w:szCs w:val="24"/>
                <w:color w:val="auto"/>
              </w:rPr>
            </w:pPr>
          </w:p>
        </w:tc>
        <w:tc>
          <w:tcPr>
            <w:tcW w:w="8080" w:type="dxa"/>
            <w:vAlign w:val="bottom"/>
          </w:tcPr>
          <w:p>
            <w:pPr>
              <w:jc w:val="center"/>
              <w:ind w:left="1092"/>
              <w:spacing w:after="0"/>
              <w:rPr>
                <w:sz w:val="20"/>
                <w:szCs w:val="20"/>
                <w:color w:val="auto"/>
              </w:rPr>
            </w:pPr>
            <w:r>
              <w:rPr>
                <w:rFonts w:ascii="Arial" w:cs="Arial" w:eastAsia="Arial" w:hAnsi="Arial"/>
                <w:sz w:val="22"/>
                <w:szCs w:val="22"/>
                <w:color w:val="auto"/>
                <w:w w:val="97"/>
              </w:rPr>
              <w:t>AFFIRMATIVE COVENANTS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0" w:type="dxa"/>
            <w:vAlign w:val="bottom"/>
          </w:tcPr>
          <w:p>
            <w:pPr>
              <w:spacing w:after="0"/>
              <w:rPr>
                <w:sz w:val="20"/>
                <w:szCs w:val="20"/>
                <w:color w:val="auto"/>
              </w:rPr>
            </w:pPr>
            <w:r>
              <w:rPr>
                <w:rFonts w:ascii="Arial" w:cs="Arial" w:eastAsia="Arial" w:hAnsi="Arial"/>
                <w:sz w:val="22"/>
                <w:szCs w:val="22"/>
                <w:color w:val="auto"/>
              </w:rPr>
              <w:t>6.01</w:t>
            </w:r>
          </w:p>
        </w:tc>
        <w:tc>
          <w:tcPr>
            <w:tcW w:w="8080" w:type="dxa"/>
            <w:vAlign w:val="bottom"/>
          </w:tcPr>
          <w:p>
            <w:pPr>
              <w:ind w:left="180"/>
              <w:spacing w:after="0"/>
              <w:rPr>
                <w:sz w:val="20"/>
                <w:szCs w:val="20"/>
                <w:color w:val="auto"/>
              </w:rPr>
            </w:pPr>
            <w:r>
              <w:rPr>
                <w:rFonts w:ascii="Arial" w:cs="Arial" w:eastAsia="Arial" w:hAnsi="Arial"/>
                <w:sz w:val="22"/>
                <w:szCs w:val="22"/>
                <w:color w:val="auto"/>
              </w:rPr>
              <w:t>Financial Statements</w:t>
            </w:r>
          </w:p>
        </w:tc>
        <w:tc>
          <w:tcPr>
            <w:tcW w:w="1680" w:type="dxa"/>
            <w:vAlign w:val="bottom"/>
          </w:tcPr>
          <w:p>
            <w:pPr>
              <w:jc w:val="right"/>
              <w:spacing w:after="0"/>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6.02</w:t>
            </w:r>
          </w:p>
        </w:tc>
        <w:tc>
          <w:tcPr>
            <w:tcW w:w="8080" w:type="dxa"/>
            <w:vAlign w:val="bottom"/>
          </w:tcPr>
          <w:p>
            <w:pPr>
              <w:ind w:left="180"/>
              <w:spacing w:after="0"/>
              <w:rPr>
                <w:sz w:val="20"/>
                <w:szCs w:val="20"/>
                <w:color w:val="auto"/>
              </w:rPr>
            </w:pPr>
            <w:r>
              <w:rPr>
                <w:rFonts w:ascii="Arial" w:cs="Arial" w:eastAsia="Arial" w:hAnsi="Arial"/>
                <w:sz w:val="22"/>
                <w:szCs w:val="22"/>
                <w:color w:val="auto"/>
              </w:rPr>
              <w:t>Certificates; Other Information</w:t>
            </w:r>
          </w:p>
        </w:tc>
        <w:tc>
          <w:tcPr>
            <w:tcW w:w="1680" w:type="dxa"/>
            <w:vAlign w:val="bottom"/>
          </w:tcPr>
          <w:p>
            <w:pPr>
              <w:jc w:val="right"/>
              <w:spacing w:after="0"/>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6.03</w:t>
            </w:r>
          </w:p>
        </w:tc>
        <w:tc>
          <w:tcPr>
            <w:tcW w:w="8080" w:type="dxa"/>
            <w:vAlign w:val="bottom"/>
          </w:tcPr>
          <w:p>
            <w:pPr>
              <w:ind w:left="180"/>
              <w:spacing w:after="0"/>
              <w:rPr>
                <w:sz w:val="20"/>
                <w:szCs w:val="20"/>
                <w:color w:val="auto"/>
              </w:rPr>
            </w:pPr>
            <w:r>
              <w:rPr>
                <w:rFonts w:ascii="Arial" w:cs="Arial" w:eastAsia="Arial" w:hAnsi="Arial"/>
                <w:sz w:val="22"/>
                <w:szCs w:val="22"/>
                <w:color w:val="auto"/>
              </w:rPr>
              <w:t>Notices</w:t>
            </w:r>
          </w:p>
        </w:tc>
        <w:tc>
          <w:tcPr>
            <w:tcW w:w="1680" w:type="dxa"/>
            <w:vAlign w:val="bottom"/>
          </w:tcPr>
          <w:p>
            <w:pPr>
              <w:jc w:val="right"/>
              <w:spacing w:after="0"/>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6.04</w:t>
            </w:r>
          </w:p>
        </w:tc>
        <w:tc>
          <w:tcPr>
            <w:tcW w:w="8080" w:type="dxa"/>
            <w:vAlign w:val="bottom"/>
          </w:tcPr>
          <w:p>
            <w:pPr>
              <w:ind w:left="180"/>
              <w:spacing w:after="0"/>
              <w:rPr>
                <w:sz w:val="20"/>
                <w:szCs w:val="20"/>
                <w:color w:val="auto"/>
              </w:rPr>
            </w:pPr>
            <w:r>
              <w:rPr>
                <w:rFonts w:ascii="Arial" w:cs="Arial" w:eastAsia="Arial" w:hAnsi="Arial"/>
                <w:sz w:val="22"/>
                <w:szCs w:val="22"/>
                <w:color w:val="auto"/>
              </w:rPr>
              <w:t>Anti-Corruption Laws</w:t>
            </w:r>
          </w:p>
        </w:tc>
        <w:tc>
          <w:tcPr>
            <w:tcW w:w="1680" w:type="dxa"/>
            <w:vAlign w:val="bottom"/>
          </w:tcPr>
          <w:p>
            <w:pPr>
              <w:jc w:val="right"/>
              <w:spacing w:after="0"/>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6.05</w:t>
            </w:r>
          </w:p>
        </w:tc>
        <w:tc>
          <w:tcPr>
            <w:tcW w:w="8080" w:type="dxa"/>
            <w:vAlign w:val="bottom"/>
          </w:tcPr>
          <w:p>
            <w:pPr>
              <w:ind w:left="180"/>
              <w:spacing w:after="0"/>
              <w:rPr>
                <w:sz w:val="20"/>
                <w:szCs w:val="20"/>
                <w:color w:val="auto"/>
              </w:rPr>
            </w:pPr>
            <w:r>
              <w:rPr>
                <w:rFonts w:ascii="Arial" w:cs="Arial" w:eastAsia="Arial" w:hAnsi="Arial"/>
                <w:sz w:val="22"/>
                <w:szCs w:val="22"/>
                <w:color w:val="auto"/>
              </w:rPr>
              <w:t>Preservation of Existence, Etc</w:t>
            </w:r>
          </w:p>
        </w:tc>
        <w:tc>
          <w:tcPr>
            <w:tcW w:w="1680" w:type="dxa"/>
            <w:vAlign w:val="bottom"/>
          </w:tcPr>
          <w:p>
            <w:pPr>
              <w:jc w:val="right"/>
              <w:spacing w:after="0"/>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6.06</w:t>
            </w:r>
          </w:p>
        </w:tc>
        <w:tc>
          <w:tcPr>
            <w:tcW w:w="8080" w:type="dxa"/>
            <w:vAlign w:val="bottom"/>
          </w:tcPr>
          <w:p>
            <w:pPr>
              <w:ind w:left="180"/>
              <w:spacing w:after="0"/>
              <w:rPr>
                <w:sz w:val="20"/>
                <w:szCs w:val="20"/>
                <w:color w:val="auto"/>
              </w:rPr>
            </w:pPr>
            <w:r>
              <w:rPr>
                <w:rFonts w:ascii="Arial" w:cs="Arial" w:eastAsia="Arial" w:hAnsi="Arial"/>
                <w:sz w:val="22"/>
                <w:szCs w:val="22"/>
                <w:color w:val="auto"/>
              </w:rPr>
              <w:t>Maintenance of Properties</w:t>
            </w:r>
          </w:p>
        </w:tc>
        <w:tc>
          <w:tcPr>
            <w:tcW w:w="1680" w:type="dxa"/>
            <w:vAlign w:val="bottom"/>
          </w:tcPr>
          <w:p>
            <w:pPr>
              <w:jc w:val="right"/>
              <w:spacing w:after="0"/>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6.07</w:t>
            </w:r>
          </w:p>
        </w:tc>
        <w:tc>
          <w:tcPr>
            <w:tcW w:w="8080" w:type="dxa"/>
            <w:vAlign w:val="bottom"/>
          </w:tcPr>
          <w:p>
            <w:pPr>
              <w:ind w:left="180"/>
              <w:spacing w:after="0"/>
              <w:rPr>
                <w:sz w:val="20"/>
                <w:szCs w:val="20"/>
                <w:color w:val="auto"/>
              </w:rPr>
            </w:pPr>
            <w:r>
              <w:rPr>
                <w:rFonts w:ascii="Arial" w:cs="Arial" w:eastAsia="Arial" w:hAnsi="Arial"/>
                <w:sz w:val="22"/>
                <w:szCs w:val="22"/>
                <w:color w:val="auto"/>
              </w:rPr>
              <w:t>Maintenance of Insurance</w:t>
            </w:r>
          </w:p>
        </w:tc>
        <w:tc>
          <w:tcPr>
            <w:tcW w:w="1680" w:type="dxa"/>
            <w:vAlign w:val="bottom"/>
          </w:tcPr>
          <w:p>
            <w:pPr>
              <w:jc w:val="right"/>
              <w:spacing w:after="0"/>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6.08</w:t>
            </w:r>
          </w:p>
        </w:tc>
        <w:tc>
          <w:tcPr>
            <w:tcW w:w="8080" w:type="dxa"/>
            <w:vAlign w:val="bottom"/>
          </w:tcPr>
          <w:p>
            <w:pPr>
              <w:ind w:left="180"/>
              <w:spacing w:after="0"/>
              <w:rPr>
                <w:sz w:val="20"/>
                <w:szCs w:val="20"/>
                <w:color w:val="auto"/>
              </w:rPr>
            </w:pPr>
            <w:r>
              <w:rPr>
                <w:rFonts w:ascii="Arial" w:cs="Arial" w:eastAsia="Arial" w:hAnsi="Arial"/>
                <w:sz w:val="22"/>
                <w:szCs w:val="22"/>
                <w:color w:val="auto"/>
              </w:rPr>
              <w:t>Compliance with Laws and Contractual Obligations</w:t>
            </w:r>
          </w:p>
        </w:tc>
        <w:tc>
          <w:tcPr>
            <w:tcW w:w="1680" w:type="dxa"/>
            <w:vAlign w:val="bottom"/>
          </w:tcPr>
          <w:p>
            <w:pPr>
              <w:jc w:val="right"/>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6.09</w:t>
            </w:r>
          </w:p>
        </w:tc>
        <w:tc>
          <w:tcPr>
            <w:tcW w:w="8080" w:type="dxa"/>
            <w:vAlign w:val="bottom"/>
          </w:tcPr>
          <w:p>
            <w:pPr>
              <w:ind w:left="180"/>
              <w:spacing w:after="0"/>
              <w:rPr>
                <w:sz w:val="20"/>
                <w:szCs w:val="20"/>
                <w:color w:val="auto"/>
              </w:rPr>
            </w:pPr>
            <w:r>
              <w:rPr>
                <w:rFonts w:ascii="Arial" w:cs="Arial" w:eastAsia="Arial" w:hAnsi="Arial"/>
                <w:sz w:val="22"/>
                <w:szCs w:val="22"/>
                <w:color w:val="auto"/>
              </w:rPr>
              <w:t>Books and Records</w:t>
            </w:r>
          </w:p>
        </w:tc>
        <w:tc>
          <w:tcPr>
            <w:tcW w:w="1680" w:type="dxa"/>
            <w:vAlign w:val="bottom"/>
          </w:tcPr>
          <w:p>
            <w:pPr>
              <w:jc w:val="right"/>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6.10</w:t>
            </w:r>
          </w:p>
        </w:tc>
        <w:tc>
          <w:tcPr>
            <w:tcW w:w="8080" w:type="dxa"/>
            <w:vAlign w:val="bottom"/>
          </w:tcPr>
          <w:p>
            <w:pPr>
              <w:ind w:left="180"/>
              <w:spacing w:after="0"/>
              <w:rPr>
                <w:sz w:val="20"/>
                <w:szCs w:val="20"/>
                <w:color w:val="auto"/>
              </w:rPr>
            </w:pPr>
            <w:r>
              <w:rPr>
                <w:rFonts w:ascii="Arial" w:cs="Arial" w:eastAsia="Arial" w:hAnsi="Arial"/>
                <w:sz w:val="22"/>
                <w:szCs w:val="22"/>
                <w:color w:val="auto"/>
              </w:rPr>
              <w:t>Inspection Rights</w:t>
            </w:r>
          </w:p>
        </w:tc>
        <w:tc>
          <w:tcPr>
            <w:tcW w:w="1680" w:type="dxa"/>
            <w:vAlign w:val="bottom"/>
          </w:tcPr>
          <w:p>
            <w:pPr>
              <w:jc w:val="right"/>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97"/>
        </w:trPr>
        <w:tc>
          <w:tcPr>
            <w:tcW w:w="560" w:type="dxa"/>
            <w:vAlign w:val="bottom"/>
          </w:tcPr>
          <w:p>
            <w:pPr>
              <w:spacing w:after="0"/>
              <w:rPr>
                <w:sz w:val="20"/>
                <w:szCs w:val="20"/>
                <w:color w:val="auto"/>
              </w:rPr>
            </w:pPr>
            <w:r>
              <w:rPr>
                <w:rFonts w:ascii="Arial" w:cs="Arial" w:eastAsia="Arial" w:hAnsi="Arial"/>
                <w:sz w:val="22"/>
                <w:szCs w:val="22"/>
                <w:color w:val="auto"/>
              </w:rPr>
              <w:t>6.11</w:t>
            </w:r>
          </w:p>
        </w:tc>
        <w:tc>
          <w:tcPr>
            <w:tcW w:w="8080" w:type="dxa"/>
            <w:vAlign w:val="bottom"/>
          </w:tcPr>
          <w:p>
            <w:pPr>
              <w:ind w:left="180"/>
              <w:spacing w:after="0"/>
              <w:rPr>
                <w:sz w:val="20"/>
                <w:szCs w:val="20"/>
                <w:color w:val="auto"/>
              </w:rPr>
            </w:pPr>
            <w:r>
              <w:rPr>
                <w:rFonts w:ascii="Arial" w:cs="Arial" w:eastAsia="Arial" w:hAnsi="Arial"/>
                <w:sz w:val="22"/>
                <w:szCs w:val="22"/>
                <w:color w:val="auto"/>
              </w:rPr>
              <w:t>Use of Proceeds</w:t>
            </w:r>
          </w:p>
        </w:tc>
        <w:tc>
          <w:tcPr>
            <w:tcW w:w="1680" w:type="dxa"/>
            <w:vAlign w:val="bottom"/>
          </w:tcPr>
          <w:p>
            <w:pPr>
              <w:jc w:val="right"/>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97"/>
        </w:trPr>
        <w:tc>
          <w:tcPr>
            <w:tcW w:w="560" w:type="dxa"/>
            <w:vAlign w:val="bottom"/>
            <w:vMerge w:val="restart"/>
          </w:tcPr>
          <w:p>
            <w:pPr>
              <w:spacing w:after="0"/>
              <w:rPr>
                <w:sz w:val="20"/>
                <w:szCs w:val="20"/>
                <w:color w:val="auto"/>
              </w:rPr>
            </w:pPr>
            <w:r>
              <w:rPr>
                <w:rFonts w:ascii="Arial" w:cs="Arial" w:eastAsia="Arial" w:hAnsi="Arial"/>
                <w:sz w:val="22"/>
                <w:szCs w:val="22"/>
                <w:color w:val="auto"/>
              </w:rPr>
              <w:t>6.12</w:t>
            </w:r>
          </w:p>
        </w:tc>
        <w:tc>
          <w:tcPr>
            <w:tcW w:w="8080" w:type="dxa"/>
            <w:vAlign w:val="bottom"/>
          </w:tcPr>
          <w:p>
            <w:pPr>
              <w:ind w:left="180"/>
              <w:spacing w:after="0"/>
              <w:rPr>
                <w:sz w:val="20"/>
                <w:szCs w:val="20"/>
                <w:color w:val="auto"/>
              </w:rPr>
            </w:pPr>
            <w:r>
              <w:rPr>
                <w:rFonts w:ascii="Arial" w:cs="Arial" w:eastAsia="Arial" w:hAnsi="Arial"/>
                <w:sz w:val="22"/>
                <w:szCs w:val="22"/>
                <w:color w:val="auto"/>
              </w:rPr>
              <w:t>Approvals and Authorizations</w:t>
            </w:r>
          </w:p>
        </w:tc>
        <w:tc>
          <w:tcPr>
            <w:tcW w:w="1680" w:type="dxa"/>
            <w:vAlign w:val="bottom"/>
            <w:vMerge w:val="restart"/>
          </w:tcPr>
          <w:p>
            <w:pPr>
              <w:jc w:val="right"/>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108"/>
        </w:trPr>
        <w:tc>
          <w:tcPr>
            <w:tcW w:w="560" w:type="dxa"/>
            <w:vAlign w:val="bottom"/>
            <w:vMerge w:val="continue"/>
          </w:tcPr>
          <w:p>
            <w:pPr>
              <w:spacing w:after="0"/>
              <w:rPr>
                <w:sz w:val="9"/>
                <w:szCs w:val="9"/>
                <w:color w:val="auto"/>
              </w:rPr>
            </w:pPr>
          </w:p>
        </w:tc>
        <w:tc>
          <w:tcPr>
            <w:tcW w:w="808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920" w:top="996" w:right="659" w:bottom="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019"/>
          </w:cols>
          <w:pgMar w:left="1440" w:top="64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5"/>
        </w:trPr>
        <w:tc>
          <w:tcPr>
            <w:tcW w:w="620" w:type="dxa"/>
            <w:vAlign w:val="bottom"/>
          </w:tcPr>
          <w:p>
            <w:pPr>
              <w:spacing w:after="0"/>
              <w:rPr>
                <w:sz w:val="23"/>
                <w:szCs w:val="23"/>
                <w:color w:val="auto"/>
              </w:rPr>
            </w:pPr>
          </w:p>
        </w:tc>
        <w:tc>
          <w:tcPr>
            <w:tcW w:w="8220" w:type="dxa"/>
            <w:vAlign w:val="bottom"/>
          </w:tcPr>
          <w:p>
            <w:pPr>
              <w:jc w:val="center"/>
              <w:ind w:left="812"/>
              <w:spacing w:after="0"/>
              <w:rPr>
                <w:sz w:val="20"/>
                <w:szCs w:val="20"/>
                <w:color w:val="auto"/>
              </w:rPr>
            </w:pPr>
            <w:r>
              <w:rPr>
                <w:rFonts w:ascii="Arial" w:cs="Arial" w:eastAsia="Arial" w:hAnsi="Arial"/>
                <w:sz w:val="22"/>
                <w:szCs w:val="22"/>
                <w:color w:val="auto"/>
                <w:w w:val="98"/>
              </w:rPr>
              <w:t>ARTICLE VII.</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1"/>
        </w:trPr>
        <w:tc>
          <w:tcPr>
            <w:tcW w:w="620" w:type="dxa"/>
            <w:vAlign w:val="bottom"/>
          </w:tcPr>
          <w:p>
            <w:pPr>
              <w:spacing w:after="0"/>
              <w:rPr>
                <w:sz w:val="24"/>
                <w:szCs w:val="24"/>
                <w:color w:val="auto"/>
              </w:rPr>
            </w:pPr>
          </w:p>
        </w:tc>
        <w:tc>
          <w:tcPr>
            <w:tcW w:w="8220" w:type="dxa"/>
            <w:vAlign w:val="bottom"/>
          </w:tcPr>
          <w:p>
            <w:pPr>
              <w:jc w:val="center"/>
              <w:ind w:left="832"/>
              <w:spacing w:after="0"/>
              <w:rPr>
                <w:sz w:val="20"/>
                <w:szCs w:val="20"/>
                <w:color w:val="auto"/>
              </w:rPr>
            </w:pPr>
            <w:r>
              <w:rPr>
                <w:rFonts w:ascii="Arial" w:cs="Arial" w:eastAsia="Arial" w:hAnsi="Arial"/>
                <w:sz w:val="22"/>
                <w:szCs w:val="22"/>
                <w:color w:val="auto"/>
                <w:w w:val="95"/>
              </w:rPr>
              <w:t>NEGATIVE COVENANTS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20" w:type="dxa"/>
            <w:vAlign w:val="bottom"/>
          </w:tcPr>
          <w:p>
            <w:pPr>
              <w:spacing w:after="0"/>
              <w:rPr>
                <w:sz w:val="20"/>
                <w:szCs w:val="20"/>
                <w:color w:val="auto"/>
              </w:rPr>
            </w:pPr>
            <w:r>
              <w:rPr>
                <w:rFonts w:ascii="Arial" w:cs="Arial" w:eastAsia="Arial" w:hAnsi="Arial"/>
                <w:sz w:val="22"/>
                <w:szCs w:val="22"/>
                <w:color w:val="auto"/>
              </w:rPr>
              <w:t>7.01</w:t>
            </w:r>
          </w:p>
        </w:tc>
        <w:tc>
          <w:tcPr>
            <w:tcW w:w="8220" w:type="dxa"/>
            <w:vAlign w:val="bottom"/>
          </w:tcPr>
          <w:p>
            <w:pPr>
              <w:ind w:left="120"/>
              <w:spacing w:after="0"/>
              <w:rPr>
                <w:sz w:val="20"/>
                <w:szCs w:val="20"/>
                <w:color w:val="auto"/>
              </w:rPr>
            </w:pPr>
            <w:r>
              <w:rPr>
                <w:rFonts w:ascii="Arial" w:cs="Arial" w:eastAsia="Arial" w:hAnsi="Arial"/>
                <w:sz w:val="22"/>
                <w:szCs w:val="22"/>
                <w:color w:val="auto"/>
              </w:rPr>
              <w:t>Limitation on Liens</w:t>
            </w:r>
          </w:p>
        </w:tc>
        <w:tc>
          <w:tcPr>
            <w:tcW w:w="1480" w:type="dxa"/>
            <w:vAlign w:val="bottom"/>
          </w:tcPr>
          <w:p>
            <w:pPr>
              <w:jc w:val="right"/>
              <w:spacing w:after="0"/>
              <w:rPr>
                <w:sz w:val="20"/>
                <w:szCs w:val="20"/>
                <w:color w:val="auto"/>
              </w:rPr>
            </w:pPr>
            <w:r>
              <w:rPr>
                <w:rFonts w:ascii="Arial" w:cs="Arial" w:eastAsia="Arial" w:hAnsi="Arial"/>
                <w:sz w:val="22"/>
                <w:szCs w:val="22"/>
                <w:color w:val="auto"/>
              </w:rPr>
              <w:t>90</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7.02</w:t>
            </w:r>
          </w:p>
        </w:tc>
        <w:tc>
          <w:tcPr>
            <w:tcW w:w="8220" w:type="dxa"/>
            <w:vAlign w:val="bottom"/>
          </w:tcPr>
          <w:p>
            <w:pPr>
              <w:ind w:left="120"/>
              <w:spacing w:after="0"/>
              <w:rPr>
                <w:sz w:val="20"/>
                <w:szCs w:val="20"/>
                <w:color w:val="auto"/>
              </w:rPr>
            </w:pPr>
            <w:r>
              <w:rPr>
                <w:rFonts w:ascii="Arial" w:cs="Arial" w:eastAsia="Arial" w:hAnsi="Arial"/>
                <w:sz w:val="22"/>
                <w:szCs w:val="22"/>
                <w:color w:val="auto"/>
              </w:rPr>
              <w:t>Disposition of Assets</w:t>
            </w:r>
          </w:p>
        </w:tc>
        <w:tc>
          <w:tcPr>
            <w:tcW w:w="1480" w:type="dxa"/>
            <w:vAlign w:val="bottom"/>
          </w:tcPr>
          <w:p>
            <w:pPr>
              <w:jc w:val="right"/>
              <w:spacing w:after="0"/>
              <w:rPr>
                <w:sz w:val="20"/>
                <w:szCs w:val="20"/>
                <w:color w:val="auto"/>
              </w:rPr>
            </w:pPr>
            <w:r>
              <w:rPr>
                <w:rFonts w:ascii="Arial" w:cs="Arial" w:eastAsia="Arial" w:hAnsi="Arial"/>
                <w:sz w:val="22"/>
                <w:szCs w:val="22"/>
                <w:color w:val="auto"/>
              </w:rPr>
              <w:t>91</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7.03</w:t>
            </w:r>
          </w:p>
        </w:tc>
        <w:tc>
          <w:tcPr>
            <w:tcW w:w="8220" w:type="dxa"/>
            <w:vAlign w:val="bottom"/>
          </w:tcPr>
          <w:p>
            <w:pPr>
              <w:ind w:left="120"/>
              <w:spacing w:after="0"/>
              <w:rPr>
                <w:sz w:val="20"/>
                <w:szCs w:val="20"/>
                <w:color w:val="auto"/>
              </w:rPr>
            </w:pPr>
            <w:r>
              <w:rPr>
                <w:rFonts w:ascii="Arial" w:cs="Arial" w:eastAsia="Arial" w:hAnsi="Arial"/>
                <w:sz w:val="22"/>
                <w:szCs w:val="22"/>
                <w:color w:val="auto"/>
              </w:rPr>
              <w:t>Consolidations and Mergers</w:t>
            </w:r>
          </w:p>
        </w:tc>
        <w:tc>
          <w:tcPr>
            <w:tcW w:w="1480" w:type="dxa"/>
            <w:vAlign w:val="bottom"/>
          </w:tcPr>
          <w:p>
            <w:pPr>
              <w:jc w:val="right"/>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7.04</w:t>
            </w:r>
          </w:p>
        </w:tc>
        <w:tc>
          <w:tcPr>
            <w:tcW w:w="8220" w:type="dxa"/>
            <w:vAlign w:val="bottom"/>
          </w:tcPr>
          <w:p>
            <w:pPr>
              <w:ind w:left="120"/>
              <w:spacing w:after="0"/>
              <w:rPr>
                <w:sz w:val="20"/>
                <w:szCs w:val="20"/>
                <w:color w:val="auto"/>
              </w:rPr>
            </w:pPr>
            <w:r>
              <w:rPr>
                <w:rFonts w:ascii="Arial" w:cs="Arial" w:eastAsia="Arial" w:hAnsi="Arial"/>
                <w:sz w:val="22"/>
                <w:szCs w:val="22"/>
                <w:color w:val="auto"/>
              </w:rPr>
              <w:t>Restricted Payments</w:t>
            </w:r>
          </w:p>
        </w:tc>
        <w:tc>
          <w:tcPr>
            <w:tcW w:w="1480" w:type="dxa"/>
            <w:vAlign w:val="bottom"/>
          </w:tcPr>
          <w:p>
            <w:pPr>
              <w:jc w:val="right"/>
              <w:spacing w:after="0"/>
              <w:rPr>
                <w:sz w:val="20"/>
                <w:szCs w:val="20"/>
                <w:color w:val="auto"/>
              </w:rPr>
            </w:pPr>
            <w:r>
              <w:rPr>
                <w:rFonts w:ascii="Arial" w:cs="Arial" w:eastAsia="Arial" w:hAnsi="Arial"/>
                <w:sz w:val="22"/>
                <w:szCs w:val="22"/>
                <w:color w:val="auto"/>
              </w:rPr>
              <w:t>93</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7.05</w:t>
            </w:r>
          </w:p>
        </w:tc>
        <w:tc>
          <w:tcPr>
            <w:tcW w:w="8220" w:type="dxa"/>
            <w:vAlign w:val="bottom"/>
          </w:tcPr>
          <w:p>
            <w:pPr>
              <w:ind w:left="120"/>
              <w:spacing w:after="0"/>
              <w:rPr>
                <w:sz w:val="20"/>
                <w:szCs w:val="20"/>
                <w:color w:val="auto"/>
              </w:rPr>
            </w:pPr>
            <w:r>
              <w:rPr>
                <w:rFonts w:ascii="Arial" w:cs="Arial" w:eastAsia="Arial" w:hAnsi="Arial"/>
                <w:sz w:val="22"/>
                <w:szCs w:val="22"/>
                <w:color w:val="auto"/>
              </w:rPr>
              <w:t>Minimum Interest Coverage Ratio</w:t>
            </w:r>
          </w:p>
        </w:tc>
        <w:tc>
          <w:tcPr>
            <w:tcW w:w="1480" w:type="dxa"/>
            <w:vAlign w:val="bottom"/>
          </w:tcPr>
          <w:p>
            <w:pPr>
              <w:jc w:val="right"/>
              <w:spacing w:after="0"/>
              <w:rPr>
                <w:sz w:val="20"/>
                <w:szCs w:val="20"/>
                <w:color w:val="auto"/>
              </w:rPr>
            </w:pPr>
            <w:r>
              <w:rPr>
                <w:rFonts w:ascii="Arial" w:cs="Arial" w:eastAsia="Arial" w:hAnsi="Arial"/>
                <w:sz w:val="22"/>
                <w:szCs w:val="22"/>
                <w:color w:val="auto"/>
              </w:rPr>
              <w:t>93</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7.06</w:t>
            </w:r>
          </w:p>
        </w:tc>
        <w:tc>
          <w:tcPr>
            <w:tcW w:w="8220" w:type="dxa"/>
            <w:vAlign w:val="bottom"/>
          </w:tcPr>
          <w:p>
            <w:pPr>
              <w:ind w:left="120"/>
              <w:spacing w:after="0"/>
              <w:rPr>
                <w:sz w:val="20"/>
                <w:szCs w:val="20"/>
                <w:color w:val="auto"/>
              </w:rPr>
            </w:pPr>
            <w:r>
              <w:rPr>
                <w:rFonts w:ascii="Arial" w:cs="Arial" w:eastAsia="Arial" w:hAnsi="Arial"/>
                <w:sz w:val="22"/>
                <w:szCs w:val="22"/>
                <w:color w:val="auto"/>
              </w:rPr>
              <w:t>Maximum Leverage Ratio</w:t>
            </w:r>
          </w:p>
        </w:tc>
        <w:tc>
          <w:tcPr>
            <w:tcW w:w="1480" w:type="dxa"/>
            <w:vAlign w:val="bottom"/>
          </w:tcPr>
          <w:p>
            <w:pPr>
              <w:jc w:val="right"/>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7.07</w:t>
            </w:r>
          </w:p>
        </w:tc>
        <w:tc>
          <w:tcPr>
            <w:tcW w:w="8220" w:type="dxa"/>
            <w:vAlign w:val="bottom"/>
          </w:tcPr>
          <w:p>
            <w:pPr>
              <w:ind w:left="120"/>
              <w:spacing w:after="0"/>
              <w:rPr>
                <w:sz w:val="20"/>
                <w:szCs w:val="20"/>
                <w:color w:val="auto"/>
              </w:rPr>
            </w:pPr>
            <w:r>
              <w:rPr>
                <w:rFonts w:ascii="Arial" w:cs="Arial" w:eastAsia="Arial" w:hAnsi="Arial"/>
                <w:sz w:val="22"/>
                <w:szCs w:val="22"/>
                <w:color w:val="auto"/>
              </w:rPr>
              <w:t>Red Iron</w:t>
            </w:r>
          </w:p>
        </w:tc>
        <w:tc>
          <w:tcPr>
            <w:tcW w:w="1480" w:type="dxa"/>
            <w:vAlign w:val="bottom"/>
          </w:tcPr>
          <w:p>
            <w:pPr>
              <w:jc w:val="right"/>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7.08</w:t>
            </w:r>
          </w:p>
        </w:tc>
        <w:tc>
          <w:tcPr>
            <w:tcW w:w="8220" w:type="dxa"/>
            <w:vAlign w:val="bottom"/>
          </w:tcPr>
          <w:p>
            <w:pPr>
              <w:ind w:left="120"/>
              <w:spacing w:after="0"/>
              <w:rPr>
                <w:sz w:val="20"/>
                <w:szCs w:val="20"/>
                <w:color w:val="auto"/>
              </w:rPr>
            </w:pPr>
            <w:r>
              <w:rPr>
                <w:rFonts w:ascii="Arial" w:cs="Arial" w:eastAsia="Arial" w:hAnsi="Arial"/>
                <w:sz w:val="22"/>
                <w:szCs w:val="22"/>
                <w:color w:val="auto"/>
              </w:rPr>
              <w:t>Sanctions</w:t>
            </w:r>
          </w:p>
        </w:tc>
        <w:tc>
          <w:tcPr>
            <w:tcW w:w="1480" w:type="dxa"/>
            <w:vAlign w:val="bottom"/>
          </w:tcPr>
          <w:p>
            <w:pPr>
              <w:jc w:val="right"/>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97"/>
        </w:trPr>
        <w:tc>
          <w:tcPr>
            <w:tcW w:w="620" w:type="dxa"/>
            <w:vAlign w:val="bottom"/>
            <w:vMerge w:val="restart"/>
          </w:tcPr>
          <w:p>
            <w:pPr>
              <w:spacing w:after="0"/>
              <w:rPr>
                <w:sz w:val="20"/>
                <w:szCs w:val="20"/>
                <w:color w:val="auto"/>
              </w:rPr>
            </w:pPr>
            <w:r>
              <w:rPr>
                <w:rFonts w:ascii="Arial" w:cs="Arial" w:eastAsia="Arial" w:hAnsi="Arial"/>
                <w:sz w:val="22"/>
                <w:szCs w:val="22"/>
                <w:color w:val="auto"/>
              </w:rPr>
              <w:t>7.09</w:t>
            </w:r>
          </w:p>
        </w:tc>
        <w:tc>
          <w:tcPr>
            <w:tcW w:w="8220" w:type="dxa"/>
            <w:vAlign w:val="bottom"/>
          </w:tcPr>
          <w:p>
            <w:pPr>
              <w:ind w:left="120"/>
              <w:spacing w:after="0"/>
              <w:rPr>
                <w:sz w:val="20"/>
                <w:szCs w:val="20"/>
                <w:color w:val="auto"/>
              </w:rPr>
            </w:pPr>
            <w:r>
              <w:rPr>
                <w:rFonts w:ascii="Arial" w:cs="Arial" w:eastAsia="Arial" w:hAnsi="Arial"/>
                <w:sz w:val="22"/>
                <w:szCs w:val="22"/>
                <w:color w:val="auto"/>
              </w:rPr>
              <w:t>Anti-Corruption Laws</w:t>
            </w:r>
          </w:p>
        </w:tc>
        <w:tc>
          <w:tcPr>
            <w:tcW w:w="1480" w:type="dxa"/>
            <w:vAlign w:val="bottom"/>
            <w:vMerge w:val="restart"/>
          </w:tcPr>
          <w:p>
            <w:pPr>
              <w:jc w:val="right"/>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108"/>
        </w:trPr>
        <w:tc>
          <w:tcPr>
            <w:tcW w:w="620" w:type="dxa"/>
            <w:vAlign w:val="bottom"/>
            <w:vMerge w:val="continue"/>
          </w:tcPr>
          <w:p>
            <w:pPr>
              <w:spacing w:after="0"/>
              <w:rPr>
                <w:sz w:val="9"/>
                <w:szCs w:val="9"/>
                <w:color w:val="auto"/>
              </w:rPr>
            </w:pPr>
          </w:p>
        </w:tc>
        <w:tc>
          <w:tcPr>
            <w:tcW w:w="8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3"/>
        </w:trPr>
        <w:tc>
          <w:tcPr>
            <w:tcW w:w="620" w:type="dxa"/>
            <w:vAlign w:val="bottom"/>
          </w:tcPr>
          <w:p>
            <w:pPr>
              <w:spacing w:after="0"/>
              <w:rPr>
                <w:sz w:val="24"/>
                <w:szCs w:val="24"/>
                <w:color w:val="auto"/>
              </w:rPr>
            </w:pPr>
          </w:p>
        </w:tc>
        <w:tc>
          <w:tcPr>
            <w:tcW w:w="8220" w:type="dxa"/>
            <w:vAlign w:val="bottom"/>
          </w:tcPr>
          <w:p>
            <w:pPr>
              <w:jc w:val="center"/>
              <w:ind w:left="812"/>
              <w:spacing w:after="0"/>
              <w:rPr>
                <w:sz w:val="20"/>
                <w:szCs w:val="20"/>
                <w:color w:val="auto"/>
              </w:rPr>
            </w:pPr>
            <w:r>
              <w:rPr>
                <w:rFonts w:ascii="Arial" w:cs="Arial" w:eastAsia="Arial" w:hAnsi="Arial"/>
                <w:sz w:val="22"/>
                <w:szCs w:val="22"/>
                <w:color w:val="auto"/>
                <w:w w:val="99"/>
              </w:rPr>
              <w:t>ARTICLE VIII.</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tcPr>
          <w:p>
            <w:pPr>
              <w:spacing w:after="0"/>
              <w:rPr>
                <w:sz w:val="24"/>
                <w:szCs w:val="24"/>
                <w:color w:val="auto"/>
              </w:rPr>
            </w:pPr>
          </w:p>
        </w:tc>
        <w:tc>
          <w:tcPr>
            <w:tcW w:w="8220" w:type="dxa"/>
            <w:vAlign w:val="bottom"/>
          </w:tcPr>
          <w:p>
            <w:pPr>
              <w:jc w:val="center"/>
              <w:ind w:left="812"/>
              <w:spacing w:after="0"/>
              <w:rPr>
                <w:sz w:val="20"/>
                <w:szCs w:val="20"/>
                <w:color w:val="auto"/>
              </w:rPr>
            </w:pPr>
            <w:r>
              <w:rPr>
                <w:rFonts w:ascii="Arial" w:cs="Arial" w:eastAsia="Arial" w:hAnsi="Arial"/>
                <w:sz w:val="22"/>
                <w:szCs w:val="22"/>
                <w:color w:val="auto"/>
                <w:w w:val="94"/>
              </w:rPr>
              <w:t>EVENTS OF DEFAULT AND REMEDIES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20" w:type="dxa"/>
            <w:vAlign w:val="bottom"/>
          </w:tcPr>
          <w:p>
            <w:pPr>
              <w:spacing w:after="0"/>
              <w:rPr>
                <w:sz w:val="20"/>
                <w:szCs w:val="20"/>
                <w:color w:val="auto"/>
              </w:rPr>
            </w:pPr>
            <w:r>
              <w:rPr>
                <w:rFonts w:ascii="Arial" w:cs="Arial" w:eastAsia="Arial" w:hAnsi="Arial"/>
                <w:sz w:val="22"/>
                <w:szCs w:val="22"/>
                <w:color w:val="auto"/>
              </w:rPr>
              <w:t>8.01</w:t>
            </w:r>
          </w:p>
        </w:tc>
        <w:tc>
          <w:tcPr>
            <w:tcW w:w="8220" w:type="dxa"/>
            <w:vAlign w:val="bottom"/>
          </w:tcPr>
          <w:p>
            <w:pPr>
              <w:ind w:left="120"/>
              <w:spacing w:after="0"/>
              <w:rPr>
                <w:sz w:val="20"/>
                <w:szCs w:val="20"/>
                <w:color w:val="auto"/>
              </w:rPr>
            </w:pPr>
            <w:r>
              <w:rPr>
                <w:rFonts w:ascii="Arial" w:cs="Arial" w:eastAsia="Arial" w:hAnsi="Arial"/>
                <w:sz w:val="22"/>
                <w:szCs w:val="22"/>
                <w:color w:val="auto"/>
              </w:rPr>
              <w:t>Events of Default</w:t>
            </w:r>
          </w:p>
        </w:tc>
        <w:tc>
          <w:tcPr>
            <w:tcW w:w="1480" w:type="dxa"/>
            <w:vAlign w:val="bottom"/>
          </w:tcPr>
          <w:p>
            <w:pPr>
              <w:jc w:val="right"/>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8.02</w:t>
            </w:r>
          </w:p>
        </w:tc>
        <w:tc>
          <w:tcPr>
            <w:tcW w:w="8220" w:type="dxa"/>
            <w:vAlign w:val="bottom"/>
          </w:tcPr>
          <w:p>
            <w:pPr>
              <w:ind w:left="120"/>
              <w:spacing w:after="0"/>
              <w:rPr>
                <w:sz w:val="20"/>
                <w:szCs w:val="20"/>
                <w:color w:val="auto"/>
              </w:rPr>
            </w:pPr>
            <w:r>
              <w:rPr>
                <w:rFonts w:ascii="Arial" w:cs="Arial" w:eastAsia="Arial" w:hAnsi="Arial"/>
                <w:sz w:val="22"/>
                <w:szCs w:val="22"/>
                <w:color w:val="auto"/>
              </w:rPr>
              <w:t>Remedies Upon Event of Default</w:t>
            </w:r>
          </w:p>
        </w:tc>
        <w:tc>
          <w:tcPr>
            <w:tcW w:w="1480" w:type="dxa"/>
            <w:vAlign w:val="bottom"/>
          </w:tcPr>
          <w:p>
            <w:pPr>
              <w:jc w:val="right"/>
              <w:spacing w:after="0"/>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97"/>
        </w:trPr>
        <w:tc>
          <w:tcPr>
            <w:tcW w:w="620" w:type="dxa"/>
            <w:vAlign w:val="bottom"/>
            <w:vMerge w:val="restart"/>
          </w:tcPr>
          <w:p>
            <w:pPr>
              <w:spacing w:after="0"/>
              <w:rPr>
                <w:sz w:val="20"/>
                <w:szCs w:val="20"/>
                <w:color w:val="auto"/>
              </w:rPr>
            </w:pPr>
            <w:r>
              <w:rPr>
                <w:rFonts w:ascii="Arial" w:cs="Arial" w:eastAsia="Arial" w:hAnsi="Arial"/>
                <w:sz w:val="22"/>
                <w:szCs w:val="22"/>
                <w:color w:val="auto"/>
              </w:rPr>
              <w:t>8.03</w:t>
            </w:r>
          </w:p>
        </w:tc>
        <w:tc>
          <w:tcPr>
            <w:tcW w:w="8220" w:type="dxa"/>
            <w:vAlign w:val="bottom"/>
          </w:tcPr>
          <w:p>
            <w:pPr>
              <w:ind w:left="120"/>
              <w:spacing w:after="0"/>
              <w:rPr>
                <w:sz w:val="20"/>
                <w:szCs w:val="20"/>
                <w:color w:val="auto"/>
              </w:rPr>
            </w:pPr>
            <w:r>
              <w:rPr>
                <w:rFonts w:ascii="Arial" w:cs="Arial" w:eastAsia="Arial" w:hAnsi="Arial"/>
                <w:sz w:val="22"/>
                <w:szCs w:val="22"/>
                <w:color w:val="auto"/>
              </w:rPr>
              <w:t>Application of Funds</w:t>
            </w:r>
          </w:p>
        </w:tc>
        <w:tc>
          <w:tcPr>
            <w:tcW w:w="1480" w:type="dxa"/>
            <w:vAlign w:val="bottom"/>
            <w:vMerge w:val="restart"/>
          </w:tcPr>
          <w:p>
            <w:pPr>
              <w:jc w:val="right"/>
              <w:spacing w:after="0"/>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108"/>
        </w:trPr>
        <w:tc>
          <w:tcPr>
            <w:tcW w:w="620" w:type="dxa"/>
            <w:vAlign w:val="bottom"/>
            <w:vMerge w:val="continue"/>
          </w:tcPr>
          <w:p>
            <w:pPr>
              <w:spacing w:after="0"/>
              <w:rPr>
                <w:sz w:val="9"/>
                <w:szCs w:val="9"/>
                <w:color w:val="auto"/>
              </w:rPr>
            </w:pPr>
          </w:p>
        </w:tc>
        <w:tc>
          <w:tcPr>
            <w:tcW w:w="8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3"/>
        </w:trPr>
        <w:tc>
          <w:tcPr>
            <w:tcW w:w="620" w:type="dxa"/>
            <w:vAlign w:val="bottom"/>
          </w:tcPr>
          <w:p>
            <w:pPr>
              <w:spacing w:after="0"/>
              <w:rPr>
                <w:sz w:val="24"/>
                <w:szCs w:val="24"/>
                <w:color w:val="auto"/>
              </w:rPr>
            </w:pPr>
          </w:p>
        </w:tc>
        <w:tc>
          <w:tcPr>
            <w:tcW w:w="8220" w:type="dxa"/>
            <w:vAlign w:val="bottom"/>
          </w:tcPr>
          <w:p>
            <w:pPr>
              <w:jc w:val="center"/>
              <w:ind w:left="832"/>
              <w:spacing w:after="0"/>
              <w:rPr>
                <w:sz w:val="20"/>
                <w:szCs w:val="20"/>
                <w:color w:val="auto"/>
              </w:rPr>
            </w:pPr>
            <w:r>
              <w:rPr>
                <w:rFonts w:ascii="Arial" w:cs="Arial" w:eastAsia="Arial" w:hAnsi="Arial"/>
                <w:sz w:val="22"/>
                <w:szCs w:val="22"/>
                <w:color w:val="auto"/>
                <w:w w:val="98"/>
              </w:rPr>
              <w:t>ARTICLE IX.</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20" w:type="dxa"/>
            <w:vAlign w:val="bottom"/>
          </w:tcPr>
          <w:p>
            <w:pPr>
              <w:spacing w:after="0"/>
              <w:rPr>
                <w:sz w:val="24"/>
                <w:szCs w:val="24"/>
                <w:color w:val="auto"/>
              </w:rPr>
            </w:pPr>
          </w:p>
        </w:tc>
        <w:tc>
          <w:tcPr>
            <w:tcW w:w="8220" w:type="dxa"/>
            <w:vAlign w:val="bottom"/>
          </w:tcPr>
          <w:p>
            <w:pPr>
              <w:jc w:val="center"/>
              <w:ind w:left="832"/>
              <w:spacing w:after="0"/>
              <w:rPr>
                <w:sz w:val="20"/>
                <w:szCs w:val="20"/>
                <w:color w:val="auto"/>
              </w:rPr>
            </w:pPr>
            <w:r>
              <w:rPr>
                <w:rFonts w:ascii="Arial" w:cs="Arial" w:eastAsia="Arial" w:hAnsi="Arial"/>
                <w:sz w:val="22"/>
                <w:szCs w:val="22"/>
                <w:color w:val="auto"/>
                <w:w w:val="97"/>
              </w:rPr>
              <w:t>ADMINISTRATIVE AGENT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20" w:type="dxa"/>
            <w:vAlign w:val="bottom"/>
          </w:tcPr>
          <w:p>
            <w:pPr>
              <w:spacing w:after="0"/>
              <w:rPr>
                <w:sz w:val="20"/>
                <w:szCs w:val="20"/>
                <w:color w:val="auto"/>
              </w:rPr>
            </w:pPr>
            <w:r>
              <w:rPr>
                <w:rFonts w:ascii="Arial" w:cs="Arial" w:eastAsia="Arial" w:hAnsi="Arial"/>
                <w:sz w:val="22"/>
                <w:szCs w:val="22"/>
                <w:color w:val="auto"/>
              </w:rPr>
              <w:t>9.01</w:t>
            </w:r>
          </w:p>
        </w:tc>
        <w:tc>
          <w:tcPr>
            <w:tcW w:w="8220" w:type="dxa"/>
            <w:vAlign w:val="bottom"/>
          </w:tcPr>
          <w:p>
            <w:pPr>
              <w:ind w:left="120"/>
              <w:spacing w:after="0"/>
              <w:rPr>
                <w:sz w:val="20"/>
                <w:szCs w:val="20"/>
                <w:color w:val="auto"/>
              </w:rPr>
            </w:pPr>
            <w:r>
              <w:rPr>
                <w:rFonts w:ascii="Arial" w:cs="Arial" w:eastAsia="Arial" w:hAnsi="Arial"/>
                <w:sz w:val="22"/>
                <w:szCs w:val="22"/>
                <w:color w:val="auto"/>
              </w:rPr>
              <w:t>Appointment and Authority</w:t>
            </w:r>
          </w:p>
        </w:tc>
        <w:tc>
          <w:tcPr>
            <w:tcW w:w="1480" w:type="dxa"/>
            <w:vAlign w:val="bottom"/>
          </w:tcPr>
          <w:p>
            <w:pPr>
              <w:jc w:val="right"/>
              <w:spacing w:after="0"/>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9.02</w:t>
            </w:r>
          </w:p>
        </w:tc>
        <w:tc>
          <w:tcPr>
            <w:tcW w:w="8220" w:type="dxa"/>
            <w:vAlign w:val="bottom"/>
          </w:tcPr>
          <w:p>
            <w:pPr>
              <w:ind w:left="120"/>
              <w:spacing w:after="0"/>
              <w:rPr>
                <w:sz w:val="20"/>
                <w:szCs w:val="20"/>
                <w:color w:val="auto"/>
              </w:rPr>
            </w:pPr>
            <w:r>
              <w:rPr>
                <w:rFonts w:ascii="Arial" w:cs="Arial" w:eastAsia="Arial" w:hAnsi="Arial"/>
                <w:sz w:val="22"/>
                <w:szCs w:val="22"/>
                <w:color w:val="auto"/>
              </w:rPr>
              <w:t>Rights as a Lender</w:t>
            </w:r>
          </w:p>
        </w:tc>
        <w:tc>
          <w:tcPr>
            <w:tcW w:w="1480" w:type="dxa"/>
            <w:vAlign w:val="bottom"/>
          </w:tcPr>
          <w:p>
            <w:pPr>
              <w:jc w:val="right"/>
              <w:spacing w:after="0"/>
              <w:rPr>
                <w:sz w:val="20"/>
                <w:szCs w:val="20"/>
                <w:color w:val="auto"/>
              </w:rPr>
            </w:pPr>
            <w:r>
              <w:rPr>
                <w:rFonts w:ascii="Arial" w:cs="Arial" w:eastAsia="Arial" w:hAnsi="Arial"/>
                <w:sz w:val="22"/>
                <w:szCs w:val="22"/>
                <w:color w:val="auto"/>
              </w:rPr>
              <w:t>99</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9.03</w:t>
            </w:r>
          </w:p>
        </w:tc>
        <w:tc>
          <w:tcPr>
            <w:tcW w:w="8220" w:type="dxa"/>
            <w:vAlign w:val="bottom"/>
          </w:tcPr>
          <w:p>
            <w:pPr>
              <w:ind w:left="120"/>
              <w:spacing w:after="0"/>
              <w:rPr>
                <w:sz w:val="20"/>
                <w:szCs w:val="20"/>
                <w:color w:val="auto"/>
              </w:rPr>
            </w:pPr>
            <w:r>
              <w:rPr>
                <w:rFonts w:ascii="Arial" w:cs="Arial" w:eastAsia="Arial" w:hAnsi="Arial"/>
                <w:sz w:val="22"/>
                <w:szCs w:val="22"/>
                <w:color w:val="auto"/>
              </w:rPr>
              <w:t>Exculpatory Provisions</w:t>
            </w:r>
          </w:p>
        </w:tc>
        <w:tc>
          <w:tcPr>
            <w:tcW w:w="1480" w:type="dxa"/>
            <w:vAlign w:val="bottom"/>
          </w:tcPr>
          <w:p>
            <w:pPr>
              <w:jc w:val="right"/>
              <w:spacing w:after="0"/>
              <w:rPr>
                <w:sz w:val="20"/>
                <w:szCs w:val="20"/>
                <w:color w:val="auto"/>
              </w:rPr>
            </w:pPr>
            <w:r>
              <w:rPr>
                <w:rFonts w:ascii="Arial" w:cs="Arial" w:eastAsia="Arial" w:hAnsi="Arial"/>
                <w:sz w:val="22"/>
                <w:szCs w:val="22"/>
                <w:color w:val="auto"/>
              </w:rPr>
              <w:t>99</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9.04</w:t>
            </w:r>
          </w:p>
        </w:tc>
        <w:tc>
          <w:tcPr>
            <w:tcW w:w="8220" w:type="dxa"/>
            <w:vAlign w:val="bottom"/>
          </w:tcPr>
          <w:p>
            <w:pPr>
              <w:ind w:left="120"/>
              <w:spacing w:after="0"/>
              <w:rPr>
                <w:sz w:val="20"/>
                <w:szCs w:val="20"/>
                <w:color w:val="auto"/>
              </w:rPr>
            </w:pPr>
            <w:r>
              <w:rPr>
                <w:rFonts w:ascii="Arial" w:cs="Arial" w:eastAsia="Arial" w:hAnsi="Arial"/>
                <w:sz w:val="22"/>
                <w:szCs w:val="22"/>
                <w:color w:val="auto"/>
              </w:rPr>
              <w:t>Reliance by Administrative Agent</w:t>
            </w:r>
          </w:p>
        </w:tc>
        <w:tc>
          <w:tcPr>
            <w:tcW w:w="1480" w:type="dxa"/>
            <w:vAlign w:val="bottom"/>
          </w:tcPr>
          <w:p>
            <w:pPr>
              <w:jc w:val="right"/>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9.05</w:t>
            </w:r>
          </w:p>
        </w:tc>
        <w:tc>
          <w:tcPr>
            <w:tcW w:w="8220" w:type="dxa"/>
            <w:vAlign w:val="bottom"/>
          </w:tcPr>
          <w:p>
            <w:pPr>
              <w:ind w:left="120"/>
              <w:spacing w:after="0"/>
              <w:rPr>
                <w:sz w:val="20"/>
                <w:szCs w:val="20"/>
                <w:color w:val="auto"/>
              </w:rPr>
            </w:pPr>
            <w:r>
              <w:rPr>
                <w:rFonts w:ascii="Arial" w:cs="Arial" w:eastAsia="Arial" w:hAnsi="Arial"/>
                <w:sz w:val="22"/>
                <w:szCs w:val="22"/>
                <w:color w:val="auto"/>
              </w:rPr>
              <w:t>Delegation of Duties</w:t>
            </w:r>
          </w:p>
        </w:tc>
        <w:tc>
          <w:tcPr>
            <w:tcW w:w="1480" w:type="dxa"/>
            <w:vAlign w:val="bottom"/>
          </w:tcPr>
          <w:p>
            <w:pPr>
              <w:jc w:val="right"/>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9.06</w:t>
            </w:r>
          </w:p>
        </w:tc>
        <w:tc>
          <w:tcPr>
            <w:tcW w:w="8220" w:type="dxa"/>
            <w:vAlign w:val="bottom"/>
          </w:tcPr>
          <w:p>
            <w:pPr>
              <w:ind w:left="120"/>
              <w:spacing w:after="0"/>
              <w:rPr>
                <w:sz w:val="20"/>
                <w:szCs w:val="20"/>
                <w:color w:val="auto"/>
              </w:rPr>
            </w:pPr>
            <w:r>
              <w:rPr>
                <w:rFonts w:ascii="Arial" w:cs="Arial" w:eastAsia="Arial" w:hAnsi="Arial"/>
                <w:sz w:val="22"/>
                <w:szCs w:val="22"/>
                <w:color w:val="auto"/>
              </w:rPr>
              <w:t>Resignation or Removal of Administrative Agent</w:t>
            </w:r>
          </w:p>
        </w:tc>
        <w:tc>
          <w:tcPr>
            <w:tcW w:w="1480" w:type="dxa"/>
            <w:vAlign w:val="bottom"/>
          </w:tcPr>
          <w:p>
            <w:pPr>
              <w:jc w:val="right"/>
              <w:spacing w:after="0"/>
              <w:rPr>
                <w:sz w:val="20"/>
                <w:szCs w:val="20"/>
                <w:color w:val="auto"/>
              </w:rPr>
            </w:pPr>
            <w:r>
              <w:rPr>
                <w:rFonts w:ascii="Arial" w:cs="Arial" w:eastAsia="Arial" w:hAnsi="Arial"/>
                <w:sz w:val="22"/>
                <w:szCs w:val="22"/>
                <w:color w:val="auto"/>
              </w:rPr>
              <w:t>101</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9.07</w:t>
            </w:r>
          </w:p>
        </w:tc>
        <w:tc>
          <w:tcPr>
            <w:tcW w:w="8220" w:type="dxa"/>
            <w:vAlign w:val="bottom"/>
          </w:tcPr>
          <w:p>
            <w:pPr>
              <w:ind w:left="120"/>
              <w:spacing w:after="0"/>
              <w:rPr>
                <w:sz w:val="20"/>
                <w:szCs w:val="20"/>
                <w:color w:val="auto"/>
              </w:rPr>
            </w:pPr>
            <w:r>
              <w:rPr>
                <w:rFonts w:ascii="Arial" w:cs="Arial" w:eastAsia="Arial" w:hAnsi="Arial"/>
                <w:sz w:val="22"/>
                <w:szCs w:val="22"/>
                <w:color w:val="auto"/>
              </w:rPr>
              <w:t>Non-Reliance on Administrative Agent and Other Lenders</w:t>
            </w:r>
          </w:p>
        </w:tc>
        <w:tc>
          <w:tcPr>
            <w:tcW w:w="1480" w:type="dxa"/>
            <w:vAlign w:val="bottom"/>
          </w:tcPr>
          <w:p>
            <w:pPr>
              <w:jc w:val="right"/>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9.08</w:t>
            </w:r>
          </w:p>
        </w:tc>
        <w:tc>
          <w:tcPr>
            <w:tcW w:w="8220" w:type="dxa"/>
            <w:vAlign w:val="bottom"/>
          </w:tcPr>
          <w:p>
            <w:pPr>
              <w:ind w:left="120"/>
              <w:spacing w:after="0"/>
              <w:rPr>
                <w:sz w:val="20"/>
                <w:szCs w:val="20"/>
                <w:color w:val="auto"/>
              </w:rPr>
            </w:pPr>
            <w:r>
              <w:rPr>
                <w:rFonts w:ascii="Arial" w:cs="Arial" w:eastAsia="Arial" w:hAnsi="Arial"/>
                <w:sz w:val="22"/>
                <w:szCs w:val="22"/>
                <w:color w:val="auto"/>
              </w:rPr>
              <w:t>No Other Duties, Etc</w:t>
            </w:r>
          </w:p>
        </w:tc>
        <w:tc>
          <w:tcPr>
            <w:tcW w:w="1480" w:type="dxa"/>
            <w:vAlign w:val="bottom"/>
          </w:tcPr>
          <w:p>
            <w:pPr>
              <w:jc w:val="right"/>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9.09</w:t>
            </w:r>
          </w:p>
        </w:tc>
        <w:tc>
          <w:tcPr>
            <w:tcW w:w="8220" w:type="dxa"/>
            <w:vAlign w:val="bottom"/>
          </w:tcPr>
          <w:p>
            <w:pPr>
              <w:ind w:left="120"/>
              <w:spacing w:after="0"/>
              <w:rPr>
                <w:sz w:val="20"/>
                <w:szCs w:val="20"/>
                <w:color w:val="auto"/>
              </w:rPr>
            </w:pPr>
            <w:r>
              <w:rPr>
                <w:rFonts w:ascii="Arial" w:cs="Arial" w:eastAsia="Arial" w:hAnsi="Arial"/>
                <w:sz w:val="22"/>
                <w:szCs w:val="22"/>
                <w:color w:val="auto"/>
              </w:rPr>
              <w:t>Administrative Agent May File Proofs of Claim</w:t>
            </w:r>
          </w:p>
        </w:tc>
        <w:tc>
          <w:tcPr>
            <w:tcW w:w="1480" w:type="dxa"/>
            <w:vAlign w:val="bottom"/>
          </w:tcPr>
          <w:p>
            <w:pPr>
              <w:jc w:val="right"/>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97"/>
        </w:trPr>
        <w:tc>
          <w:tcPr>
            <w:tcW w:w="620" w:type="dxa"/>
            <w:vAlign w:val="bottom"/>
            <w:vMerge w:val="restart"/>
          </w:tcPr>
          <w:p>
            <w:pPr>
              <w:spacing w:after="0"/>
              <w:rPr>
                <w:sz w:val="20"/>
                <w:szCs w:val="20"/>
                <w:color w:val="auto"/>
              </w:rPr>
            </w:pPr>
            <w:r>
              <w:rPr>
                <w:rFonts w:ascii="Arial" w:cs="Arial" w:eastAsia="Arial" w:hAnsi="Arial"/>
                <w:sz w:val="22"/>
                <w:szCs w:val="22"/>
                <w:color w:val="auto"/>
              </w:rPr>
              <w:t>9.10</w:t>
            </w:r>
          </w:p>
        </w:tc>
        <w:tc>
          <w:tcPr>
            <w:tcW w:w="8220" w:type="dxa"/>
            <w:vAlign w:val="bottom"/>
          </w:tcPr>
          <w:p>
            <w:pPr>
              <w:ind w:left="120"/>
              <w:spacing w:after="0"/>
              <w:rPr>
                <w:sz w:val="20"/>
                <w:szCs w:val="20"/>
                <w:color w:val="auto"/>
              </w:rPr>
            </w:pPr>
            <w:r>
              <w:rPr>
                <w:rFonts w:ascii="Arial" w:cs="Arial" w:eastAsia="Arial" w:hAnsi="Arial"/>
                <w:sz w:val="22"/>
                <w:szCs w:val="22"/>
                <w:color w:val="auto"/>
              </w:rPr>
              <w:t>No Lender is an Employee Benefit Plan</w:t>
            </w:r>
          </w:p>
        </w:tc>
        <w:tc>
          <w:tcPr>
            <w:tcW w:w="1480" w:type="dxa"/>
            <w:vAlign w:val="bottom"/>
            <w:vMerge w:val="restart"/>
          </w:tcPr>
          <w:p>
            <w:pPr>
              <w:jc w:val="right"/>
              <w:spacing w:after="0"/>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108"/>
        </w:trPr>
        <w:tc>
          <w:tcPr>
            <w:tcW w:w="620" w:type="dxa"/>
            <w:vAlign w:val="bottom"/>
            <w:vMerge w:val="continue"/>
          </w:tcPr>
          <w:p>
            <w:pPr>
              <w:spacing w:after="0"/>
              <w:rPr>
                <w:sz w:val="9"/>
                <w:szCs w:val="9"/>
                <w:color w:val="auto"/>
              </w:rPr>
            </w:pPr>
          </w:p>
        </w:tc>
        <w:tc>
          <w:tcPr>
            <w:tcW w:w="8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3"/>
        </w:trPr>
        <w:tc>
          <w:tcPr>
            <w:tcW w:w="620" w:type="dxa"/>
            <w:vAlign w:val="bottom"/>
          </w:tcPr>
          <w:p>
            <w:pPr>
              <w:spacing w:after="0"/>
              <w:rPr>
                <w:sz w:val="24"/>
                <w:szCs w:val="24"/>
                <w:color w:val="auto"/>
              </w:rPr>
            </w:pPr>
          </w:p>
        </w:tc>
        <w:tc>
          <w:tcPr>
            <w:tcW w:w="8220" w:type="dxa"/>
            <w:vAlign w:val="bottom"/>
          </w:tcPr>
          <w:p>
            <w:pPr>
              <w:jc w:val="center"/>
              <w:ind w:left="832"/>
              <w:spacing w:after="0"/>
              <w:rPr>
                <w:sz w:val="20"/>
                <w:szCs w:val="20"/>
                <w:color w:val="auto"/>
              </w:rPr>
            </w:pPr>
            <w:r>
              <w:rPr>
                <w:rFonts w:ascii="Arial" w:cs="Arial" w:eastAsia="Arial" w:hAnsi="Arial"/>
                <w:sz w:val="22"/>
                <w:szCs w:val="22"/>
                <w:color w:val="auto"/>
                <w:w w:val="96"/>
              </w:rPr>
              <w:t>ARTICLE X.</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20" w:type="dxa"/>
            <w:vAlign w:val="bottom"/>
          </w:tcPr>
          <w:p>
            <w:pPr>
              <w:spacing w:after="0"/>
              <w:rPr>
                <w:sz w:val="24"/>
                <w:szCs w:val="24"/>
                <w:color w:val="auto"/>
              </w:rPr>
            </w:pPr>
          </w:p>
        </w:tc>
        <w:tc>
          <w:tcPr>
            <w:tcW w:w="8220" w:type="dxa"/>
            <w:vAlign w:val="bottom"/>
          </w:tcPr>
          <w:p>
            <w:pPr>
              <w:jc w:val="center"/>
              <w:ind w:left="832"/>
              <w:spacing w:after="0"/>
              <w:rPr>
                <w:sz w:val="20"/>
                <w:szCs w:val="20"/>
                <w:color w:val="auto"/>
              </w:rPr>
            </w:pPr>
            <w:r>
              <w:rPr>
                <w:rFonts w:ascii="Arial" w:cs="Arial" w:eastAsia="Arial" w:hAnsi="Arial"/>
                <w:sz w:val="22"/>
                <w:szCs w:val="22"/>
                <w:color w:val="auto"/>
                <w:w w:val="88"/>
              </w:rPr>
              <w:t>Guaranty</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20" w:type="dxa"/>
            <w:vAlign w:val="bottom"/>
          </w:tcPr>
          <w:p>
            <w:pPr>
              <w:spacing w:after="0"/>
              <w:rPr>
                <w:sz w:val="20"/>
                <w:szCs w:val="20"/>
                <w:color w:val="auto"/>
              </w:rPr>
            </w:pPr>
            <w:r>
              <w:rPr>
                <w:rFonts w:ascii="Arial" w:cs="Arial" w:eastAsia="Arial" w:hAnsi="Arial"/>
                <w:sz w:val="22"/>
                <w:szCs w:val="22"/>
                <w:color w:val="auto"/>
              </w:rPr>
              <w:t>10.01</w:t>
            </w:r>
          </w:p>
        </w:tc>
        <w:tc>
          <w:tcPr>
            <w:tcW w:w="8220" w:type="dxa"/>
            <w:vAlign w:val="bottom"/>
          </w:tcPr>
          <w:p>
            <w:pPr>
              <w:ind w:left="120"/>
              <w:spacing w:after="0"/>
              <w:rPr>
                <w:sz w:val="20"/>
                <w:szCs w:val="20"/>
                <w:color w:val="auto"/>
              </w:rPr>
            </w:pPr>
            <w:r>
              <w:rPr>
                <w:rFonts w:ascii="Arial" w:cs="Arial" w:eastAsia="Arial" w:hAnsi="Arial"/>
                <w:sz w:val="22"/>
                <w:szCs w:val="22"/>
                <w:color w:val="auto"/>
              </w:rPr>
              <w:t>The Guaranty</w:t>
            </w:r>
          </w:p>
        </w:tc>
        <w:tc>
          <w:tcPr>
            <w:tcW w:w="1480" w:type="dxa"/>
            <w:vAlign w:val="bottom"/>
          </w:tcPr>
          <w:p>
            <w:pPr>
              <w:jc w:val="right"/>
              <w:spacing w:after="0"/>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10.02</w:t>
            </w:r>
          </w:p>
        </w:tc>
        <w:tc>
          <w:tcPr>
            <w:tcW w:w="8220" w:type="dxa"/>
            <w:vAlign w:val="bottom"/>
          </w:tcPr>
          <w:p>
            <w:pPr>
              <w:ind w:left="120"/>
              <w:spacing w:after="0"/>
              <w:rPr>
                <w:sz w:val="20"/>
                <w:szCs w:val="20"/>
                <w:color w:val="auto"/>
              </w:rPr>
            </w:pPr>
            <w:r>
              <w:rPr>
                <w:rFonts w:ascii="Arial" w:cs="Arial" w:eastAsia="Arial" w:hAnsi="Arial"/>
                <w:sz w:val="22"/>
                <w:szCs w:val="22"/>
                <w:color w:val="auto"/>
              </w:rPr>
              <w:t>Guaranty Unconditional</w:t>
            </w:r>
          </w:p>
        </w:tc>
        <w:tc>
          <w:tcPr>
            <w:tcW w:w="1480" w:type="dxa"/>
            <w:vAlign w:val="bottom"/>
          </w:tcPr>
          <w:p>
            <w:pPr>
              <w:jc w:val="right"/>
              <w:spacing w:after="0"/>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10.03</w:t>
            </w:r>
          </w:p>
        </w:tc>
        <w:tc>
          <w:tcPr>
            <w:tcW w:w="8220" w:type="dxa"/>
            <w:vAlign w:val="bottom"/>
          </w:tcPr>
          <w:p>
            <w:pPr>
              <w:ind w:left="120"/>
              <w:spacing w:after="0"/>
              <w:rPr>
                <w:sz w:val="20"/>
                <w:szCs w:val="20"/>
                <w:color w:val="auto"/>
              </w:rPr>
            </w:pPr>
            <w:r>
              <w:rPr>
                <w:rFonts w:ascii="Arial" w:cs="Arial" w:eastAsia="Arial" w:hAnsi="Arial"/>
                <w:sz w:val="22"/>
                <w:szCs w:val="22"/>
                <w:color w:val="auto"/>
              </w:rPr>
              <w:t>Discharge Only Upon Payment In Full; Reinstatement In Certain Circumstances</w:t>
            </w:r>
          </w:p>
        </w:tc>
        <w:tc>
          <w:tcPr>
            <w:tcW w:w="1480" w:type="dxa"/>
            <w:vAlign w:val="bottom"/>
          </w:tcPr>
          <w:p>
            <w:pPr>
              <w:jc w:val="right"/>
              <w:spacing w:after="0"/>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10.04</w:t>
            </w:r>
          </w:p>
        </w:tc>
        <w:tc>
          <w:tcPr>
            <w:tcW w:w="8220" w:type="dxa"/>
            <w:vAlign w:val="bottom"/>
          </w:tcPr>
          <w:p>
            <w:pPr>
              <w:ind w:left="120"/>
              <w:spacing w:after="0"/>
              <w:rPr>
                <w:sz w:val="20"/>
                <w:szCs w:val="20"/>
                <w:color w:val="auto"/>
              </w:rPr>
            </w:pPr>
            <w:r>
              <w:rPr>
                <w:rFonts w:ascii="Arial" w:cs="Arial" w:eastAsia="Arial" w:hAnsi="Arial"/>
                <w:sz w:val="22"/>
                <w:szCs w:val="22"/>
                <w:color w:val="auto"/>
              </w:rPr>
              <w:t>Waiver by Toro</w:t>
            </w:r>
          </w:p>
        </w:tc>
        <w:tc>
          <w:tcPr>
            <w:tcW w:w="1480" w:type="dxa"/>
            <w:vAlign w:val="bottom"/>
          </w:tcPr>
          <w:p>
            <w:pPr>
              <w:jc w:val="right"/>
              <w:spacing w:after="0"/>
              <w:rPr>
                <w:sz w:val="20"/>
                <w:szCs w:val="20"/>
                <w:color w:val="auto"/>
              </w:rPr>
            </w:pPr>
            <w:r>
              <w:rPr>
                <w:rFonts w:ascii="Arial" w:cs="Arial" w:eastAsia="Arial" w:hAnsi="Arial"/>
                <w:sz w:val="22"/>
                <w:szCs w:val="22"/>
                <w:color w:val="auto"/>
              </w:rPr>
              <w:t>107</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10.05</w:t>
            </w:r>
          </w:p>
        </w:tc>
        <w:tc>
          <w:tcPr>
            <w:tcW w:w="8220" w:type="dxa"/>
            <w:vAlign w:val="bottom"/>
          </w:tcPr>
          <w:p>
            <w:pPr>
              <w:ind w:left="120"/>
              <w:spacing w:after="0"/>
              <w:rPr>
                <w:sz w:val="20"/>
                <w:szCs w:val="20"/>
                <w:color w:val="auto"/>
              </w:rPr>
            </w:pPr>
            <w:r>
              <w:rPr>
                <w:rFonts w:ascii="Arial" w:cs="Arial" w:eastAsia="Arial" w:hAnsi="Arial"/>
                <w:sz w:val="22"/>
                <w:szCs w:val="22"/>
                <w:color w:val="auto"/>
              </w:rPr>
              <w:t>No Subrogation</w:t>
            </w:r>
          </w:p>
        </w:tc>
        <w:tc>
          <w:tcPr>
            <w:tcW w:w="1480" w:type="dxa"/>
            <w:vAlign w:val="bottom"/>
          </w:tcPr>
          <w:p>
            <w:pPr>
              <w:jc w:val="right"/>
              <w:spacing w:after="0"/>
              <w:rPr>
                <w:sz w:val="20"/>
                <w:szCs w:val="20"/>
                <w:color w:val="auto"/>
              </w:rPr>
            </w:pPr>
            <w:r>
              <w:rPr>
                <w:rFonts w:ascii="Arial" w:cs="Arial" w:eastAsia="Arial" w:hAnsi="Arial"/>
                <w:sz w:val="22"/>
                <w:szCs w:val="22"/>
                <w:color w:val="auto"/>
              </w:rPr>
              <w:t>107</w:t>
            </w:r>
          </w:p>
        </w:tc>
        <w:tc>
          <w:tcPr>
            <w:tcW w:w="0" w:type="dxa"/>
            <w:vAlign w:val="bottom"/>
          </w:tcPr>
          <w:p>
            <w:pPr>
              <w:spacing w:after="0"/>
              <w:rPr>
                <w:sz w:val="1"/>
                <w:szCs w:val="1"/>
                <w:color w:val="auto"/>
              </w:rPr>
            </w:pPr>
          </w:p>
        </w:tc>
      </w:tr>
      <w:tr>
        <w:trPr>
          <w:trHeight w:val="297"/>
        </w:trPr>
        <w:tc>
          <w:tcPr>
            <w:tcW w:w="620" w:type="dxa"/>
            <w:vAlign w:val="bottom"/>
            <w:vMerge w:val="restart"/>
          </w:tcPr>
          <w:p>
            <w:pPr>
              <w:spacing w:after="0"/>
              <w:rPr>
                <w:sz w:val="20"/>
                <w:szCs w:val="20"/>
                <w:color w:val="auto"/>
              </w:rPr>
            </w:pPr>
            <w:r>
              <w:rPr>
                <w:rFonts w:ascii="Arial" w:cs="Arial" w:eastAsia="Arial" w:hAnsi="Arial"/>
                <w:sz w:val="22"/>
                <w:szCs w:val="22"/>
                <w:color w:val="auto"/>
              </w:rPr>
              <w:t>10.06</w:t>
            </w:r>
          </w:p>
        </w:tc>
        <w:tc>
          <w:tcPr>
            <w:tcW w:w="8220" w:type="dxa"/>
            <w:vAlign w:val="bottom"/>
          </w:tcPr>
          <w:p>
            <w:pPr>
              <w:ind w:left="120"/>
              <w:spacing w:after="0"/>
              <w:rPr>
                <w:sz w:val="20"/>
                <w:szCs w:val="20"/>
                <w:color w:val="auto"/>
              </w:rPr>
            </w:pPr>
            <w:r>
              <w:rPr>
                <w:rFonts w:ascii="Arial" w:cs="Arial" w:eastAsia="Arial" w:hAnsi="Arial"/>
                <w:sz w:val="22"/>
                <w:szCs w:val="22"/>
                <w:color w:val="auto"/>
              </w:rPr>
              <w:t>Stay of Acceleration</w:t>
            </w:r>
          </w:p>
        </w:tc>
        <w:tc>
          <w:tcPr>
            <w:tcW w:w="1480" w:type="dxa"/>
            <w:vAlign w:val="bottom"/>
            <w:vMerge w:val="restart"/>
          </w:tcPr>
          <w:p>
            <w:pPr>
              <w:jc w:val="right"/>
              <w:spacing w:after="0"/>
              <w:rPr>
                <w:sz w:val="20"/>
                <w:szCs w:val="20"/>
                <w:color w:val="auto"/>
              </w:rPr>
            </w:pPr>
            <w:r>
              <w:rPr>
                <w:rFonts w:ascii="Arial" w:cs="Arial" w:eastAsia="Arial" w:hAnsi="Arial"/>
                <w:sz w:val="22"/>
                <w:szCs w:val="22"/>
                <w:color w:val="auto"/>
              </w:rPr>
              <w:t>107</w:t>
            </w:r>
          </w:p>
        </w:tc>
        <w:tc>
          <w:tcPr>
            <w:tcW w:w="0" w:type="dxa"/>
            <w:vAlign w:val="bottom"/>
          </w:tcPr>
          <w:p>
            <w:pPr>
              <w:spacing w:after="0"/>
              <w:rPr>
                <w:sz w:val="1"/>
                <w:szCs w:val="1"/>
                <w:color w:val="auto"/>
              </w:rPr>
            </w:pPr>
          </w:p>
        </w:tc>
      </w:tr>
      <w:tr>
        <w:trPr>
          <w:trHeight w:val="108"/>
        </w:trPr>
        <w:tc>
          <w:tcPr>
            <w:tcW w:w="620" w:type="dxa"/>
            <w:vAlign w:val="bottom"/>
            <w:vMerge w:val="continue"/>
          </w:tcPr>
          <w:p>
            <w:pPr>
              <w:spacing w:after="0"/>
              <w:rPr>
                <w:sz w:val="9"/>
                <w:szCs w:val="9"/>
                <w:color w:val="auto"/>
              </w:rPr>
            </w:pPr>
          </w:p>
        </w:tc>
        <w:tc>
          <w:tcPr>
            <w:tcW w:w="8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920" w:top="996" w:right="659" w:bottom="228"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200" w:type="dxa"/>
            <w:vAlign w:val="bottom"/>
          </w:tcPr>
          <w:p>
            <w:pPr>
              <w:spacing w:after="0"/>
              <w:rPr>
                <w:sz w:val="23"/>
                <w:szCs w:val="23"/>
                <w:color w:val="auto"/>
              </w:rPr>
            </w:pPr>
          </w:p>
        </w:tc>
        <w:tc>
          <w:tcPr>
            <w:tcW w:w="6980" w:type="dxa"/>
            <w:vAlign w:val="bottom"/>
          </w:tcPr>
          <w:p>
            <w:pPr>
              <w:jc w:val="center"/>
              <w:ind w:right="3072"/>
              <w:spacing w:after="0"/>
              <w:rPr>
                <w:sz w:val="20"/>
                <w:szCs w:val="20"/>
                <w:color w:val="auto"/>
              </w:rPr>
            </w:pPr>
            <w:r>
              <w:rPr>
                <w:rFonts w:ascii="Arial" w:cs="Arial" w:eastAsia="Arial" w:hAnsi="Arial"/>
                <w:sz w:val="22"/>
                <w:szCs w:val="22"/>
                <w:color w:val="auto"/>
                <w:w w:val="98"/>
              </w:rPr>
              <w:t>ARTICLE XI.</w:t>
            </w:r>
          </w:p>
        </w:tc>
      </w:tr>
      <w:tr>
        <w:trPr>
          <w:trHeight w:val="621"/>
        </w:trPr>
        <w:tc>
          <w:tcPr>
            <w:tcW w:w="3200" w:type="dxa"/>
            <w:vAlign w:val="bottom"/>
          </w:tcPr>
          <w:p>
            <w:pPr>
              <w:spacing w:after="0"/>
              <w:rPr>
                <w:sz w:val="24"/>
                <w:szCs w:val="24"/>
                <w:color w:val="auto"/>
              </w:rPr>
            </w:pPr>
          </w:p>
        </w:tc>
        <w:tc>
          <w:tcPr>
            <w:tcW w:w="6980" w:type="dxa"/>
            <w:vAlign w:val="bottom"/>
          </w:tcPr>
          <w:p>
            <w:pPr>
              <w:jc w:val="center"/>
              <w:ind w:right="3072"/>
              <w:spacing w:after="0"/>
              <w:rPr>
                <w:sz w:val="20"/>
                <w:szCs w:val="20"/>
                <w:color w:val="auto"/>
              </w:rPr>
            </w:pPr>
            <w:r>
              <w:rPr>
                <w:rFonts w:ascii="Arial" w:cs="Arial" w:eastAsia="Arial" w:hAnsi="Arial"/>
                <w:sz w:val="22"/>
                <w:szCs w:val="22"/>
                <w:color w:val="auto"/>
                <w:w w:val="96"/>
              </w:rPr>
              <w:t>MISCELLANEOUS</w:t>
            </w:r>
          </w:p>
        </w:tc>
      </w:tr>
      <w:tr>
        <w:trPr>
          <w:trHeight w:val="1126"/>
        </w:trPr>
        <w:tc>
          <w:tcPr>
            <w:tcW w:w="3200" w:type="dxa"/>
            <w:vAlign w:val="bottom"/>
          </w:tcPr>
          <w:p>
            <w:pPr>
              <w:spacing w:after="0"/>
              <w:rPr>
                <w:sz w:val="20"/>
                <w:szCs w:val="20"/>
                <w:color w:val="auto"/>
              </w:rPr>
            </w:pPr>
            <w:r>
              <w:rPr>
                <w:rFonts w:ascii="Arial" w:cs="Arial" w:eastAsia="Arial" w:hAnsi="Arial"/>
                <w:sz w:val="43"/>
                <w:szCs w:val="43"/>
                <w:color w:val="auto"/>
                <w:vertAlign w:val="superscript"/>
              </w:rPr>
              <w:t>11.01</w:t>
            </w:r>
            <w:r>
              <w:rPr>
                <w:rFonts w:ascii="Arial" w:cs="Arial" w:eastAsia="Arial" w:hAnsi="Arial"/>
                <w:sz w:val="22"/>
                <w:szCs w:val="22"/>
                <w:color w:val="auto"/>
              </w:rPr>
              <w:t xml:space="preserve">  Amendments, Etc</w:t>
            </w:r>
          </w:p>
        </w:tc>
        <w:tc>
          <w:tcPr>
            <w:tcW w:w="698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778"/>
        </w:trPr>
        <w:tc>
          <w:tcPr>
            <w:tcW w:w="3200" w:type="dxa"/>
            <w:vAlign w:val="bottom"/>
          </w:tcPr>
          <w:p>
            <w:pPr>
              <w:spacing w:after="0"/>
              <w:rPr>
                <w:sz w:val="24"/>
                <w:szCs w:val="24"/>
                <w:color w:val="auto"/>
              </w:rPr>
            </w:pPr>
          </w:p>
        </w:tc>
        <w:tc>
          <w:tcPr>
            <w:tcW w:w="6980" w:type="dxa"/>
            <w:vAlign w:val="bottom"/>
          </w:tcPr>
          <w:p>
            <w:pPr>
              <w:jc w:val="right"/>
              <w:ind w:right="5052"/>
              <w:spacing w:after="0"/>
              <w:rPr>
                <w:sz w:val="20"/>
                <w:szCs w:val="20"/>
                <w:color w:val="auto"/>
              </w:rPr>
            </w:pPr>
            <w:r>
              <w:rPr>
                <w:rFonts w:ascii="Arial" w:cs="Arial" w:eastAsia="Arial" w:hAnsi="Arial"/>
                <w:sz w:val="22"/>
                <w:szCs w:val="22"/>
                <w:color w:val="auto"/>
              </w:rPr>
              <w:t>iii</w:t>
            </w:r>
          </w:p>
        </w:tc>
      </w:tr>
    </w:tbl>
    <w:p>
      <w:pPr>
        <w:sectPr>
          <w:pgSz w:w="11900" w:h="16838" w:orient="portrait"/>
          <w:cols w:equalWidth="0" w:num="1">
            <w:col w:w="10180"/>
          </w:cols>
          <w:pgMar w:left="1020" w:top="118" w:right="6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20" w:type="dxa"/>
            <w:vAlign w:val="bottom"/>
          </w:tcPr>
          <w:p>
            <w:pPr>
              <w:spacing w:after="0"/>
              <w:rPr>
                <w:sz w:val="20"/>
                <w:szCs w:val="20"/>
                <w:color w:val="auto"/>
              </w:rPr>
            </w:pPr>
            <w:r>
              <w:rPr>
                <w:rFonts w:ascii="Arial" w:cs="Arial" w:eastAsia="Arial" w:hAnsi="Arial"/>
                <w:sz w:val="22"/>
                <w:szCs w:val="22"/>
                <w:color w:val="auto"/>
              </w:rPr>
              <w:t>11.02</w:t>
            </w:r>
          </w:p>
        </w:tc>
        <w:tc>
          <w:tcPr>
            <w:tcW w:w="7880" w:type="dxa"/>
            <w:vAlign w:val="bottom"/>
          </w:tcPr>
          <w:p>
            <w:pPr>
              <w:ind w:left="120"/>
              <w:spacing w:after="0"/>
              <w:rPr>
                <w:sz w:val="20"/>
                <w:szCs w:val="20"/>
                <w:color w:val="auto"/>
              </w:rPr>
            </w:pPr>
            <w:r>
              <w:rPr>
                <w:rFonts w:ascii="Arial" w:cs="Arial" w:eastAsia="Arial" w:hAnsi="Arial"/>
                <w:sz w:val="22"/>
                <w:szCs w:val="22"/>
                <w:color w:val="auto"/>
              </w:rPr>
              <w:t>Notices; Effectiveness; Electronic Communication</w:t>
            </w:r>
          </w:p>
        </w:tc>
        <w:tc>
          <w:tcPr>
            <w:tcW w:w="182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11.03</w:t>
            </w:r>
          </w:p>
        </w:tc>
        <w:tc>
          <w:tcPr>
            <w:tcW w:w="7880" w:type="dxa"/>
            <w:vAlign w:val="bottom"/>
          </w:tcPr>
          <w:p>
            <w:pPr>
              <w:ind w:left="120"/>
              <w:spacing w:after="0"/>
              <w:rPr>
                <w:sz w:val="20"/>
                <w:szCs w:val="20"/>
                <w:color w:val="auto"/>
              </w:rPr>
            </w:pPr>
            <w:r>
              <w:rPr>
                <w:rFonts w:ascii="Arial" w:cs="Arial" w:eastAsia="Arial" w:hAnsi="Arial"/>
                <w:sz w:val="22"/>
                <w:szCs w:val="22"/>
                <w:color w:val="auto"/>
              </w:rPr>
              <w:t>No Waiver; Cumulative Remedies; Enforcement</w:t>
            </w:r>
          </w:p>
        </w:tc>
        <w:tc>
          <w:tcPr>
            <w:tcW w:w="18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11.04</w:t>
            </w:r>
          </w:p>
        </w:tc>
        <w:tc>
          <w:tcPr>
            <w:tcW w:w="7880" w:type="dxa"/>
            <w:vAlign w:val="bottom"/>
          </w:tcPr>
          <w:p>
            <w:pPr>
              <w:ind w:left="120"/>
              <w:spacing w:after="0"/>
              <w:rPr>
                <w:sz w:val="20"/>
                <w:szCs w:val="20"/>
                <w:color w:val="auto"/>
              </w:rPr>
            </w:pPr>
            <w:r>
              <w:rPr>
                <w:rFonts w:ascii="Arial" w:cs="Arial" w:eastAsia="Arial" w:hAnsi="Arial"/>
                <w:sz w:val="22"/>
                <w:szCs w:val="22"/>
                <w:color w:val="auto"/>
              </w:rPr>
              <w:t>Expenses; Indemnity; Damage Waiver</w:t>
            </w:r>
          </w:p>
        </w:tc>
        <w:tc>
          <w:tcPr>
            <w:tcW w:w="18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11.05</w:t>
            </w:r>
          </w:p>
        </w:tc>
        <w:tc>
          <w:tcPr>
            <w:tcW w:w="7880" w:type="dxa"/>
            <w:vAlign w:val="bottom"/>
          </w:tcPr>
          <w:p>
            <w:pPr>
              <w:ind w:left="120"/>
              <w:spacing w:after="0"/>
              <w:rPr>
                <w:sz w:val="20"/>
                <w:szCs w:val="20"/>
                <w:color w:val="auto"/>
              </w:rPr>
            </w:pPr>
            <w:r>
              <w:rPr>
                <w:rFonts w:ascii="Arial" w:cs="Arial" w:eastAsia="Arial" w:hAnsi="Arial"/>
                <w:sz w:val="22"/>
                <w:szCs w:val="22"/>
                <w:color w:val="auto"/>
              </w:rPr>
              <w:t>Payments Set Aside</w:t>
            </w:r>
          </w:p>
        </w:tc>
        <w:tc>
          <w:tcPr>
            <w:tcW w:w="18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11.06</w:t>
            </w:r>
          </w:p>
        </w:tc>
        <w:tc>
          <w:tcPr>
            <w:tcW w:w="7880" w:type="dxa"/>
            <w:vAlign w:val="bottom"/>
          </w:tcPr>
          <w:p>
            <w:pPr>
              <w:ind w:left="120"/>
              <w:spacing w:after="0"/>
              <w:rPr>
                <w:sz w:val="20"/>
                <w:szCs w:val="20"/>
                <w:color w:val="auto"/>
              </w:rPr>
            </w:pPr>
            <w:r>
              <w:rPr>
                <w:rFonts w:ascii="Arial" w:cs="Arial" w:eastAsia="Arial" w:hAnsi="Arial"/>
                <w:sz w:val="22"/>
                <w:szCs w:val="22"/>
                <w:color w:val="auto"/>
              </w:rPr>
              <w:t>Successors and Assigns</w:t>
            </w:r>
          </w:p>
        </w:tc>
        <w:tc>
          <w:tcPr>
            <w:tcW w:w="18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11.07</w:t>
            </w:r>
          </w:p>
        </w:tc>
        <w:tc>
          <w:tcPr>
            <w:tcW w:w="7880" w:type="dxa"/>
            <w:vAlign w:val="bottom"/>
          </w:tcPr>
          <w:p>
            <w:pPr>
              <w:ind w:left="120"/>
              <w:spacing w:after="0"/>
              <w:rPr>
                <w:sz w:val="20"/>
                <w:szCs w:val="20"/>
                <w:color w:val="auto"/>
              </w:rPr>
            </w:pPr>
            <w:r>
              <w:rPr>
                <w:rFonts w:ascii="Arial" w:cs="Arial" w:eastAsia="Arial" w:hAnsi="Arial"/>
                <w:sz w:val="22"/>
                <w:szCs w:val="22"/>
                <w:color w:val="auto"/>
              </w:rPr>
              <w:t>Treatment of Certain Information; Confidentiality</w:t>
            </w:r>
          </w:p>
        </w:tc>
        <w:tc>
          <w:tcPr>
            <w:tcW w:w="182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11.08</w:t>
            </w:r>
          </w:p>
        </w:tc>
        <w:tc>
          <w:tcPr>
            <w:tcW w:w="7880" w:type="dxa"/>
            <w:vAlign w:val="bottom"/>
          </w:tcPr>
          <w:p>
            <w:pPr>
              <w:ind w:left="120"/>
              <w:spacing w:after="0"/>
              <w:rPr>
                <w:sz w:val="20"/>
                <w:szCs w:val="20"/>
                <w:color w:val="auto"/>
              </w:rPr>
            </w:pPr>
            <w:r>
              <w:rPr>
                <w:rFonts w:ascii="Arial" w:cs="Arial" w:eastAsia="Arial" w:hAnsi="Arial"/>
                <w:sz w:val="22"/>
                <w:szCs w:val="22"/>
                <w:color w:val="auto"/>
              </w:rPr>
              <w:t>Right of Setoff</w:t>
            </w:r>
          </w:p>
        </w:tc>
        <w:tc>
          <w:tcPr>
            <w:tcW w:w="182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11.09</w:t>
            </w:r>
          </w:p>
        </w:tc>
        <w:tc>
          <w:tcPr>
            <w:tcW w:w="7880" w:type="dxa"/>
            <w:vAlign w:val="bottom"/>
          </w:tcPr>
          <w:p>
            <w:pPr>
              <w:ind w:left="120"/>
              <w:spacing w:after="0"/>
              <w:rPr>
                <w:sz w:val="20"/>
                <w:szCs w:val="20"/>
                <w:color w:val="auto"/>
              </w:rPr>
            </w:pPr>
            <w:r>
              <w:rPr>
                <w:rFonts w:ascii="Arial" w:cs="Arial" w:eastAsia="Arial" w:hAnsi="Arial"/>
                <w:sz w:val="22"/>
                <w:szCs w:val="22"/>
                <w:color w:val="auto"/>
              </w:rPr>
              <w:t>Interest Rate Limitation</w:t>
            </w:r>
          </w:p>
        </w:tc>
        <w:tc>
          <w:tcPr>
            <w:tcW w:w="182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11.10</w:t>
            </w:r>
          </w:p>
        </w:tc>
        <w:tc>
          <w:tcPr>
            <w:tcW w:w="7880" w:type="dxa"/>
            <w:vAlign w:val="bottom"/>
          </w:tcPr>
          <w:p>
            <w:pPr>
              <w:ind w:left="120"/>
              <w:spacing w:after="0"/>
              <w:rPr>
                <w:sz w:val="20"/>
                <w:szCs w:val="20"/>
                <w:color w:val="auto"/>
              </w:rPr>
            </w:pPr>
            <w:r>
              <w:rPr>
                <w:rFonts w:ascii="Arial" w:cs="Arial" w:eastAsia="Arial" w:hAnsi="Arial"/>
                <w:sz w:val="22"/>
                <w:szCs w:val="22"/>
                <w:color w:val="auto"/>
              </w:rPr>
              <w:t>Counterparts; Integration; Effectiveness</w:t>
            </w:r>
          </w:p>
        </w:tc>
        <w:tc>
          <w:tcPr>
            <w:tcW w:w="182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97"/>
        </w:trPr>
        <w:tc>
          <w:tcPr>
            <w:tcW w:w="8500" w:type="dxa"/>
            <w:vAlign w:val="bottom"/>
            <w:gridSpan w:val="2"/>
          </w:tcPr>
          <w:p>
            <w:pPr>
              <w:spacing w:after="0"/>
              <w:rPr>
                <w:sz w:val="20"/>
                <w:szCs w:val="20"/>
                <w:color w:val="auto"/>
              </w:rPr>
            </w:pPr>
            <w:r>
              <w:rPr>
                <w:rFonts w:ascii="Arial" w:cs="Arial" w:eastAsia="Arial" w:hAnsi="Arial"/>
                <w:sz w:val="22"/>
                <w:szCs w:val="22"/>
                <w:color w:val="auto"/>
              </w:rPr>
              <w:t>11.11   Survival of Representations and Warranties</w:t>
            </w:r>
          </w:p>
        </w:tc>
        <w:tc>
          <w:tcPr>
            <w:tcW w:w="18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11.12</w:t>
            </w:r>
          </w:p>
        </w:tc>
        <w:tc>
          <w:tcPr>
            <w:tcW w:w="788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18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11.13</w:t>
            </w:r>
          </w:p>
        </w:tc>
        <w:tc>
          <w:tcPr>
            <w:tcW w:w="7880" w:type="dxa"/>
            <w:vAlign w:val="bottom"/>
          </w:tcPr>
          <w:p>
            <w:pPr>
              <w:ind w:left="120"/>
              <w:spacing w:after="0"/>
              <w:rPr>
                <w:sz w:val="20"/>
                <w:szCs w:val="20"/>
                <w:color w:val="auto"/>
              </w:rPr>
            </w:pPr>
            <w:r>
              <w:rPr>
                <w:rFonts w:ascii="Arial" w:cs="Arial" w:eastAsia="Arial" w:hAnsi="Arial"/>
                <w:sz w:val="22"/>
                <w:szCs w:val="22"/>
                <w:color w:val="auto"/>
              </w:rPr>
              <w:t>Replacement of Lenders</w:t>
            </w:r>
          </w:p>
        </w:tc>
        <w:tc>
          <w:tcPr>
            <w:tcW w:w="18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11.14</w:t>
            </w:r>
          </w:p>
        </w:tc>
        <w:tc>
          <w:tcPr>
            <w:tcW w:w="7880" w:type="dxa"/>
            <w:vAlign w:val="bottom"/>
          </w:tcPr>
          <w:p>
            <w:pPr>
              <w:ind w:left="120"/>
              <w:spacing w:after="0"/>
              <w:rPr>
                <w:sz w:val="20"/>
                <w:szCs w:val="20"/>
                <w:color w:val="auto"/>
              </w:rPr>
            </w:pPr>
            <w:r>
              <w:rPr>
                <w:rFonts w:ascii="Arial" w:cs="Arial" w:eastAsia="Arial" w:hAnsi="Arial"/>
                <w:sz w:val="22"/>
                <w:szCs w:val="22"/>
                <w:color w:val="auto"/>
              </w:rPr>
              <w:t>Governing Law; Jurisdiction; Etc</w:t>
            </w:r>
          </w:p>
        </w:tc>
        <w:tc>
          <w:tcPr>
            <w:tcW w:w="182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11.15</w:t>
            </w:r>
          </w:p>
        </w:tc>
        <w:tc>
          <w:tcPr>
            <w:tcW w:w="7880" w:type="dxa"/>
            <w:vAlign w:val="bottom"/>
          </w:tcPr>
          <w:p>
            <w:pPr>
              <w:ind w:left="120"/>
              <w:spacing w:after="0"/>
              <w:rPr>
                <w:sz w:val="20"/>
                <w:szCs w:val="20"/>
                <w:color w:val="auto"/>
              </w:rPr>
            </w:pPr>
            <w:r>
              <w:rPr>
                <w:rFonts w:ascii="Arial" w:cs="Arial" w:eastAsia="Arial" w:hAnsi="Arial"/>
                <w:sz w:val="22"/>
                <w:szCs w:val="22"/>
                <w:color w:val="auto"/>
              </w:rPr>
              <w:t>Waiver of Jury Trial</w:t>
            </w:r>
          </w:p>
        </w:tc>
        <w:tc>
          <w:tcPr>
            <w:tcW w:w="182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11.16</w:t>
            </w:r>
          </w:p>
        </w:tc>
        <w:tc>
          <w:tcPr>
            <w:tcW w:w="7880" w:type="dxa"/>
            <w:vAlign w:val="bottom"/>
          </w:tcPr>
          <w:p>
            <w:pPr>
              <w:ind w:left="120"/>
              <w:spacing w:after="0"/>
              <w:rPr>
                <w:sz w:val="20"/>
                <w:szCs w:val="20"/>
                <w:color w:val="auto"/>
              </w:rPr>
            </w:pPr>
            <w:r>
              <w:rPr>
                <w:rFonts w:ascii="Arial" w:cs="Arial" w:eastAsia="Arial" w:hAnsi="Arial"/>
                <w:sz w:val="22"/>
                <w:szCs w:val="22"/>
                <w:color w:val="auto"/>
              </w:rPr>
              <w:t>USA PATRIOT Act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11.17</w:t>
            </w:r>
          </w:p>
        </w:tc>
        <w:tc>
          <w:tcPr>
            <w:tcW w:w="7880" w:type="dxa"/>
            <w:vAlign w:val="bottom"/>
          </w:tcPr>
          <w:p>
            <w:pPr>
              <w:ind w:left="120"/>
              <w:spacing w:after="0"/>
              <w:rPr>
                <w:sz w:val="20"/>
                <w:szCs w:val="20"/>
                <w:color w:val="auto"/>
              </w:rPr>
            </w:pPr>
            <w:r>
              <w:rPr>
                <w:rFonts w:ascii="Arial" w:cs="Arial" w:eastAsia="Arial" w:hAnsi="Arial"/>
                <w:sz w:val="22"/>
                <w:szCs w:val="22"/>
                <w:color w:val="auto"/>
              </w:rPr>
              <w:t>Liability of the Borrowers</w:t>
            </w:r>
          </w:p>
        </w:tc>
        <w:tc>
          <w:tcPr>
            <w:tcW w:w="182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11.18</w:t>
            </w:r>
          </w:p>
        </w:tc>
        <w:tc>
          <w:tcPr>
            <w:tcW w:w="7880" w:type="dxa"/>
            <w:vAlign w:val="bottom"/>
          </w:tcPr>
          <w:p>
            <w:pPr>
              <w:ind w:left="120"/>
              <w:spacing w:after="0"/>
              <w:rPr>
                <w:sz w:val="20"/>
                <w:szCs w:val="20"/>
                <w:color w:val="auto"/>
              </w:rPr>
            </w:pPr>
            <w:r>
              <w:rPr>
                <w:rFonts w:ascii="Arial" w:cs="Arial" w:eastAsia="Arial" w:hAnsi="Arial"/>
                <w:sz w:val="22"/>
                <w:szCs w:val="22"/>
                <w:color w:val="auto"/>
              </w:rPr>
              <w:t>Judgment Currency</w:t>
            </w:r>
          </w:p>
        </w:tc>
        <w:tc>
          <w:tcPr>
            <w:tcW w:w="182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11.19</w:t>
            </w:r>
          </w:p>
        </w:tc>
        <w:tc>
          <w:tcPr>
            <w:tcW w:w="7880" w:type="dxa"/>
            <w:vAlign w:val="bottom"/>
          </w:tcPr>
          <w:p>
            <w:pPr>
              <w:ind w:left="120"/>
              <w:spacing w:after="0"/>
              <w:rPr>
                <w:sz w:val="20"/>
                <w:szCs w:val="20"/>
                <w:color w:val="auto"/>
              </w:rPr>
            </w:pPr>
            <w:r>
              <w:rPr>
                <w:rFonts w:ascii="Arial" w:cs="Arial" w:eastAsia="Arial" w:hAnsi="Arial"/>
                <w:sz w:val="22"/>
                <w:szCs w:val="22"/>
                <w:color w:val="auto"/>
              </w:rPr>
              <w:t>Automatic Debits of Principal, Interest, Fees</w:t>
            </w:r>
          </w:p>
        </w:tc>
        <w:tc>
          <w:tcPr>
            <w:tcW w:w="182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11.20</w:t>
            </w:r>
          </w:p>
        </w:tc>
        <w:tc>
          <w:tcPr>
            <w:tcW w:w="7880" w:type="dxa"/>
            <w:vAlign w:val="bottom"/>
          </w:tcPr>
          <w:p>
            <w:pPr>
              <w:ind w:left="120"/>
              <w:spacing w:after="0"/>
              <w:rPr>
                <w:sz w:val="20"/>
                <w:szCs w:val="20"/>
                <w:color w:val="auto"/>
              </w:rPr>
            </w:pPr>
            <w:r>
              <w:rPr>
                <w:rFonts w:ascii="Arial" w:cs="Arial" w:eastAsia="Arial" w:hAnsi="Arial"/>
                <w:sz w:val="22"/>
                <w:szCs w:val="22"/>
                <w:color w:val="auto"/>
              </w:rPr>
              <w:t>Termination of Existing Credit Agreement</w:t>
            </w:r>
          </w:p>
        </w:tc>
        <w:tc>
          <w:tcPr>
            <w:tcW w:w="182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11.21</w:t>
            </w:r>
          </w:p>
        </w:tc>
        <w:tc>
          <w:tcPr>
            <w:tcW w:w="7880" w:type="dxa"/>
            <w:vAlign w:val="bottom"/>
          </w:tcPr>
          <w:p>
            <w:pPr>
              <w:ind w:left="120"/>
              <w:spacing w:after="0"/>
              <w:rPr>
                <w:sz w:val="20"/>
                <w:szCs w:val="20"/>
                <w:color w:val="auto"/>
              </w:rPr>
            </w:pPr>
            <w:r>
              <w:rPr>
                <w:rFonts w:ascii="Arial" w:cs="Arial" w:eastAsia="Arial" w:hAnsi="Arial"/>
                <w:sz w:val="22"/>
                <w:szCs w:val="22"/>
                <w:color w:val="auto"/>
              </w:rPr>
              <w:t>No Advisory or Fiduciary Responsibility</w:t>
            </w:r>
          </w:p>
        </w:tc>
        <w:tc>
          <w:tcPr>
            <w:tcW w:w="182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11.22</w:t>
            </w:r>
          </w:p>
        </w:tc>
        <w:tc>
          <w:tcPr>
            <w:tcW w:w="7880" w:type="dxa"/>
            <w:vAlign w:val="bottom"/>
          </w:tcPr>
          <w:p>
            <w:pPr>
              <w:ind w:left="120"/>
              <w:spacing w:after="0"/>
              <w:rPr>
                <w:sz w:val="20"/>
                <w:szCs w:val="20"/>
                <w:color w:val="auto"/>
              </w:rPr>
            </w:pPr>
            <w:r>
              <w:rPr>
                <w:rFonts w:ascii="Arial" w:cs="Arial" w:eastAsia="Arial" w:hAnsi="Arial"/>
                <w:sz w:val="22"/>
                <w:szCs w:val="22"/>
                <w:color w:val="auto"/>
              </w:rPr>
              <w:t>Electronic Execution of Assignments and Certain Other Documents</w:t>
            </w:r>
          </w:p>
        </w:tc>
        <w:tc>
          <w:tcPr>
            <w:tcW w:w="182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11.23</w:t>
            </w:r>
          </w:p>
        </w:tc>
        <w:tc>
          <w:tcPr>
            <w:tcW w:w="7880" w:type="dxa"/>
            <w:vAlign w:val="bottom"/>
          </w:tcPr>
          <w:p>
            <w:pPr>
              <w:ind w:left="120"/>
              <w:spacing w:after="0"/>
              <w:rPr>
                <w:sz w:val="20"/>
                <w:szCs w:val="20"/>
                <w:color w:val="auto"/>
              </w:rPr>
            </w:pPr>
            <w:r>
              <w:rPr>
                <w:rFonts w:ascii="Arial" w:cs="Arial" w:eastAsia="Arial" w:hAnsi="Arial"/>
                <w:sz w:val="22"/>
                <w:szCs w:val="22"/>
                <w:color w:val="auto"/>
              </w:rPr>
              <w:t>ENTIRE AGREEMENT</w:t>
            </w:r>
          </w:p>
        </w:tc>
        <w:tc>
          <w:tcPr>
            <w:tcW w:w="182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11.24</w:t>
            </w:r>
          </w:p>
        </w:tc>
        <w:tc>
          <w:tcPr>
            <w:tcW w:w="7880" w:type="dxa"/>
            <w:vAlign w:val="bottom"/>
          </w:tcPr>
          <w:p>
            <w:pPr>
              <w:ind w:left="120"/>
              <w:spacing w:after="0"/>
              <w:rPr>
                <w:sz w:val="20"/>
                <w:szCs w:val="20"/>
                <w:color w:val="auto"/>
              </w:rPr>
            </w:pPr>
            <w:r>
              <w:rPr>
                <w:rFonts w:ascii="Arial" w:cs="Arial" w:eastAsia="Arial" w:hAnsi="Arial"/>
                <w:sz w:val="22"/>
                <w:szCs w:val="22"/>
                <w:color w:val="auto"/>
              </w:rPr>
              <w:t>Acknowledgement and Consent to Bail-In of EEA Financial Institutions</w:t>
            </w:r>
          </w:p>
        </w:tc>
        <w:tc>
          <w:tcPr>
            <w:tcW w:w="1820" w:type="dxa"/>
            <w:vAlign w:val="bottom"/>
          </w:tcPr>
          <w:p>
            <w:pPr>
              <w:jc w:val="right"/>
              <w:spacing w:after="0"/>
              <w:rPr>
                <w:sz w:val="20"/>
                <w:szCs w:val="20"/>
                <w:color w:val="auto"/>
              </w:rPr>
            </w:pPr>
            <w:r>
              <w:rPr>
                <w:rFonts w:ascii="Arial" w:cs="Arial" w:eastAsia="Arial" w:hAnsi="Arial"/>
                <w:sz w:val="22"/>
                <w:szCs w:val="22"/>
                <w:color w:val="auto"/>
              </w:rPr>
              <w:t>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SIGNATURES</w:t>
            </w:r>
          </w:p>
        </w:tc>
        <w:tc>
          <w:tcPr>
            <w:tcW w:w="4640" w:type="dxa"/>
            <w:vAlign w:val="bottom"/>
          </w:tcPr>
          <w:p>
            <w:pPr>
              <w:ind w:left="4340"/>
              <w:spacing w:after="0"/>
              <w:rPr>
                <w:sz w:val="20"/>
                <w:szCs w:val="20"/>
                <w:color w:val="auto"/>
              </w:rPr>
            </w:pPr>
            <w:r>
              <w:rPr>
                <w:rFonts w:ascii="Arial" w:cs="Arial" w:eastAsia="Arial" w:hAnsi="Arial"/>
                <w:sz w:val="22"/>
                <w:szCs w:val="22"/>
                <w:color w:val="auto"/>
                <w:w w:val="81"/>
              </w:rPr>
              <w:t>S-1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320"/>
          </w:cols>
          <w:pgMar w:left="920" w:top="780" w:right="6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81"/>
        </w:trPr>
        <w:tc>
          <w:tcPr>
            <w:tcW w:w="1820" w:type="dxa"/>
            <w:vAlign w:val="bottom"/>
          </w:tcPr>
          <w:p>
            <w:pPr>
              <w:spacing w:after="0"/>
              <w:rPr>
                <w:sz w:val="20"/>
                <w:szCs w:val="20"/>
                <w:color w:val="auto"/>
              </w:rPr>
            </w:pPr>
            <w:r>
              <w:rPr>
                <w:rFonts w:ascii="Arial" w:cs="Arial" w:eastAsia="Arial" w:hAnsi="Arial"/>
                <w:sz w:val="22"/>
                <w:szCs w:val="22"/>
                <w:b w:val="1"/>
                <w:bCs w:val="1"/>
                <w:color w:val="auto"/>
              </w:rPr>
              <w:t>SCHEDULES</w:t>
            </w:r>
          </w:p>
        </w:tc>
        <w:tc>
          <w:tcPr>
            <w:tcW w:w="6240" w:type="dxa"/>
            <w:vAlign w:val="bottom"/>
          </w:tcPr>
          <w:p>
            <w:pPr>
              <w:spacing w:after="0"/>
              <w:rPr>
                <w:sz w:val="24"/>
                <w:szCs w:val="24"/>
                <w:color w:val="auto"/>
              </w:rPr>
            </w:pPr>
          </w:p>
        </w:tc>
      </w:tr>
      <w:tr>
        <w:trPr>
          <w:trHeight w:val="621"/>
        </w:trPr>
        <w:tc>
          <w:tcPr>
            <w:tcW w:w="1820" w:type="dxa"/>
            <w:vAlign w:val="bottom"/>
          </w:tcPr>
          <w:p>
            <w:pPr>
              <w:ind w:left="820"/>
              <w:spacing w:after="0"/>
              <w:rPr>
                <w:sz w:val="20"/>
                <w:szCs w:val="20"/>
                <w:color w:val="auto"/>
              </w:rPr>
            </w:pPr>
            <w:r>
              <w:rPr>
                <w:rFonts w:ascii="Arial" w:cs="Arial" w:eastAsia="Arial" w:hAnsi="Arial"/>
                <w:sz w:val="22"/>
                <w:szCs w:val="22"/>
                <w:color w:val="auto"/>
              </w:rPr>
              <w:t>1.01(e)</w:t>
            </w:r>
          </w:p>
        </w:tc>
        <w:tc>
          <w:tcPr>
            <w:tcW w:w="6240" w:type="dxa"/>
            <w:vAlign w:val="bottom"/>
          </w:tcPr>
          <w:p>
            <w:pPr>
              <w:ind w:left="380"/>
              <w:spacing w:after="0"/>
              <w:rPr>
                <w:sz w:val="20"/>
                <w:szCs w:val="20"/>
                <w:color w:val="auto"/>
              </w:rPr>
            </w:pPr>
            <w:r>
              <w:rPr>
                <w:rFonts w:ascii="Arial" w:cs="Arial" w:eastAsia="Arial" w:hAnsi="Arial"/>
                <w:sz w:val="22"/>
                <w:szCs w:val="22"/>
                <w:color w:val="auto"/>
              </w:rPr>
              <w:t>Existing Letters of Credit</w:t>
            </w:r>
          </w:p>
        </w:tc>
      </w:tr>
      <w:tr>
        <w:trPr>
          <w:trHeight w:val="297"/>
        </w:trPr>
        <w:tc>
          <w:tcPr>
            <w:tcW w:w="1820" w:type="dxa"/>
            <w:vAlign w:val="bottom"/>
          </w:tcPr>
          <w:p>
            <w:pPr>
              <w:ind w:left="820"/>
              <w:spacing w:after="0"/>
              <w:rPr>
                <w:sz w:val="20"/>
                <w:szCs w:val="20"/>
                <w:color w:val="auto"/>
              </w:rPr>
            </w:pPr>
            <w:r>
              <w:rPr>
                <w:rFonts w:ascii="Arial" w:cs="Arial" w:eastAsia="Arial" w:hAnsi="Arial"/>
                <w:sz w:val="22"/>
                <w:szCs w:val="22"/>
                <w:color w:val="auto"/>
              </w:rPr>
              <w:t>2.01</w:t>
            </w:r>
          </w:p>
        </w:tc>
        <w:tc>
          <w:tcPr>
            <w:tcW w:w="6240" w:type="dxa"/>
            <w:vAlign w:val="bottom"/>
          </w:tcPr>
          <w:p>
            <w:pPr>
              <w:ind w:left="380"/>
              <w:spacing w:after="0"/>
              <w:rPr>
                <w:sz w:val="20"/>
                <w:szCs w:val="20"/>
                <w:color w:val="auto"/>
              </w:rPr>
            </w:pPr>
            <w:r>
              <w:rPr>
                <w:rFonts w:ascii="Arial" w:cs="Arial" w:eastAsia="Arial" w:hAnsi="Arial"/>
                <w:sz w:val="22"/>
                <w:szCs w:val="22"/>
                <w:color w:val="auto"/>
              </w:rPr>
              <w:t>Commitments and Applicable Percentages</w:t>
            </w:r>
          </w:p>
        </w:tc>
      </w:tr>
      <w:tr>
        <w:trPr>
          <w:trHeight w:val="297"/>
        </w:trPr>
        <w:tc>
          <w:tcPr>
            <w:tcW w:w="1820" w:type="dxa"/>
            <w:vAlign w:val="bottom"/>
          </w:tcPr>
          <w:p>
            <w:pPr>
              <w:ind w:left="820"/>
              <w:spacing w:after="0"/>
              <w:rPr>
                <w:sz w:val="20"/>
                <w:szCs w:val="20"/>
                <w:color w:val="auto"/>
              </w:rPr>
            </w:pPr>
            <w:r>
              <w:rPr>
                <w:rFonts w:ascii="Arial" w:cs="Arial" w:eastAsia="Arial" w:hAnsi="Arial"/>
                <w:sz w:val="22"/>
                <w:szCs w:val="22"/>
                <w:color w:val="auto"/>
              </w:rPr>
              <w:t>5.06</w:t>
            </w:r>
          </w:p>
        </w:tc>
        <w:tc>
          <w:tcPr>
            <w:tcW w:w="6240" w:type="dxa"/>
            <w:vAlign w:val="bottom"/>
          </w:tcPr>
          <w:p>
            <w:pPr>
              <w:ind w:left="380"/>
              <w:spacing w:after="0"/>
              <w:rPr>
                <w:sz w:val="20"/>
                <w:szCs w:val="20"/>
                <w:color w:val="auto"/>
              </w:rPr>
            </w:pPr>
            <w:r>
              <w:rPr>
                <w:rFonts w:ascii="Arial" w:cs="Arial" w:eastAsia="Arial" w:hAnsi="Arial"/>
                <w:sz w:val="22"/>
                <w:szCs w:val="22"/>
                <w:color w:val="auto"/>
              </w:rPr>
              <w:t>Litigation</w:t>
            </w:r>
          </w:p>
        </w:tc>
      </w:tr>
      <w:tr>
        <w:trPr>
          <w:trHeight w:val="297"/>
        </w:trPr>
        <w:tc>
          <w:tcPr>
            <w:tcW w:w="1820" w:type="dxa"/>
            <w:vAlign w:val="bottom"/>
          </w:tcPr>
          <w:p>
            <w:pPr>
              <w:ind w:left="820"/>
              <w:spacing w:after="0"/>
              <w:rPr>
                <w:sz w:val="20"/>
                <w:szCs w:val="20"/>
                <w:color w:val="auto"/>
              </w:rPr>
            </w:pPr>
            <w:r>
              <w:rPr>
                <w:rFonts w:ascii="Arial" w:cs="Arial" w:eastAsia="Arial" w:hAnsi="Arial"/>
                <w:sz w:val="22"/>
                <w:szCs w:val="22"/>
                <w:color w:val="auto"/>
              </w:rPr>
              <w:t>5.09</w:t>
            </w:r>
          </w:p>
        </w:tc>
        <w:tc>
          <w:tcPr>
            <w:tcW w:w="6240" w:type="dxa"/>
            <w:vAlign w:val="bottom"/>
          </w:tcPr>
          <w:p>
            <w:pPr>
              <w:ind w:left="380"/>
              <w:spacing w:after="0"/>
              <w:rPr>
                <w:sz w:val="20"/>
                <w:szCs w:val="20"/>
                <w:color w:val="auto"/>
              </w:rPr>
            </w:pPr>
            <w:r>
              <w:rPr>
                <w:rFonts w:ascii="Arial" w:cs="Arial" w:eastAsia="Arial" w:hAnsi="Arial"/>
                <w:sz w:val="22"/>
                <w:szCs w:val="22"/>
                <w:color w:val="auto"/>
              </w:rPr>
              <w:t>Environmental Matters</w:t>
            </w:r>
          </w:p>
        </w:tc>
      </w:tr>
      <w:tr>
        <w:trPr>
          <w:trHeight w:val="297"/>
        </w:trPr>
        <w:tc>
          <w:tcPr>
            <w:tcW w:w="1820" w:type="dxa"/>
            <w:vAlign w:val="bottom"/>
          </w:tcPr>
          <w:p>
            <w:pPr>
              <w:ind w:left="820"/>
              <w:spacing w:after="0"/>
              <w:rPr>
                <w:sz w:val="20"/>
                <w:szCs w:val="20"/>
                <w:color w:val="auto"/>
              </w:rPr>
            </w:pPr>
            <w:r>
              <w:rPr>
                <w:rFonts w:ascii="Arial" w:cs="Arial" w:eastAsia="Arial" w:hAnsi="Arial"/>
                <w:sz w:val="22"/>
                <w:szCs w:val="22"/>
                <w:color w:val="auto"/>
              </w:rPr>
              <w:t>5.10</w:t>
            </w:r>
          </w:p>
        </w:tc>
        <w:tc>
          <w:tcPr>
            <w:tcW w:w="6240" w:type="dxa"/>
            <w:vAlign w:val="bottom"/>
          </w:tcPr>
          <w:p>
            <w:pPr>
              <w:ind w:left="380"/>
              <w:spacing w:after="0"/>
              <w:rPr>
                <w:sz w:val="20"/>
                <w:szCs w:val="20"/>
                <w:color w:val="auto"/>
              </w:rPr>
            </w:pPr>
            <w:r>
              <w:rPr>
                <w:rFonts w:ascii="Arial" w:cs="Arial" w:eastAsia="Arial" w:hAnsi="Arial"/>
                <w:sz w:val="22"/>
                <w:szCs w:val="22"/>
                <w:color w:val="auto"/>
              </w:rPr>
              <w:t>Insurance Matters</w:t>
            </w:r>
          </w:p>
        </w:tc>
      </w:tr>
      <w:tr>
        <w:trPr>
          <w:trHeight w:val="297"/>
        </w:trPr>
        <w:tc>
          <w:tcPr>
            <w:tcW w:w="1820" w:type="dxa"/>
            <w:vAlign w:val="bottom"/>
          </w:tcPr>
          <w:p>
            <w:pPr>
              <w:ind w:left="820"/>
              <w:spacing w:after="0"/>
              <w:rPr>
                <w:sz w:val="20"/>
                <w:szCs w:val="20"/>
                <w:color w:val="auto"/>
              </w:rPr>
            </w:pPr>
            <w:r>
              <w:rPr>
                <w:rFonts w:ascii="Arial" w:cs="Arial" w:eastAsia="Arial" w:hAnsi="Arial"/>
                <w:sz w:val="22"/>
                <w:szCs w:val="22"/>
                <w:color w:val="auto"/>
              </w:rPr>
              <w:t>5.13</w:t>
            </w:r>
          </w:p>
        </w:tc>
        <w:tc>
          <w:tcPr>
            <w:tcW w:w="6240" w:type="dxa"/>
            <w:vAlign w:val="bottom"/>
          </w:tcPr>
          <w:p>
            <w:pPr>
              <w:ind w:left="380"/>
              <w:spacing w:after="0"/>
              <w:rPr>
                <w:sz w:val="20"/>
                <w:szCs w:val="20"/>
                <w:color w:val="auto"/>
              </w:rPr>
            </w:pPr>
            <w:r>
              <w:rPr>
                <w:rFonts w:ascii="Arial" w:cs="Arial" w:eastAsia="Arial" w:hAnsi="Arial"/>
                <w:sz w:val="22"/>
                <w:szCs w:val="22"/>
                <w:color w:val="auto"/>
                <w:w w:val="89"/>
              </w:rPr>
              <w:t>Subsidiaries and Other Equity Investments; Equity Interests in Toro</w:t>
            </w:r>
          </w:p>
        </w:tc>
      </w:tr>
      <w:tr>
        <w:trPr>
          <w:trHeight w:val="297"/>
        </w:trPr>
        <w:tc>
          <w:tcPr>
            <w:tcW w:w="1820" w:type="dxa"/>
            <w:vAlign w:val="bottom"/>
          </w:tcPr>
          <w:p>
            <w:pPr>
              <w:ind w:left="820"/>
              <w:spacing w:after="0"/>
              <w:rPr>
                <w:sz w:val="20"/>
                <w:szCs w:val="20"/>
                <w:color w:val="auto"/>
              </w:rPr>
            </w:pPr>
            <w:r>
              <w:rPr>
                <w:rFonts w:ascii="Arial" w:cs="Arial" w:eastAsia="Arial" w:hAnsi="Arial"/>
                <w:sz w:val="22"/>
                <w:szCs w:val="22"/>
                <w:color w:val="auto"/>
              </w:rPr>
              <w:t>5.19</w:t>
            </w:r>
          </w:p>
        </w:tc>
        <w:tc>
          <w:tcPr>
            <w:tcW w:w="6240" w:type="dxa"/>
            <w:vAlign w:val="bottom"/>
          </w:tcPr>
          <w:p>
            <w:pPr>
              <w:ind w:left="380"/>
              <w:spacing w:after="0"/>
              <w:rPr>
                <w:sz w:val="20"/>
                <w:szCs w:val="20"/>
                <w:color w:val="auto"/>
              </w:rPr>
            </w:pPr>
            <w:r>
              <w:rPr>
                <w:rFonts w:ascii="Arial" w:cs="Arial" w:eastAsia="Arial" w:hAnsi="Arial"/>
                <w:sz w:val="22"/>
                <w:szCs w:val="22"/>
                <w:color w:val="auto"/>
              </w:rPr>
              <w:t>Identification Numbers for Foreign Obligors</w:t>
            </w:r>
          </w:p>
        </w:tc>
      </w:tr>
      <w:tr>
        <w:trPr>
          <w:trHeight w:val="297"/>
        </w:trPr>
        <w:tc>
          <w:tcPr>
            <w:tcW w:w="1820" w:type="dxa"/>
            <w:vAlign w:val="bottom"/>
          </w:tcPr>
          <w:p>
            <w:pPr>
              <w:ind w:left="820"/>
              <w:spacing w:after="0"/>
              <w:rPr>
                <w:sz w:val="20"/>
                <w:szCs w:val="20"/>
                <w:color w:val="auto"/>
              </w:rPr>
            </w:pPr>
            <w:r>
              <w:rPr>
                <w:rFonts w:ascii="Arial" w:cs="Arial" w:eastAsia="Arial" w:hAnsi="Arial"/>
                <w:sz w:val="22"/>
                <w:szCs w:val="22"/>
                <w:color w:val="auto"/>
              </w:rPr>
              <w:t>7.01</w:t>
            </w:r>
          </w:p>
        </w:tc>
        <w:tc>
          <w:tcPr>
            <w:tcW w:w="6240" w:type="dxa"/>
            <w:vAlign w:val="bottom"/>
          </w:tcPr>
          <w:p>
            <w:pPr>
              <w:ind w:left="380"/>
              <w:spacing w:after="0"/>
              <w:rPr>
                <w:sz w:val="20"/>
                <w:szCs w:val="20"/>
                <w:color w:val="auto"/>
              </w:rPr>
            </w:pPr>
            <w:r>
              <w:rPr>
                <w:rFonts w:ascii="Arial" w:cs="Arial" w:eastAsia="Arial" w:hAnsi="Arial"/>
                <w:sz w:val="22"/>
                <w:szCs w:val="22"/>
                <w:color w:val="auto"/>
              </w:rPr>
              <w:t>Existing Liens</w:t>
            </w:r>
          </w:p>
        </w:tc>
      </w:tr>
      <w:tr>
        <w:trPr>
          <w:trHeight w:val="297"/>
        </w:trPr>
        <w:tc>
          <w:tcPr>
            <w:tcW w:w="1820" w:type="dxa"/>
            <w:vAlign w:val="bottom"/>
          </w:tcPr>
          <w:p>
            <w:pPr>
              <w:ind w:left="820"/>
              <w:spacing w:after="0"/>
              <w:rPr>
                <w:sz w:val="20"/>
                <w:szCs w:val="20"/>
                <w:color w:val="auto"/>
              </w:rPr>
            </w:pPr>
            <w:r>
              <w:rPr>
                <w:rFonts w:ascii="Arial" w:cs="Arial" w:eastAsia="Arial" w:hAnsi="Arial"/>
                <w:sz w:val="22"/>
                <w:szCs w:val="22"/>
                <w:color w:val="auto"/>
              </w:rPr>
              <w:t>11.02</w:t>
            </w:r>
          </w:p>
        </w:tc>
        <w:tc>
          <w:tcPr>
            <w:tcW w:w="6240" w:type="dxa"/>
            <w:vAlign w:val="bottom"/>
          </w:tcPr>
          <w:p>
            <w:pPr>
              <w:ind w:left="380"/>
              <w:spacing w:after="0"/>
              <w:rPr>
                <w:sz w:val="20"/>
                <w:szCs w:val="20"/>
                <w:color w:val="auto"/>
              </w:rPr>
            </w:pPr>
            <w:r>
              <w:rPr>
                <w:rFonts w:ascii="Arial" w:cs="Arial" w:eastAsia="Arial" w:hAnsi="Arial"/>
                <w:sz w:val="22"/>
                <w:szCs w:val="22"/>
                <w:color w:val="auto"/>
                <w:w w:val="99"/>
              </w:rPr>
              <w:t>Administrative Agent’s Office; Certain Addresses for Notices</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200" w:lineRule="exact"/>
        <w:rPr>
          <w:sz w:val="20"/>
          <w:szCs w:val="20"/>
          <w:color w:val="auto"/>
        </w:rPr>
      </w:pPr>
    </w:p>
    <w:p>
      <w:pPr>
        <w:spacing w:after="0" w:line="390"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auto"/>
        </w:rPr>
        <w:t>Form of</w:t>
      </w:r>
    </w:p>
    <w:p>
      <w:pPr>
        <w:spacing w:after="0" w:line="200" w:lineRule="exact"/>
        <w:rPr>
          <w:sz w:val="20"/>
          <w:szCs w:val="20"/>
          <w:color w:val="auto"/>
        </w:rPr>
      </w:pPr>
    </w:p>
    <w:p>
      <w:pPr>
        <w:spacing w:after="0" w:line="384" w:lineRule="exact"/>
        <w:rPr>
          <w:sz w:val="20"/>
          <w:szCs w:val="20"/>
          <w:color w:val="auto"/>
        </w:rPr>
      </w:pPr>
    </w:p>
    <w:p>
      <w:pPr>
        <w:ind w:left="2200" w:hanging="1386"/>
        <w:spacing w:after="0"/>
        <w:tabs>
          <w:tab w:leader="none" w:pos="2200" w:val="left"/>
        </w:tabs>
        <w:numPr>
          <w:ilvl w:val="0"/>
          <w:numId w:val="3"/>
        </w:numPr>
        <w:rPr>
          <w:rFonts w:ascii="Arial" w:cs="Arial" w:eastAsia="Arial" w:hAnsi="Arial"/>
          <w:sz w:val="22"/>
          <w:szCs w:val="22"/>
          <w:color w:val="auto"/>
        </w:rPr>
      </w:pPr>
      <w:r>
        <w:rPr>
          <w:rFonts w:ascii="Arial" w:cs="Arial" w:eastAsia="Arial" w:hAnsi="Arial"/>
          <w:sz w:val="22"/>
          <w:szCs w:val="22"/>
          <w:color w:val="auto"/>
        </w:rPr>
        <w:t>Loan Notice</w:t>
      </w:r>
    </w:p>
    <w:p>
      <w:pPr>
        <w:spacing w:after="0" w:line="44" w:lineRule="exact"/>
        <w:rPr>
          <w:sz w:val="20"/>
          <w:szCs w:val="20"/>
          <w:color w:val="auto"/>
        </w:rPr>
      </w:pPr>
    </w:p>
    <w:p>
      <w:pPr>
        <w:ind w:left="2200" w:hanging="1386"/>
        <w:spacing w:after="0"/>
        <w:tabs>
          <w:tab w:leader="none" w:pos="2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Swing Line Loan Notice</w:t>
      </w:r>
    </w:p>
    <w:p>
      <w:pPr>
        <w:spacing w:after="0" w:line="44" w:lineRule="exact"/>
        <w:rPr>
          <w:sz w:val="20"/>
          <w:szCs w:val="20"/>
          <w:color w:val="auto"/>
        </w:rPr>
      </w:pPr>
    </w:p>
    <w:p>
      <w:pPr>
        <w:ind w:left="2200" w:hanging="1386"/>
        <w:spacing w:after="0"/>
        <w:tabs>
          <w:tab w:leader="none" w:pos="22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Note</w:t>
      </w:r>
    </w:p>
    <w:p>
      <w:pPr>
        <w:spacing w:after="0" w:line="44" w:lineRule="exact"/>
        <w:rPr>
          <w:sz w:val="20"/>
          <w:szCs w:val="20"/>
          <w:color w:val="auto"/>
        </w:rPr>
      </w:pPr>
    </w:p>
    <w:p>
      <w:pPr>
        <w:ind w:left="2200" w:hanging="1386"/>
        <w:spacing w:after="0"/>
        <w:tabs>
          <w:tab w:leader="none" w:pos="2200" w:val="left"/>
        </w:tabs>
        <w:numPr>
          <w:ilvl w:val="0"/>
          <w:numId w:val="6"/>
        </w:numPr>
        <w:rPr>
          <w:rFonts w:ascii="Arial" w:cs="Arial" w:eastAsia="Arial" w:hAnsi="Arial"/>
          <w:sz w:val="22"/>
          <w:szCs w:val="22"/>
          <w:color w:val="auto"/>
        </w:rPr>
      </w:pPr>
      <w:r>
        <w:rPr>
          <w:rFonts w:ascii="Arial" w:cs="Arial" w:eastAsia="Arial" w:hAnsi="Arial"/>
          <w:sz w:val="22"/>
          <w:szCs w:val="22"/>
          <w:color w:val="auto"/>
        </w:rPr>
        <w:t>Compliance Certificate</w:t>
      </w:r>
    </w:p>
    <w:p>
      <w:pPr>
        <w:sectPr>
          <w:pgSz w:w="11900" w:h="16838" w:orient="portrait"/>
          <w:cols w:equalWidth="0" w:num="1">
            <w:col w:w="9539"/>
          </w:cols>
          <w:pgMar w:left="920" w:top="774" w:right="1440" w:bottom="1440" w:gutter="0" w:footer="0" w:header="0"/>
        </w:sectPr>
      </w:pPr>
    </w:p>
    <w:p>
      <w:pPr>
        <w:spacing w:after="0" w:line="4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E</w:t>
      </w:r>
    </w:p>
    <w:p>
      <w:pPr>
        <w:spacing w:after="0" w:line="10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F</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Assignment and Assumption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Opinion</w:t>
      </w:r>
    </w:p>
    <w:p>
      <w:pPr>
        <w:spacing w:after="0" w:line="44" w:lineRule="exact"/>
        <w:rPr>
          <w:sz w:val="20"/>
          <w:szCs w:val="20"/>
          <w:color w:val="auto"/>
        </w:rPr>
      </w:pPr>
    </w:p>
    <w:p>
      <w:pPr>
        <w:sectPr>
          <w:pgSz w:w="11900" w:h="16838" w:orient="portrait"/>
          <w:cols w:equalWidth="0" w:num="2">
            <w:col w:w="1480" w:space="720"/>
            <w:col w:w="7339"/>
          </w:cols>
          <w:pgMar w:left="920" w:top="774" w:right="1440" w:bottom="1440" w:gutter="0" w:footer="0" w:header="0"/>
          <w:type w:val="continuous"/>
        </w:sectPr>
      </w:pPr>
    </w:p>
    <w:p>
      <w:pPr>
        <w:ind w:left="2200" w:hanging="1386"/>
        <w:spacing w:after="0"/>
        <w:tabs>
          <w:tab w:leader="none" w:pos="2200" w:val="left"/>
        </w:tabs>
        <w:numPr>
          <w:ilvl w:val="0"/>
          <w:numId w:val="7"/>
        </w:numPr>
        <w:rPr>
          <w:rFonts w:ascii="Arial" w:cs="Arial" w:eastAsia="Arial" w:hAnsi="Arial"/>
          <w:sz w:val="19"/>
          <w:szCs w:val="19"/>
          <w:color w:val="auto"/>
        </w:rPr>
      </w:pPr>
      <w:r>
        <w:rPr>
          <w:rFonts w:ascii="Arial" w:cs="Arial" w:eastAsia="Arial" w:hAnsi="Arial"/>
          <w:sz w:val="19"/>
          <w:szCs w:val="19"/>
          <w:color w:val="auto"/>
        </w:rPr>
        <w:t>Designated Borrower Request and Assumption Agreement</w:t>
      </w:r>
    </w:p>
    <w:p>
      <w:pPr>
        <w:spacing w:after="0" w:line="79" w:lineRule="exact"/>
        <w:rPr>
          <w:sz w:val="20"/>
          <w:szCs w:val="20"/>
          <w:color w:val="auto"/>
        </w:rPr>
      </w:pPr>
    </w:p>
    <w:p>
      <w:pPr>
        <w:ind w:left="2200" w:hanging="1386"/>
        <w:spacing w:after="0"/>
        <w:tabs>
          <w:tab w:leader="none" w:pos="2200" w:val="left"/>
        </w:tabs>
        <w:numPr>
          <w:ilvl w:val="0"/>
          <w:numId w:val="8"/>
        </w:numPr>
        <w:rPr>
          <w:rFonts w:ascii="Arial" w:cs="Arial" w:eastAsia="Arial" w:hAnsi="Arial"/>
          <w:sz w:val="22"/>
          <w:szCs w:val="22"/>
          <w:color w:val="auto"/>
        </w:rPr>
      </w:pPr>
      <w:r>
        <w:rPr>
          <w:rFonts w:ascii="Arial" w:cs="Arial" w:eastAsia="Arial" w:hAnsi="Arial"/>
          <w:sz w:val="22"/>
          <w:szCs w:val="22"/>
          <w:color w:val="auto"/>
        </w:rPr>
        <w:t>Designated Borrower Notice</w:t>
      </w:r>
    </w:p>
    <w:p>
      <w:pPr>
        <w:sectPr>
          <w:pgSz w:w="11900" w:h="16838" w:orient="portrait"/>
          <w:cols w:equalWidth="0" w:num="1">
            <w:col w:w="9539"/>
          </w:cols>
          <w:pgMar w:left="920" w:top="774" w:right="1440" w:bottom="1440" w:gutter="0" w:footer="0" w:header="0"/>
          <w:type w:val="continuous"/>
        </w:sectPr>
      </w:pPr>
    </w:p>
    <w:p>
      <w:pPr>
        <w:spacing w:after="0" w:line="4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w:t>
      </w:r>
    </w:p>
    <w:p>
      <w:pPr>
        <w:spacing w:after="0" w:line="4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J</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U.S. Tax Compliance Certificates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Funding Indemnity Letter</w:t>
      </w:r>
    </w:p>
    <w:p>
      <w:pPr>
        <w:spacing w:after="0" w:line="200" w:lineRule="exact"/>
        <w:rPr>
          <w:sz w:val="20"/>
          <w:szCs w:val="20"/>
          <w:color w:val="auto"/>
        </w:rPr>
      </w:pPr>
    </w:p>
    <w:p>
      <w:pPr>
        <w:sectPr>
          <w:pgSz w:w="11900" w:h="16838" w:orient="portrait"/>
          <w:cols w:equalWidth="0" w:num="2">
            <w:col w:w="1480" w:space="720"/>
            <w:col w:w="7339"/>
          </w:cols>
          <w:pgMar w:left="920" w:top="7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9539"/>
          </w:cols>
          <w:pgMar w:left="920" w:top="774" w:right="1440"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CREDIT AGREEMENT</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CREDIT AGREEMENT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is entered into as of June 19, 2018, among </w:t>
      </w:r>
      <w:r>
        <w:rPr>
          <w:rFonts w:ascii="Arial" w:cs="Arial" w:eastAsia="Arial" w:hAnsi="Arial"/>
          <w:sz w:val="21"/>
          <w:szCs w:val="21"/>
          <w:b w:val="1"/>
          <w:bCs w:val="1"/>
          <w:color w:val="auto"/>
        </w:rPr>
        <w:t>THE TORO COMPANY</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Toro</w:t>
      </w:r>
      <w:r>
        <w:rPr>
          <w:rFonts w:ascii="Arial" w:cs="Arial" w:eastAsia="Arial" w:hAnsi="Arial"/>
          <w:sz w:val="21"/>
          <w:szCs w:val="21"/>
          <w:color w:val="auto"/>
        </w:rPr>
        <w:t xml:space="preserve">”), </w:t>
      </w:r>
      <w:r>
        <w:rPr>
          <w:rFonts w:ascii="Arial" w:cs="Arial" w:eastAsia="Arial" w:hAnsi="Arial"/>
          <w:sz w:val="21"/>
          <w:szCs w:val="21"/>
          <w:b w:val="1"/>
          <w:bCs w:val="1"/>
          <w:color w:val="auto"/>
        </w:rPr>
        <w:t>TORO LUXEMBOURG S.A.R.L.</w:t>
      </w:r>
      <w:r>
        <w:rPr>
          <w:rFonts w:ascii="Arial" w:cs="Arial" w:eastAsia="Arial" w:hAnsi="Arial"/>
          <w:sz w:val="21"/>
          <w:szCs w:val="21"/>
          <w:color w:val="auto"/>
        </w:rPr>
        <w:t xml:space="preserve"> (“</w:t>
      </w:r>
      <w:r>
        <w:rPr>
          <w:rFonts w:ascii="Arial" w:cs="Arial" w:eastAsia="Arial" w:hAnsi="Arial"/>
          <w:sz w:val="21"/>
          <w:szCs w:val="21"/>
          <w:u w:val="single" w:color="auto"/>
          <w:color w:val="auto"/>
        </w:rPr>
        <w:t>Toro Luxembourg</w:t>
      </w:r>
      <w:r>
        <w:rPr>
          <w:rFonts w:ascii="Arial" w:cs="Arial" w:eastAsia="Arial" w:hAnsi="Arial"/>
          <w:sz w:val="21"/>
          <w:szCs w:val="21"/>
          <w:color w:val="auto"/>
        </w:rPr>
        <w:t>”), a Luxembourg limited liability company (</w:t>
      </w:r>
      <w:r>
        <w:rPr>
          <w:rFonts w:ascii="Arial" w:cs="Arial" w:eastAsia="Arial" w:hAnsi="Arial"/>
          <w:sz w:val="21"/>
          <w:szCs w:val="21"/>
          <w:i w:val="1"/>
          <w:iCs w:val="1"/>
          <w:color w:val="auto"/>
        </w:rPr>
        <w:t>société à responsabilité limitée</w:t>
      </w:r>
      <w:r>
        <w:rPr>
          <w:rFonts w:ascii="Arial" w:cs="Arial" w:eastAsia="Arial" w:hAnsi="Arial"/>
          <w:sz w:val="21"/>
          <w:szCs w:val="21"/>
          <w:color w:val="auto"/>
        </w:rPr>
        <w:t>) incorporated and existing under the laws of the Grand Duchy of Luxembourg, and registered with the Luxembourg trade and companies register (</w:t>
      </w:r>
      <w:r>
        <w:rPr>
          <w:rFonts w:ascii="Arial" w:cs="Arial" w:eastAsia="Arial" w:hAnsi="Arial"/>
          <w:sz w:val="21"/>
          <w:szCs w:val="21"/>
          <w:i w:val="1"/>
          <w:iCs w:val="1"/>
          <w:color w:val="auto"/>
        </w:rPr>
        <w:t>Registre de Commerce et des Sociétés de Luxembourg</w:t>
      </w:r>
      <w:r>
        <w:rPr>
          <w:rFonts w:ascii="Arial" w:cs="Arial" w:eastAsia="Arial" w:hAnsi="Arial"/>
          <w:sz w:val="21"/>
          <w:szCs w:val="21"/>
          <w:color w:val="auto"/>
        </w:rPr>
        <w:t xml:space="preserve">) under registration number B 131.092, certain other Subsidiaries of Toro party hereto pursuant to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(each a “</w:t>
      </w:r>
      <w:r>
        <w:rPr>
          <w:rFonts w:ascii="Arial" w:cs="Arial" w:eastAsia="Arial" w:hAnsi="Arial"/>
          <w:sz w:val="21"/>
          <w:szCs w:val="21"/>
          <w:u w:val="single" w:color="auto"/>
          <w:color w:val="auto"/>
        </w:rPr>
        <w:t>Designated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Borrower</w:t>
      </w:r>
      <w:r>
        <w:rPr>
          <w:rFonts w:ascii="Arial" w:cs="Arial" w:eastAsia="Arial" w:hAnsi="Arial"/>
          <w:sz w:val="21"/>
          <w:szCs w:val="21"/>
          <w:color w:val="auto"/>
        </w:rPr>
        <w:t>” and, together with Toro Luxembourg, the “</w:t>
      </w:r>
      <w:r>
        <w:rPr>
          <w:rFonts w:ascii="Arial" w:cs="Arial" w:eastAsia="Arial" w:hAnsi="Arial"/>
          <w:sz w:val="21"/>
          <w:szCs w:val="21"/>
          <w:u w:val="single" w:color="auto"/>
          <w:color w:val="auto"/>
        </w:rPr>
        <w:t>Subsidiary Borrowers</w:t>
      </w:r>
      <w:r>
        <w:rPr>
          <w:rFonts w:ascii="Arial" w:cs="Arial" w:eastAsia="Arial" w:hAnsi="Arial"/>
          <w:sz w:val="21"/>
          <w:szCs w:val="21"/>
          <w:color w:val="auto"/>
        </w:rPr>
        <w:t>” and, together with Toro, the “</w:t>
      </w:r>
      <w:r>
        <w:rPr>
          <w:rFonts w:ascii="Arial" w:cs="Arial" w:eastAsia="Arial" w:hAnsi="Arial"/>
          <w:sz w:val="21"/>
          <w:szCs w:val="21"/>
          <w:u w:val="single" w:color="auto"/>
          <w:color w:val="auto"/>
        </w:rPr>
        <w:t>Borrowers</w:t>
      </w:r>
      <w:r>
        <w:rPr>
          <w:rFonts w:ascii="Arial" w:cs="Arial" w:eastAsia="Arial" w:hAnsi="Arial"/>
          <w:sz w:val="21"/>
          <w:szCs w:val="21"/>
          <w:color w:val="auto"/>
        </w:rPr>
        <w:t>” and each a “</w:t>
      </w:r>
      <w:r>
        <w:rPr>
          <w:rFonts w:ascii="Arial" w:cs="Arial" w:eastAsia="Arial" w:hAnsi="Arial"/>
          <w:sz w:val="21"/>
          <w:szCs w:val="21"/>
          <w:u w:val="single" w:color="auto"/>
          <w:color w:val="auto"/>
        </w:rPr>
        <w:t>Borrower</w:t>
      </w:r>
      <w:r>
        <w:rPr>
          <w:rFonts w:ascii="Arial" w:cs="Arial" w:eastAsia="Arial" w:hAnsi="Arial"/>
          <w:sz w:val="21"/>
          <w:szCs w:val="21"/>
          <w:color w:val="auto"/>
        </w:rPr>
        <w:t>”), each lender from time to time party hereto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and individually, a “</w:t>
      </w:r>
      <w:r>
        <w:rPr>
          <w:rFonts w:ascii="Arial" w:cs="Arial" w:eastAsia="Arial" w:hAnsi="Arial"/>
          <w:sz w:val="21"/>
          <w:szCs w:val="21"/>
          <w:u w:val="single" w:color="auto"/>
          <w:color w:val="auto"/>
        </w:rPr>
        <w:t>Lender</w:t>
      </w:r>
      <w:r>
        <w:rPr>
          <w:rFonts w:ascii="Arial" w:cs="Arial" w:eastAsia="Arial" w:hAnsi="Arial"/>
          <w:sz w:val="21"/>
          <w:szCs w:val="21"/>
          <w:color w:val="auto"/>
        </w:rPr>
        <w:t xml:space="preserve">”), and </w:t>
      </w:r>
      <w:r>
        <w:rPr>
          <w:rFonts w:ascii="Arial" w:cs="Arial" w:eastAsia="Arial" w:hAnsi="Arial"/>
          <w:sz w:val="21"/>
          <w:szCs w:val="21"/>
          <w:b w:val="1"/>
          <w:bCs w:val="1"/>
          <w:color w:val="auto"/>
        </w:rPr>
        <w:t>BANK OF</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AMERICA, N.A., </w:t>
      </w:r>
      <w:r>
        <w:rPr>
          <w:rFonts w:ascii="Arial" w:cs="Arial" w:eastAsia="Arial" w:hAnsi="Arial"/>
          <w:sz w:val="21"/>
          <w:szCs w:val="21"/>
          <w:color w:val="auto"/>
        </w:rPr>
        <w:t>as Administrative Agent, Swing Line Lender and L/C Issuer.</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Borrowers have requested that the Lenders provide a $600,000,000 revolving credit facility, with a letter of credit subfacility and a swing line subfacility, to the Borrowers, and the Lenders are willing to do so on the terms and conditions set forth herein.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ACCOUNTING TERMS</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 xml:space="preserve">Defined Terms. </w:t>
      </w:r>
      <w:r>
        <w:rPr>
          <w:rFonts w:ascii="Arial" w:cs="Arial" w:eastAsia="Arial" w:hAnsi="Arial"/>
          <w:sz w:val="19"/>
          <w:szCs w:val="19"/>
          <w:color w:val="auto"/>
        </w:rPr>
        <w:t>As used in this Agreement, the following terms shall have the meanings set forth below:</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xml:space="preserve">” means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(i) before and after giving pro forma effect to any such Acquisition, Toro is in compliance with financial covenant set forth in </w:t>
      </w:r>
      <w:r>
        <w:rPr>
          <w:rFonts w:ascii="Arial" w:cs="Arial" w:eastAsia="Arial" w:hAnsi="Arial"/>
          <w:sz w:val="19"/>
          <w:szCs w:val="19"/>
          <w:u w:val="single" w:color="auto"/>
          <w:color w:val="auto"/>
        </w:rPr>
        <w:t>Section 7.06</w:t>
      </w:r>
      <w:r>
        <w:rPr>
          <w:rFonts w:ascii="Arial" w:cs="Arial" w:eastAsia="Arial" w:hAnsi="Arial"/>
          <w:sz w:val="19"/>
          <w:szCs w:val="19"/>
          <w:color w:val="auto"/>
        </w:rPr>
        <w:t>, (ii) such Acquisition is undertaken in accordance with all applicable Laws, and (iii) the prior, effective written consent or approval to such Acquisition of the board of directors or equivalent governing body of the acquiree is obtained.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means USA PATRIOT Act (Title III of Pub. L. 107-56 (signed into law October 26, 2001)).</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Bank of America (or any designated branch offices or Affiliates of Bank of America) in its capacity as administrative agent under any of the Loan Documents, or any successor administrative agent as permitted by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13" w:name="page14"/>
    <w:bookmarkEnd w:id="13"/>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Office</w:t>
      </w:r>
      <w:r>
        <w:rPr>
          <w:rFonts w:ascii="Arial" w:cs="Arial" w:eastAsia="Arial" w:hAnsi="Arial"/>
          <w:sz w:val="22"/>
          <w:szCs w:val="22"/>
          <w:color w:val="auto"/>
        </w:rPr>
        <w:t xml:space="preserve">” means, with respect to any currency, the Administrative Agent’s address and, as appropriate, account as set forth on </w:t>
      </w:r>
      <w:r>
        <w:rPr>
          <w:rFonts w:ascii="Arial" w:cs="Arial" w:eastAsia="Arial" w:hAnsi="Arial"/>
          <w:sz w:val="22"/>
          <w:szCs w:val="22"/>
          <w:u w:val="single" w:color="auto"/>
          <w:color w:val="auto"/>
        </w:rPr>
        <w:t>Schedule 11.02</w:t>
      </w:r>
      <w:r>
        <w:rPr>
          <w:rFonts w:ascii="Arial" w:cs="Arial" w:eastAsia="Arial" w:hAnsi="Arial"/>
          <w:sz w:val="22"/>
          <w:szCs w:val="22"/>
          <w:color w:val="auto"/>
        </w:rPr>
        <w:t xml:space="preserve"> with respect to such currency, or such other address or account with respect to such currency as the Administrative Agent may from time to time notify Toro and the Lenders.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approved by the Administrative Agent.</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Commitments</w:t>
      </w:r>
      <w:r>
        <w:rPr>
          <w:rFonts w:ascii="Arial" w:cs="Arial" w:eastAsia="Arial" w:hAnsi="Arial"/>
          <w:sz w:val="22"/>
          <w:szCs w:val="22"/>
          <w:color w:val="auto"/>
        </w:rPr>
        <w:t>” means the Commitments of all the Lenders.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Credit Agreement.</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w:t>
      </w:r>
      <w:r>
        <w:rPr>
          <w:rFonts w:ascii="Arial" w:cs="Arial" w:eastAsia="Arial" w:hAnsi="Arial"/>
          <w:sz w:val="22"/>
          <w:szCs w:val="22"/>
          <w:color w:val="auto"/>
        </w:rPr>
        <w:t xml:space="preserve">” means each of Euro, Sterling, Australian Dollars, Canadian Dollars, Mexican Pesos and each other currency (other than Dollars) that is approved in accordance with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 Equivalent</w:t>
      </w:r>
      <w:r>
        <w:rPr>
          <w:rFonts w:ascii="Arial" w:cs="Arial" w:eastAsia="Arial" w:hAnsi="Arial"/>
          <w:sz w:val="22"/>
          <w:szCs w:val="22"/>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4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xml:space="preserve">” means, with respect to any Lender at any time, the percentage (carried out to the ninth decimal place) of the Aggregate Commitments represented by such Lender’s Commitment at such time, in each case, subject to adjustment as provided in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If the commitment of each Lender to make Loans and the obligation of the L/C Issuer to make L/C Credit Extensions have been terminated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or in the Assignment and Assumption pursuant to which such Lender becomes a party hereto, as applicable.</w:t>
      </w:r>
    </w:p>
    <w:p>
      <w:pPr>
        <w:spacing w:after="0" w:line="15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Rate</w:t>
      </w:r>
      <w:r>
        <w:rPr>
          <w:rFonts w:ascii="Arial" w:cs="Arial" w:eastAsia="Arial" w:hAnsi="Arial"/>
          <w:sz w:val="22"/>
          <w:szCs w:val="22"/>
          <w:color w:val="auto"/>
        </w:rPr>
        <w:t>” means, from time to time, the following percentages per annum, based upon (i) the Leverage Ratio for such period, and (ii) the Debt Rating as set forth below: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4" w:name="page15"/>
    <w:bookmarkEnd w:id="14"/>
    <w:tbl>
      <w:tblPr>
        <w:tblLayout w:type="fixed"/>
        <w:tblInd w:w="670" w:type="dxa"/>
        <w:tblCellMar>
          <w:top w:w="0" w:type="dxa"/>
          <w:left w:w="0" w:type="dxa"/>
          <w:bottom w:w="0" w:type="dxa"/>
          <w:right w:w="0" w:type="dxa"/>
        </w:tblCellMar>
      </w:tblPr>
      <w:tr>
        <w:trPr>
          <w:trHeight w:val="252"/>
        </w:trPr>
        <w:tc>
          <w:tcPr>
            <w:tcW w:w="96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Pricing</w:t>
            </w:r>
          </w:p>
        </w:tc>
        <w:tc>
          <w:tcPr>
            <w:tcW w:w="27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Leverage Ratio</w:t>
            </w:r>
          </w:p>
        </w:tc>
        <w:tc>
          <w:tcPr>
            <w:tcW w:w="1400" w:type="dxa"/>
            <w:vAlign w:val="bottom"/>
            <w:tcBorders>
              <w:top w:val="single" w:sz="8" w:color="auto"/>
              <w:right w:val="single" w:sz="8" w:color="auto"/>
            </w:tcBorders>
            <w:gridSpan w:val="3"/>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Debt Rating</w:t>
            </w:r>
          </w:p>
        </w:tc>
        <w:tc>
          <w:tcPr>
            <w:tcW w:w="12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Facility Fee</w:t>
            </w:r>
          </w:p>
        </w:tc>
        <w:tc>
          <w:tcPr>
            <w:tcW w:w="23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Eurocurrency Rate Margin</w:t>
            </w:r>
          </w:p>
        </w:tc>
        <w:tc>
          <w:tcPr>
            <w:tcW w:w="1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Base Rate</w:t>
            </w:r>
          </w:p>
        </w:tc>
        <w:tc>
          <w:tcPr>
            <w:tcW w:w="0" w:type="dxa"/>
            <w:vAlign w:val="bottom"/>
          </w:tcPr>
          <w:p>
            <w:pPr>
              <w:spacing w:after="0"/>
              <w:rPr>
                <w:sz w:val="1"/>
                <w:szCs w:val="1"/>
                <w:color w:val="auto"/>
              </w:rPr>
            </w:pPr>
          </w:p>
        </w:tc>
      </w:tr>
      <w:tr>
        <w:trPr>
          <w:trHeight w:val="126"/>
        </w:trPr>
        <w:tc>
          <w:tcPr>
            <w:tcW w:w="96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Level</w:t>
            </w:r>
          </w:p>
        </w:tc>
        <w:tc>
          <w:tcPr>
            <w:tcW w:w="2740" w:type="dxa"/>
            <w:vAlign w:val="bottom"/>
            <w:tcBorders>
              <w:right w:val="single" w:sz="8" w:color="auto"/>
            </w:tcBorders>
            <w:vMerge w:val="continue"/>
            <w:shd w:val="clear" w:color="auto" w:fill="D9D9D9"/>
          </w:tcPr>
          <w:p>
            <w:pPr>
              <w:spacing w:after="0"/>
              <w:rPr>
                <w:sz w:val="10"/>
                <w:szCs w:val="10"/>
                <w:color w:val="auto"/>
              </w:rPr>
            </w:pPr>
          </w:p>
        </w:tc>
        <w:tc>
          <w:tcPr>
            <w:tcW w:w="1400" w:type="dxa"/>
            <w:vAlign w:val="bottom"/>
            <w:tcBorders>
              <w:right w:val="single" w:sz="8" w:color="auto"/>
            </w:tcBorders>
            <w:gridSpan w:val="3"/>
            <w:vMerge w:val="continue"/>
            <w:shd w:val="clear" w:color="auto" w:fill="D9D9D9"/>
          </w:tcPr>
          <w:p>
            <w:pPr>
              <w:spacing w:after="0"/>
              <w:rPr>
                <w:sz w:val="10"/>
                <w:szCs w:val="10"/>
                <w:color w:val="auto"/>
              </w:rPr>
            </w:pPr>
          </w:p>
        </w:tc>
        <w:tc>
          <w:tcPr>
            <w:tcW w:w="1280" w:type="dxa"/>
            <w:vAlign w:val="bottom"/>
            <w:tcBorders>
              <w:right w:val="single" w:sz="8" w:color="auto"/>
            </w:tcBorders>
            <w:vMerge w:val="continue"/>
            <w:shd w:val="clear" w:color="auto" w:fill="D9D9D9"/>
          </w:tcPr>
          <w:p>
            <w:pPr>
              <w:spacing w:after="0"/>
              <w:rPr>
                <w:sz w:val="10"/>
                <w:szCs w:val="10"/>
                <w:color w:val="auto"/>
              </w:rPr>
            </w:pPr>
          </w:p>
        </w:tc>
        <w:tc>
          <w:tcPr>
            <w:tcW w:w="23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and Letters of Credit Rate</w:t>
            </w: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Margin</w:t>
            </w: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D9D9D9"/>
              <w:right w:val="single" w:sz="8" w:color="auto"/>
            </w:tcBorders>
            <w:vMerge w:val="continue"/>
            <w:shd w:val="clear" w:color="auto" w:fill="D9D9D9"/>
          </w:tcPr>
          <w:p>
            <w:pPr>
              <w:spacing w:after="0"/>
              <w:rPr>
                <w:sz w:val="12"/>
                <w:szCs w:val="12"/>
                <w:color w:val="auto"/>
              </w:rPr>
            </w:pPr>
          </w:p>
        </w:tc>
        <w:tc>
          <w:tcPr>
            <w:tcW w:w="2740" w:type="dxa"/>
            <w:vAlign w:val="bottom"/>
            <w:tcBorders>
              <w:bottom w:val="single" w:sz="8" w:color="D9D9D9"/>
              <w:right w:val="single" w:sz="8" w:color="auto"/>
            </w:tcBorders>
            <w:shd w:val="clear" w:color="auto" w:fill="D9D9D9"/>
          </w:tcPr>
          <w:p>
            <w:pPr>
              <w:spacing w:after="0"/>
              <w:rPr>
                <w:sz w:val="12"/>
                <w:szCs w:val="12"/>
                <w:color w:val="auto"/>
              </w:rPr>
            </w:pPr>
          </w:p>
        </w:tc>
        <w:tc>
          <w:tcPr>
            <w:tcW w:w="220" w:type="dxa"/>
            <w:vAlign w:val="bottom"/>
            <w:tcBorders>
              <w:bottom w:val="single" w:sz="8" w:color="D9D9D9"/>
            </w:tcBorders>
            <w:shd w:val="clear" w:color="auto" w:fill="D9D9D9"/>
          </w:tcPr>
          <w:p>
            <w:pPr>
              <w:spacing w:after="0"/>
              <w:rPr>
                <w:sz w:val="12"/>
                <w:szCs w:val="12"/>
                <w:color w:val="auto"/>
              </w:rPr>
            </w:pPr>
          </w:p>
        </w:tc>
        <w:tc>
          <w:tcPr>
            <w:tcW w:w="100" w:type="dxa"/>
            <w:vAlign w:val="bottom"/>
            <w:tcBorders>
              <w:bottom w:val="single" w:sz="8" w:color="D9D9D9"/>
            </w:tcBorders>
            <w:shd w:val="clear" w:color="auto" w:fill="D9D9D9"/>
          </w:tcPr>
          <w:p>
            <w:pPr>
              <w:spacing w:after="0"/>
              <w:rPr>
                <w:sz w:val="12"/>
                <w:szCs w:val="12"/>
                <w:color w:val="auto"/>
              </w:rPr>
            </w:pPr>
          </w:p>
        </w:tc>
        <w:tc>
          <w:tcPr>
            <w:tcW w:w="1080" w:type="dxa"/>
            <w:vAlign w:val="bottom"/>
            <w:tcBorders>
              <w:bottom w:val="single" w:sz="8" w:color="D9D9D9"/>
              <w:right w:val="single" w:sz="8" w:color="auto"/>
            </w:tcBorders>
            <w:shd w:val="clear" w:color="auto" w:fill="D9D9D9"/>
          </w:tcPr>
          <w:p>
            <w:pPr>
              <w:spacing w:after="0"/>
              <w:rPr>
                <w:sz w:val="12"/>
                <w:szCs w:val="12"/>
                <w:color w:val="auto"/>
              </w:rPr>
            </w:pPr>
          </w:p>
        </w:tc>
        <w:tc>
          <w:tcPr>
            <w:tcW w:w="1280" w:type="dxa"/>
            <w:vAlign w:val="bottom"/>
            <w:tcBorders>
              <w:bottom w:val="single" w:sz="8" w:color="D9D9D9"/>
              <w:right w:val="single" w:sz="8" w:color="auto"/>
            </w:tcBorders>
            <w:shd w:val="clear" w:color="auto" w:fill="D9D9D9"/>
          </w:tcPr>
          <w:p>
            <w:pPr>
              <w:spacing w:after="0"/>
              <w:rPr>
                <w:sz w:val="12"/>
                <w:szCs w:val="12"/>
                <w:color w:val="auto"/>
              </w:rPr>
            </w:pPr>
          </w:p>
        </w:tc>
        <w:tc>
          <w:tcPr>
            <w:tcW w:w="2320" w:type="dxa"/>
            <w:vAlign w:val="bottom"/>
            <w:tcBorders>
              <w:bottom w:val="single" w:sz="8" w:color="D9D9D9"/>
              <w:right w:val="single" w:sz="8" w:color="auto"/>
            </w:tcBorders>
            <w:vMerge w:val="continue"/>
            <w:shd w:val="clear" w:color="auto" w:fill="D9D9D9"/>
          </w:tcPr>
          <w:p>
            <w:pPr>
              <w:spacing w:after="0"/>
              <w:rPr>
                <w:sz w:val="12"/>
                <w:szCs w:val="12"/>
                <w:color w:val="auto"/>
              </w:rPr>
            </w:pPr>
          </w:p>
        </w:tc>
        <w:tc>
          <w:tcPr>
            <w:tcW w:w="1400" w:type="dxa"/>
            <w:vAlign w:val="bottom"/>
            <w:tcBorders>
              <w:bottom w:val="single" w:sz="8" w:color="D9D9D9"/>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Less than or equal to 0.25x</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w w:val="97"/>
              </w:rPr>
              <w:t>≥ A- / A3</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0.075%</w:t>
            </w: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0.900%</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0.000%</w:t>
            </w:r>
          </w:p>
        </w:tc>
        <w:tc>
          <w:tcPr>
            <w:tcW w:w="0" w:type="dxa"/>
            <w:vAlign w:val="bottom"/>
          </w:tcPr>
          <w:p>
            <w:pPr>
              <w:spacing w:after="0"/>
              <w:rPr>
                <w:sz w:val="1"/>
                <w:szCs w:val="1"/>
                <w:color w:val="auto"/>
              </w:rPr>
            </w:pP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Less than or equal to 0.50x but</w:t>
            </w:r>
          </w:p>
        </w:tc>
        <w:tc>
          <w:tcPr>
            <w:tcW w:w="14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BBB+ / Baa1</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0.110%</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1.000%</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0.000%</w:t>
            </w:r>
          </w:p>
        </w:tc>
        <w:tc>
          <w:tcPr>
            <w:tcW w:w="0" w:type="dxa"/>
            <w:vAlign w:val="bottom"/>
          </w:tcPr>
          <w:p>
            <w:pPr>
              <w:spacing w:after="0"/>
              <w:rPr>
                <w:sz w:val="1"/>
                <w:szCs w:val="1"/>
                <w:color w:val="auto"/>
              </w:rPr>
            </w:pPr>
          </w:p>
        </w:tc>
      </w:tr>
      <w:tr>
        <w:trPr>
          <w:trHeight w:val="122"/>
        </w:trPr>
        <w:tc>
          <w:tcPr>
            <w:tcW w:w="960" w:type="dxa"/>
            <w:vAlign w:val="bottom"/>
            <w:tcBorders>
              <w:left w:val="single" w:sz="8" w:color="auto"/>
              <w:right w:val="single" w:sz="8" w:color="auto"/>
            </w:tcBorders>
            <w:vMerge w:val="continue"/>
          </w:tcPr>
          <w:p>
            <w:pPr>
              <w:spacing w:after="0"/>
              <w:rPr>
                <w:sz w:val="10"/>
                <w:szCs w:val="10"/>
                <w:color w:val="auto"/>
              </w:rPr>
            </w:pPr>
          </w:p>
        </w:tc>
        <w:tc>
          <w:tcPr>
            <w:tcW w:w="2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greater than 0.25x</w:t>
            </w:r>
          </w:p>
        </w:tc>
        <w:tc>
          <w:tcPr>
            <w:tcW w:w="1400" w:type="dxa"/>
            <w:vAlign w:val="bottom"/>
            <w:tcBorders>
              <w:right w:val="single" w:sz="8" w:color="auto"/>
            </w:tcBorders>
            <w:gridSpan w:val="3"/>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left w:val="single" w:sz="8" w:color="auto"/>
              <w:right w:val="single" w:sz="8" w:color="auto"/>
            </w:tcBorders>
          </w:tcPr>
          <w:p>
            <w:pPr>
              <w:spacing w:after="0"/>
              <w:rPr>
                <w:sz w:val="9"/>
                <w:szCs w:val="9"/>
                <w:color w:val="auto"/>
              </w:rPr>
            </w:pPr>
          </w:p>
        </w:tc>
        <w:tc>
          <w:tcPr>
            <w:tcW w:w="274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3</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Less than or equal to 1.50x but</w:t>
            </w:r>
          </w:p>
        </w:tc>
        <w:tc>
          <w:tcPr>
            <w:tcW w:w="220" w:type="dxa"/>
            <w:vAlign w:val="bottom"/>
          </w:tcPr>
          <w:p>
            <w:pPr>
              <w:spacing w:after="0"/>
              <w:rPr>
                <w:sz w:val="19"/>
                <w:szCs w:val="19"/>
                <w:color w:val="auto"/>
              </w:rPr>
            </w:pPr>
          </w:p>
        </w:tc>
        <w:tc>
          <w:tcPr>
            <w:tcW w:w="118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BBB / Baa2</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0.125%</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1.100%</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0.100%</w:t>
            </w:r>
          </w:p>
        </w:tc>
        <w:tc>
          <w:tcPr>
            <w:tcW w:w="0" w:type="dxa"/>
            <w:vAlign w:val="bottom"/>
          </w:tcPr>
          <w:p>
            <w:pPr>
              <w:spacing w:after="0"/>
              <w:rPr>
                <w:sz w:val="1"/>
                <w:szCs w:val="1"/>
                <w:color w:val="auto"/>
              </w:rPr>
            </w:pPr>
          </w:p>
        </w:tc>
      </w:tr>
      <w:tr>
        <w:trPr>
          <w:trHeight w:val="122"/>
        </w:trPr>
        <w:tc>
          <w:tcPr>
            <w:tcW w:w="960" w:type="dxa"/>
            <w:vAlign w:val="bottom"/>
            <w:tcBorders>
              <w:left w:val="single" w:sz="8" w:color="auto"/>
              <w:right w:val="single" w:sz="8" w:color="auto"/>
            </w:tcBorders>
            <w:vMerge w:val="continue"/>
          </w:tcPr>
          <w:p>
            <w:pPr>
              <w:spacing w:after="0"/>
              <w:rPr>
                <w:sz w:val="10"/>
                <w:szCs w:val="10"/>
                <w:color w:val="auto"/>
              </w:rPr>
            </w:pPr>
          </w:p>
        </w:tc>
        <w:tc>
          <w:tcPr>
            <w:tcW w:w="2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greater than 0.50x</w:t>
            </w:r>
          </w:p>
        </w:tc>
        <w:tc>
          <w:tcPr>
            <w:tcW w:w="220" w:type="dxa"/>
            <w:vAlign w:val="bottom"/>
          </w:tcPr>
          <w:p>
            <w:pPr>
              <w:spacing w:after="0"/>
              <w:rPr>
                <w:sz w:val="10"/>
                <w:szCs w:val="10"/>
                <w:color w:val="auto"/>
              </w:rPr>
            </w:pPr>
          </w:p>
        </w:tc>
        <w:tc>
          <w:tcPr>
            <w:tcW w:w="1180" w:type="dxa"/>
            <w:vAlign w:val="bottom"/>
            <w:tcBorders>
              <w:right w:val="single" w:sz="8" w:color="auto"/>
            </w:tcBorders>
            <w:gridSpan w:val="2"/>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left w:val="single" w:sz="8" w:color="auto"/>
              <w:right w:val="single" w:sz="8" w:color="auto"/>
            </w:tcBorders>
          </w:tcPr>
          <w:p>
            <w:pPr>
              <w:spacing w:after="0"/>
              <w:rPr>
                <w:sz w:val="9"/>
                <w:szCs w:val="9"/>
                <w:color w:val="auto"/>
              </w:rPr>
            </w:pPr>
          </w:p>
        </w:tc>
        <w:tc>
          <w:tcPr>
            <w:tcW w:w="274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Less than or equal to 2.00x but</w:t>
            </w:r>
          </w:p>
        </w:tc>
        <w:tc>
          <w:tcPr>
            <w:tcW w:w="14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BBB- / Baa3</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0.175%</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1.300%</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0.300%</w:t>
            </w:r>
          </w:p>
        </w:tc>
        <w:tc>
          <w:tcPr>
            <w:tcW w:w="0" w:type="dxa"/>
            <w:vAlign w:val="bottom"/>
          </w:tcPr>
          <w:p>
            <w:pPr>
              <w:spacing w:after="0"/>
              <w:rPr>
                <w:sz w:val="1"/>
                <w:szCs w:val="1"/>
                <w:color w:val="auto"/>
              </w:rPr>
            </w:pPr>
          </w:p>
        </w:tc>
      </w:tr>
      <w:tr>
        <w:trPr>
          <w:trHeight w:val="122"/>
        </w:trPr>
        <w:tc>
          <w:tcPr>
            <w:tcW w:w="960" w:type="dxa"/>
            <w:vAlign w:val="bottom"/>
            <w:tcBorders>
              <w:left w:val="single" w:sz="8" w:color="auto"/>
              <w:right w:val="single" w:sz="8" w:color="auto"/>
            </w:tcBorders>
            <w:vMerge w:val="continue"/>
          </w:tcPr>
          <w:p>
            <w:pPr>
              <w:spacing w:after="0"/>
              <w:rPr>
                <w:sz w:val="10"/>
                <w:szCs w:val="10"/>
                <w:color w:val="auto"/>
              </w:rPr>
            </w:pPr>
          </w:p>
        </w:tc>
        <w:tc>
          <w:tcPr>
            <w:tcW w:w="2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greater than 1.50x</w:t>
            </w:r>
          </w:p>
        </w:tc>
        <w:tc>
          <w:tcPr>
            <w:tcW w:w="1400" w:type="dxa"/>
            <w:vAlign w:val="bottom"/>
            <w:tcBorders>
              <w:right w:val="single" w:sz="8" w:color="auto"/>
            </w:tcBorders>
            <w:gridSpan w:val="3"/>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left w:val="single" w:sz="8" w:color="auto"/>
              <w:right w:val="single" w:sz="8" w:color="auto"/>
            </w:tcBorders>
          </w:tcPr>
          <w:p>
            <w:pPr>
              <w:spacing w:after="0"/>
              <w:rPr>
                <w:sz w:val="9"/>
                <w:szCs w:val="9"/>
                <w:color w:val="auto"/>
              </w:rPr>
            </w:pPr>
          </w:p>
        </w:tc>
        <w:tc>
          <w:tcPr>
            <w:tcW w:w="274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6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5</w:t>
            </w:r>
          </w:p>
        </w:tc>
        <w:tc>
          <w:tcPr>
            <w:tcW w:w="27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Greater than 2.00x</w:t>
            </w:r>
          </w:p>
        </w:tc>
        <w:tc>
          <w:tcPr>
            <w:tcW w:w="22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170"/>
              <w:spacing w:after="0" w:line="196" w:lineRule="exact"/>
              <w:rPr>
                <w:sz w:val="20"/>
                <w:szCs w:val="20"/>
                <w:color w:val="auto"/>
              </w:rPr>
            </w:pPr>
            <w:r>
              <w:rPr>
                <w:rFonts w:ascii="Arial" w:cs="Arial" w:eastAsia="Arial" w:hAnsi="Arial"/>
                <w:sz w:val="18"/>
                <w:szCs w:val="18"/>
                <w:color w:val="auto"/>
                <w:w w:val="94"/>
              </w:rPr>
              <w:t>&lt; BB+ / Ba1</w:t>
            </w:r>
          </w:p>
        </w:tc>
        <w:tc>
          <w:tcPr>
            <w:tcW w:w="12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0.225%</w:t>
            </w:r>
          </w:p>
        </w:tc>
        <w:tc>
          <w:tcPr>
            <w:tcW w:w="23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1.500%</w:t>
            </w:r>
          </w:p>
        </w:tc>
        <w:tc>
          <w:tcPr>
            <w:tcW w:w="14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0.500%</w:t>
            </w:r>
          </w:p>
        </w:tc>
        <w:tc>
          <w:tcPr>
            <w:tcW w:w="0" w:type="dxa"/>
            <w:vAlign w:val="bottom"/>
          </w:tcPr>
          <w:p>
            <w:pPr>
              <w:spacing w:after="0"/>
              <w:rPr>
                <w:sz w:val="1"/>
                <w:szCs w:val="1"/>
                <w:color w:val="auto"/>
              </w:rPr>
            </w:pPr>
          </w:p>
        </w:tc>
      </w:tr>
      <w:tr>
        <w:trPr>
          <w:trHeight w:val="55"/>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left="660" w:firstLine="60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 Rating</w:t>
      </w:r>
      <w:r>
        <w:rPr>
          <w:rFonts w:ascii="Arial" w:cs="Arial" w:eastAsia="Arial" w:hAnsi="Arial"/>
          <w:sz w:val="21"/>
          <w:szCs w:val="21"/>
          <w:color w:val="auto"/>
        </w:rPr>
        <w:t>” means, as of any date of determination, the rating as determined by either S&amp;P or Moody’s (collectively, the “</w:t>
      </w:r>
      <w:r>
        <w:rPr>
          <w:rFonts w:ascii="Arial" w:cs="Arial" w:eastAsia="Arial" w:hAnsi="Arial"/>
          <w:sz w:val="21"/>
          <w:szCs w:val="21"/>
          <w:u w:val="single" w:color="auto"/>
          <w:color w:val="auto"/>
        </w:rPr>
        <w:t>Debt Ratings</w:t>
      </w:r>
      <w:r>
        <w:rPr>
          <w:rFonts w:ascii="Arial" w:cs="Arial" w:eastAsia="Arial" w:hAnsi="Arial"/>
          <w:sz w:val="21"/>
          <w:szCs w:val="21"/>
          <w:color w:val="auto"/>
        </w:rPr>
        <w:t xml:space="preserve">”) of Toro’s non-credit-enhanced, senior unsecured long-term debt;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Debt Rating is issued by each of the foregoing rating agencies and such Debt Ratings differ, then the higher of such Debt Ratings shall apply (with the Debt Rating for Pricing Level 1 being the highest and the Debt Rating for Pricing Level 5 being the lowest), unless there is a split in Debt Ratings of more than one level, in which case the Pricing Level that is one level higher than the Pricing Level of the lower Debt Rating shall apply.</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Initially, the Applicable Rate will be determined based upon the Debt Rating as specified in the certificate delivered pursuant to </w:t>
      </w:r>
      <w:r>
        <w:rPr>
          <w:rFonts w:ascii="Arial" w:cs="Arial" w:eastAsia="Arial" w:hAnsi="Arial"/>
          <w:sz w:val="19"/>
          <w:szCs w:val="19"/>
          <w:u w:val="single" w:color="auto"/>
          <w:color w:val="auto"/>
        </w:rPr>
        <w:t>Section 4.01(a)(viii)</w:t>
      </w:r>
      <w:r>
        <w:rPr>
          <w:rFonts w:ascii="Arial" w:cs="Arial" w:eastAsia="Arial" w:hAnsi="Arial"/>
          <w:sz w:val="19"/>
          <w:szCs w:val="19"/>
          <w:color w:val="auto"/>
        </w:rPr>
        <w:t xml:space="preserve">. If, as of any date of determination, the Leverage Ratio for such period corresponds to a Pricing Level different than that Pricing Level corresponding to the Debt Rating issued at the time of calculation of such ratio, then the lower of such two Pricing Levels (with Pricing Level 1 being the lowest and the Pricing Level 5 being the highest) will apply, unless there is a split of more than one level in corresponding Pricing Levels, in which case the Pricing Level that is one level higher than the lower Pricing Level will apply. Thereafter, each change in the Applicable Rate resulting from a publicly announced change in the Debt Rating will be effective during the period commencing on the date of the public announcement thereof and ending on the date immediately preceding the effective date of the next such change, and any change in the Applicable Rate resulting from a change in the Leverage Ratio for such period will become effective as of the first Business Day after the date on which such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Compliance Certificate is not delivered when due in accordance with such Section, then Pricing Level 5 will be the applicable Pricing Level corresponding to such ratio for determination as set forth above of the Applicable Rate as of the first Business Day after the date on which such Compliance Certificate was required to have been delivered. In the event that a Debt Rating has not been issued as of any date of determination, the Pricing Level corresponding to the Leverage Ratio for such period as of such date of determination shall apply. In the event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916"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that only one Debt Rating has been issued as of any date of determination, that Debt Rating shall apply.</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Time</w:t>
      </w:r>
      <w:r>
        <w:rPr>
          <w:rFonts w:ascii="Arial" w:cs="Arial" w:eastAsia="Arial" w:hAnsi="Arial"/>
          <w:sz w:val="22"/>
          <w:szCs w:val="22"/>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Applicant Borrower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Fund that is administered or managed by (a) a Lender, (b) an Affiliate of a Lender or (c) an entity or an Affiliate of an entity that administers or manages a Lender.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means MLPFS and WFS, in their capacities as joint lead arrangers and joint bookrunners.</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 Group</w:t>
      </w:r>
      <w:r>
        <w:rPr>
          <w:rFonts w:ascii="Arial" w:cs="Arial" w:eastAsia="Arial" w:hAnsi="Arial"/>
          <w:sz w:val="22"/>
          <w:szCs w:val="22"/>
          <w:color w:val="auto"/>
        </w:rPr>
        <w:t>” means two or more Eligible Assignees that are Affiliates of one another or two or more Approved Funds managed by the same investment advisor.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Eligible Assignee (with the consent of any party whose consent is required by </w:t>
      </w:r>
      <w:r>
        <w:rPr>
          <w:rFonts w:ascii="Arial" w:cs="Arial" w:eastAsia="Arial" w:hAnsi="Arial"/>
          <w:sz w:val="22"/>
          <w:szCs w:val="22"/>
          <w:u w:val="single" w:color="auto"/>
          <w:color w:val="auto"/>
        </w:rPr>
        <w:t>Section 11.06(b)</w:t>
      </w:r>
      <w:r>
        <w:rPr>
          <w:rFonts w:ascii="Arial" w:cs="Arial" w:eastAsia="Arial" w:hAnsi="Arial"/>
          <w:sz w:val="22"/>
          <w:szCs w:val="22"/>
          <w:color w:val="auto"/>
        </w:rPr>
        <w:t xml:space="preserve">), and accepted by the Administrative Agent, in substantially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or any other form (including electronic documentation generated by use of an electronic platform) approved by the Administrative Agent.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Attorney Costs</w:t>
      </w:r>
      <w:r>
        <w:rPr>
          <w:rFonts w:ascii="Arial" w:cs="Arial" w:eastAsia="Arial" w:hAnsi="Arial"/>
          <w:sz w:val="19"/>
          <w:szCs w:val="19"/>
          <w:color w:val="auto"/>
        </w:rPr>
        <w:t>” means and includes all reasonable fees and disbursements of any law firm or other external counsel.</w:t>
      </w:r>
    </w:p>
    <w:p>
      <w:pPr>
        <w:spacing w:after="0" w:line="25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Indebtedness</w:t>
      </w:r>
      <w:r>
        <w:rPr>
          <w:rFonts w:ascii="Arial" w:cs="Arial" w:eastAsia="Arial" w:hAnsi="Arial"/>
          <w:sz w:val="22"/>
          <w:szCs w:val="22"/>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Audited Financial Statements</w:t>
      </w:r>
      <w:r>
        <w:rPr>
          <w:rFonts w:ascii="Arial" w:cs="Arial" w:eastAsia="Arial" w:hAnsi="Arial"/>
          <w:sz w:val="22"/>
          <w:szCs w:val="22"/>
          <w:color w:val="auto"/>
        </w:rPr>
        <w:t>” means the audited consolidated balance sheet of Toro and its Subsidiaries for the fiscal year ended October 31, 2017, and the related consolidated statements of income or operations, shareholders’ equity and cash flows for such fiscal year of Toro and its Subsidiaries, including the notes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Australian Dollar</w:t>
      </w:r>
      <w:r>
        <w:rPr>
          <w:rFonts w:ascii="Arial" w:cs="Arial" w:eastAsia="Arial" w:hAnsi="Arial"/>
          <w:sz w:val="22"/>
          <w:szCs w:val="22"/>
          <w:color w:val="auto"/>
        </w:rPr>
        <w:t>” or “</w:t>
      </w:r>
      <w:r>
        <w:rPr>
          <w:rFonts w:ascii="Arial" w:cs="Arial" w:eastAsia="Arial" w:hAnsi="Arial"/>
          <w:sz w:val="22"/>
          <w:szCs w:val="22"/>
          <w:u w:val="single" w:color="auto"/>
          <w:color w:val="auto"/>
        </w:rPr>
        <w:t>Aus $</w:t>
      </w:r>
      <w:r>
        <w:rPr>
          <w:rFonts w:ascii="Arial" w:cs="Arial" w:eastAsia="Arial" w:hAnsi="Arial"/>
          <w:sz w:val="22"/>
          <w:szCs w:val="22"/>
          <w:color w:val="auto"/>
        </w:rPr>
        <w:t>” means the lawful currency of Australia.</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xml:space="preserve">” means the period from and including the Closing Date to the earliest of (a) the Maturity Date, (b) the date of termination of the Aggregate Commitments pursuant to </w:t>
      </w:r>
      <w:r>
        <w:rPr>
          <w:rFonts w:ascii="Arial" w:cs="Arial" w:eastAsia="Arial" w:hAnsi="Arial"/>
          <w:sz w:val="22"/>
          <w:szCs w:val="22"/>
          <w:u w:val="single" w:color="auto"/>
          <w:color w:val="auto"/>
        </w:rPr>
        <w:t>Section 2.06</w:t>
      </w:r>
      <w:r>
        <w:rPr>
          <w:rFonts w:ascii="Arial" w:cs="Arial" w:eastAsia="Arial" w:hAnsi="Arial"/>
          <w:sz w:val="22"/>
          <w:szCs w:val="22"/>
          <w:color w:val="auto"/>
        </w:rPr>
        <w:t>, and (c) the date of termination of the commitment of each Lender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 xml:space="preserve">make Loans and of the obligation of the L/C Issuer to make L/C Credit Extensions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26" w:lineRule="exact"/>
        <w:rPr>
          <w:sz w:val="20"/>
          <w:szCs w:val="20"/>
          <w:color w:val="auto"/>
        </w:rPr>
      </w:pPr>
    </w:p>
    <w:p>
      <w:pPr>
        <w:jc w:val="both"/>
        <w:ind w:firstLine="648"/>
        <w:spacing w:after="0" w:line="3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of America</w:t>
      </w:r>
      <w:r>
        <w:rPr>
          <w:rFonts w:ascii="Arial" w:cs="Arial" w:eastAsia="Arial" w:hAnsi="Arial"/>
          <w:sz w:val="19"/>
          <w:szCs w:val="19"/>
          <w:color w:val="auto"/>
        </w:rPr>
        <w:t>” means Bank of America, N.A. and its successors. Bank of America Merrill Lynch International Limited is a designated Affiliate of Bank of America, N.A. for the purpose of lending to Toro Luxembourg. Any reference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any Loan Document, a transfer of rights and obligations from Bank of America Merrill Lynch International Limited to Bank of America Merrill Lynch International Designated Activity Company pursuant to such merger shall be permitted.</w:t>
      </w:r>
    </w:p>
    <w:p>
      <w:pPr>
        <w:spacing w:after="0" w:line="11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per annum equal to the highest of (a) the Federal Funds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(b) the rate of interest in effect for such day as publicly announced from time to time by Bank of America as its “prime rate,” and (c) the Eurocurrency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Committed Loan</w:t>
      </w:r>
      <w:r>
        <w:rPr>
          <w:rFonts w:ascii="Arial" w:cs="Arial" w:eastAsia="Arial" w:hAnsi="Arial"/>
          <w:sz w:val="22"/>
          <w:szCs w:val="22"/>
          <w:color w:val="auto"/>
        </w:rPr>
        <w:t>” means a Committed Loan that is a Base Rate Loan.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w:t>
      </w:r>
      <w:r>
        <w:rPr>
          <w:rFonts w:ascii="Arial" w:cs="Arial" w:eastAsia="Arial" w:hAnsi="Arial"/>
          <w:sz w:val="22"/>
          <w:szCs w:val="22"/>
          <w:color w:val="auto"/>
        </w:rPr>
        <w:t>” means a Loan that bears interest based on the Base Rate. All Base Rate Loans shall be denominated in Dollars.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required by the Beneficial Ownership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or (c) any Person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22"/>
          <w:szCs w:val="22"/>
          <w:color w:val="auto"/>
        </w:rPr>
        <w:t>whose assets include (for purposes of ERISA Section 3(42) or otherwise for purposes of Title I of ERISA or Section 4975 of the Code) the assets of any such “employee benefit plan” or “plan”.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BofA Fee Letter</w:t>
      </w:r>
      <w:r>
        <w:rPr>
          <w:rFonts w:ascii="Arial" w:cs="Arial" w:eastAsia="Arial" w:hAnsi="Arial"/>
          <w:sz w:val="22"/>
          <w:szCs w:val="22"/>
          <w:color w:val="auto"/>
        </w:rPr>
        <w:t>” means that certain letter agreement, dated May 22, 2018 among Toro, Toro Luxembourg, the Administrative Agent and MLPFS.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and “</w:t>
      </w:r>
      <w:r>
        <w:rPr>
          <w:rFonts w:ascii="Arial" w:cs="Arial" w:eastAsia="Arial" w:hAnsi="Arial"/>
          <w:sz w:val="22"/>
          <w:szCs w:val="22"/>
          <w:u w:val="single" w:color="auto"/>
          <w:color w:val="auto"/>
        </w:rPr>
        <w:t>Borrowers</w:t>
      </w:r>
      <w:r>
        <w:rPr>
          <w:rFonts w:ascii="Arial" w:cs="Arial" w:eastAsia="Arial" w:hAnsi="Arial"/>
          <w:sz w:val="22"/>
          <w:szCs w:val="22"/>
          <w:color w:val="auto"/>
        </w:rPr>
        <w:t>” each has the meaning specified in the introductory paragraph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Committed Borrowing or a Swing Line Borrowing, as the context may require.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86" w:lineRule="exact"/>
        <w:rPr>
          <w:sz w:val="20"/>
          <w:szCs w:val="20"/>
          <w:color w:val="auto"/>
        </w:rPr>
      </w:pPr>
    </w:p>
    <w:p>
      <w:pPr>
        <w:jc w:val="both"/>
        <w:ind w:left="660" w:firstLine="645"/>
        <w:spacing w:after="0" w:line="250" w:lineRule="auto"/>
        <w:tabs>
          <w:tab w:leader="none" w:pos="1843" w:val="left"/>
        </w:tabs>
        <w:numPr>
          <w:ilvl w:val="0"/>
          <w:numId w:val="9"/>
        </w:numPr>
        <w:rPr>
          <w:rFonts w:ascii="Arial" w:cs="Arial" w:eastAsia="Arial" w:hAnsi="Arial"/>
          <w:sz w:val="22"/>
          <w:szCs w:val="22"/>
          <w:color w:val="auto"/>
        </w:rPr>
      </w:pPr>
      <w:r>
        <w:rPr>
          <w:rFonts w:ascii="Arial" w:cs="Arial" w:eastAsia="Arial" w:hAnsi="Arial"/>
          <w:sz w:val="22"/>
          <w:szCs w:val="22"/>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London Banking Day;</w:t>
      </w:r>
    </w:p>
    <w:p>
      <w:pPr>
        <w:spacing w:after="0" w:line="188" w:lineRule="exact"/>
        <w:rPr>
          <w:rFonts w:ascii="Arial" w:cs="Arial" w:eastAsia="Arial" w:hAnsi="Arial"/>
          <w:sz w:val="22"/>
          <w:szCs w:val="22"/>
          <w:color w:val="auto"/>
        </w:rPr>
      </w:pPr>
    </w:p>
    <w:p>
      <w:pPr>
        <w:jc w:val="both"/>
        <w:ind w:left="660" w:firstLine="645"/>
        <w:spacing w:after="0" w:line="250" w:lineRule="auto"/>
        <w:tabs>
          <w:tab w:leader="none" w:pos="1892" w:val="left"/>
        </w:tabs>
        <w:numPr>
          <w:ilvl w:val="0"/>
          <w:numId w:val="9"/>
        </w:numPr>
        <w:rPr>
          <w:rFonts w:ascii="Arial" w:cs="Arial" w:eastAsia="Arial" w:hAnsi="Arial"/>
          <w:sz w:val="22"/>
          <w:szCs w:val="22"/>
          <w:color w:val="auto"/>
        </w:rPr>
      </w:pPr>
      <w:r>
        <w:rPr>
          <w:rFonts w:ascii="Arial" w:cs="Arial" w:eastAsia="Arial" w:hAnsi="Arial"/>
          <w:sz w:val="22"/>
          <w:szCs w:val="22"/>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188" w:lineRule="exact"/>
        <w:rPr>
          <w:rFonts w:ascii="Arial" w:cs="Arial" w:eastAsia="Arial" w:hAnsi="Arial"/>
          <w:sz w:val="22"/>
          <w:szCs w:val="22"/>
          <w:color w:val="auto"/>
        </w:rPr>
      </w:pPr>
    </w:p>
    <w:p>
      <w:pPr>
        <w:jc w:val="both"/>
        <w:ind w:left="660" w:firstLine="645"/>
        <w:spacing w:after="0" w:line="312" w:lineRule="auto"/>
        <w:tabs>
          <w:tab w:leader="none" w:pos="1778" w:val="left"/>
        </w:tabs>
        <w:numPr>
          <w:ilvl w:val="0"/>
          <w:numId w:val="9"/>
        </w:numPr>
        <w:rPr>
          <w:rFonts w:ascii="Arial" w:cs="Arial" w:eastAsia="Arial" w:hAnsi="Arial"/>
          <w:sz w:val="19"/>
          <w:szCs w:val="19"/>
          <w:color w:val="auto"/>
        </w:rPr>
      </w:pPr>
      <w:r>
        <w:rPr>
          <w:rFonts w:ascii="Arial" w:cs="Arial" w:eastAsia="Arial" w:hAnsi="Arial"/>
          <w:sz w:val="19"/>
          <w:szCs w:val="19"/>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33" w:lineRule="exact"/>
        <w:rPr>
          <w:rFonts w:ascii="Arial" w:cs="Arial" w:eastAsia="Arial" w:hAnsi="Arial"/>
          <w:sz w:val="19"/>
          <w:szCs w:val="19"/>
          <w:color w:val="auto"/>
        </w:rPr>
      </w:pPr>
    </w:p>
    <w:p>
      <w:pPr>
        <w:jc w:val="both"/>
        <w:ind w:left="660" w:firstLine="645"/>
        <w:spacing w:after="0" w:line="263" w:lineRule="auto"/>
        <w:tabs>
          <w:tab w:leader="none" w:pos="1817" w:val="left"/>
        </w:tabs>
        <w:numPr>
          <w:ilvl w:val="0"/>
          <w:numId w:val="9"/>
        </w:numPr>
        <w:rPr>
          <w:rFonts w:ascii="Arial" w:cs="Arial" w:eastAsia="Arial" w:hAnsi="Arial"/>
          <w:sz w:val="21"/>
          <w:szCs w:val="21"/>
          <w:color w:val="auto"/>
        </w:rPr>
      </w:pPr>
      <w:r>
        <w:rPr>
          <w:rFonts w:ascii="Arial" w:cs="Arial" w:eastAsia="Arial" w:hAnsi="Arial"/>
          <w:sz w:val="21"/>
          <w:szCs w:val="21"/>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w:t>
      </w:r>
      <w:r>
        <w:rPr>
          <w:rFonts w:ascii="Arial" w:cs="Arial" w:eastAsia="Arial" w:hAnsi="Arial"/>
          <w:sz w:val="22"/>
          <w:szCs w:val="22"/>
          <w:color w:val="auto"/>
        </w:rPr>
        <w:t>” or “</w:t>
      </w:r>
      <w:r>
        <w:rPr>
          <w:rFonts w:ascii="Arial" w:cs="Arial" w:eastAsia="Arial" w:hAnsi="Arial"/>
          <w:sz w:val="22"/>
          <w:szCs w:val="22"/>
          <w:u w:val="single" w:color="auto"/>
          <w:color w:val="auto"/>
        </w:rPr>
        <w:t>Can $</w:t>
      </w:r>
      <w:r>
        <w:rPr>
          <w:rFonts w:ascii="Arial" w:cs="Arial" w:eastAsia="Arial" w:hAnsi="Arial"/>
          <w:sz w:val="22"/>
          <w:szCs w:val="22"/>
          <w:color w:val="auto"/>
        </w:rPr>
        <w:t>” means the lawful currency of Canada.</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Collateralize</w:t>
      </w:r>
      <w:r>
        <w:rPr>
          <w:rFonts w:ascii="Arial" w:cs="Arial" w:eastAsia="Arial" w:hAnsi="Arial"/>
          <w:sz w:val="22"/>
          <w:szCs w:val="22"/>
          <w:color w:val="auto"/>
        </w:rPr>
        <w:t>” means to deposit or to pledge and deposit with or deliver to the Administrative Agent, for the benefit of one or more of the L/C Issuer or the Lenders, as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8" w:name="page19"/>
    <w:bookmarkEnd w:id="18"/>
    <w:p>
      <w:pPr>
        <w:jc w:val="both"/>
        <w:spacing w:after="0" w:line="248" w:lineRule="auto"/>
        <w:rPr>
          <w:sz w:val="20"/>
          <w:szCs w:val="20"/>
          <w:color w:val="auto"/>
        </w:rPr>
      </w:pPr>
      <w:r>
        <w:rPr>
          <w:rFonts w:ascii="Arial" w:cs="Arial" w:eastAsia="Arial" w:hAnsi="Arial"/>
          <w:sz w:val="22"/>
          <w:szCs w:val="22"/>
          <w:color w:val="auto"/>
        </w:rPr>
        <w:t>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8"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an event or series of events by which (i) any Person or group within the meaning of Section 13(d)(3) of the Exchange Act and the rules and regulations promulgated thereunder, shall, after the Closing Date, acquire beneficial ownership (within the meaning of Rule 13d</w:t>
      </w:r>
      <w:r>
        <w:rPr>
          <w:rFonts w:ascii="MS PGothic" w:cs="MS PGothic" w:eastAsia="MS PGothic" w:hAnsi="MS PGothic"/>
          <w:sz w:val="19"/>
          <w:szCs w:val="19"/>
          <w:color w:val="auto"/>
        </w:rPr>
        <w:t>‑</w:t>
      </w:r>
      <w:r>
        <w:rPr>
          <w:rFonts w:ascii="Arial" w:cs="Arial" w:eastAsia="Arial" w:hAnsi="Arial"/>
          <w:sz w:val="19"/>
          <w:szCs w:val="19"/>
          <w:color w:val="auto"/>
        </w:rPr>
        <w:t>3 of the Exchange Act), directly or indirectly, of securities of Toro (or other securities convertible into such securities) representing thirty percent (30%) of the combined voting power of all securities of Toro entitled to vote in the election of directors, other than securities having such power only by reason of the happening of a contingency (hereinafter called a “</w:t>
      </w:r>
      <w:r>
        <w:rPr>
          <w:rFonts w:ascii="Arial" w:cs="Arial" w:eastAsia="Arial" w:hAnsi="Arial"/>
          <w:sz w:val="19"/>
          <w:szCs w:val="19"/>
          <w:u w:val="single" w:color="auto"/>
          <w:color w:val="auto"/>
        </w:rPr>
        <w:t>Controlling Person</w:t>
      </w:r>
      <w:r>
        <w:rPr>
          <w:rFonts w:ascii="Arial" w:cs="Arial" w:eastAsia="Arial" w:hAnsi="Arial"/>
          <w:sz w:val="19"/>
          <w:szCs w:val="19"/>
          <w:color w:val="auto"/>
        </w:rPr>
        <w:t xml:space="preserve">”); or (ii) Toro shall cease to own, directly or indirectly, 100% of all of each other Borrower’s issued and outstanding shares of common stock (except for any outstanding qualifying director shares); or (iii) a majority of the Board of Directors of Toro shall cease for any reason to consist of (A) individuals who on the Closing Date were serving as directors of Toro and (B) individuals who subsequently become members of the Board if such individuals’ nomination for election or election to the Board is recommended or approved by a majority of the Board of Directors of Toro; or (iv) a default or the happening of any event shall occur under any charter, indenture, agreement or other instrument in connection with which any preferred stock of Toro may be issued, and as a result of such default or event the holders of such preferred stock shall designate or elect members of the Board of Directors of Toro. For purposes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 Person or group shall not be a Controlling Person if such Person or group holds voting power in good faith and not for the purpose of circumventing </w:t>
      </w:r>
      <w:r>
        <w:rPr>
          <w:rFonts w:ascii="Arial" w:cs="Arial" w:eastAsia="Arial" w:hAnsi="Arial"/>
          <w:sz w:val="19"/>
          <w:szCs w:val="19"/>
          <w:u w:val="single" w:color="auto"/>
          <w:color w:val="auto"/>
        </w:rPr>
        <w:t>Section 8.01(l)</w:t>
      </w:r>
      <w:r>
        <w:rPr>
          <w:rFonts w:ascii="Arial" w:cs="Arial" w:eastAsia="Arial" w:hAnsi="Arial"/>
          <w:sz w:val="19"/>
          <w:szCs w:val="19"/>
          <w:color w:val="auto"/>
        </w:rPr>
        <w:t xml:space="preserve">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w:t>
      </w:r>
      <w:r>
        <w:rPr>
          <w:rFonts w:ascii="Arial" w:cs="Arial" w:eastAsia="Arial" w:hAnsi="Arial"/>
          <w:sz w:val="19"/>
          <w:szCs w:val="19"/>
          <w:u w:val="single" w:color="auto"/>
          <w:color w:val="auto"/>
        </w:rPr>
        <w:t>clause (i)</w:t>
      </w:r>
      <w:r>
        <w:rPr>
          <w:rFonts w:ascii="Arial" w:cs="Arial" w:eastAsia="Arial" w:hAnsi="Arial"/>
          <w:sz w:val="19"/>
          <w:szCs w:val="19"/>
          <w:color w:val="auto"/>
        </w:rPr>
        <w:t>.</w:t>
      </w: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means the first date all the conditions precedent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means, as to each Lender, its obligation to (a) make Committed Loans to the Borrowers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2.01</w:t>
      </w:r>
      <w:r>
        <w:rPr>
          <w:rFonts w:ascii="Arial" w:cs="Arial" w:eastAsia="Arial" w:hAnsi="Arial"/>
          <w:sz w:val="22"/>
          <w:szCs w:val="22"/>
          <w:color w:val="auto"/>
        </w:rPr>
        <w:t xml:space="preserve"> or in the Assignment and Assumption pursuant to which such Lender becomes a party hereto, as applicable, as such amount may be adjusted from time to time in accordance with this Agreement. The Aggregate Commitments of the Lenders on the Closing Date are $600,000,000.</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Committed Borrowing</w:t>
      </w:r>
      <w:r>
        <w:rPr>
          <w:rFonts w:ascii="Arial" w:cs="Arial" w:eastAsia="Arial" w:hAnsi="Arial"/>
          <w:sz w:val="22"/>
          <w:szCs w:val="22"/>
          <w:color w:val="auto"/>
        </w:rPr>
        <w:t xml:space="preserve">” means a borrowing consisting of simultaneous Committed Loans of the same Type, in the same currency and, in the case of Eurocurrency Rate Loans, having the same Interest Period made by each of the Lenders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Committed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EBIT</w:t>
      </w:r>
      <w:r>
        <w:rPr>
          <w:rFonts w:ascii="Arial" w:cs="Arial" w:eastAsia="Arial" w:hAnsi="Arial"/>
          <w:sz w:val="21"/>
          <w:szCs w:val="21"/>
          <w:color w:val="auto"/>
        </w:rPr>
        <w:t xml:space="preserve">” means, for any period, for Toro and its Subsidiaries on a consolidated basis, an amount equal to Consolidated Net Income for such period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following to the extent deducted in calculating such Consolidated Net Income: (i) Consolidated Interest Charges for such period, (ii) the provision for Federal, state, local and foreign income taxes payable by Toro and its Subsidiaries for such period, and (iii) one-time, non-recurring cash fees and expenses, not to exceed $15,000,000 in the aggregate, (x) related to restructurings, or (y) related to cost savings, restructuring, severance, integration, or consolidation related to an Acquisition, and to include without limitation advisory, legal, financing, and consulting fees related to an Acquisition, incurred in anticipation of, in connection with or as a result of such Acquistion.</w:t>
      </w:r>
    </w:p>
    <w:p>
      <w:pPr>
        <w:spacing w:after="0" w:line="18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Charges</w:t>
      </w:r>
      <w:r>
        <w:rPr>
          <w:rFonts w:ascii="Arial" w:cs="Arial" w:eastAsia="Arial" w:hAnsi="Arial"/>
          <w:sz w:val="19"/>
          <w:szCs w:val="19"/>
          <w:color w:val="auto"/>
        </w:rPr>
        <w:t>” means, for any period, for Toro and its Subsidiaries on a consolidated basis, the sum of (a) all interest, discounts, premium payments, commissions, fees (other than fees incurred hereunder or in connection herewith), charges and related expenses of Toro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Toro and its Subsidiaries with respect to such period under capital leases that is treated as interest in accordance with GAAP.</w:t>
      </w:r>
    </w:p>
    <w:p>
      <w:pPr>
        <w:spacing w:after="0" w:line="15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Coverage Ratio</w:t>
      </w:r>
      <w:r>
        <w:rPr>
          <w:rFonts w:ascii="Arial" w:cs="Arial" w:eastAsia="Arial" w:hAnsi="Arial"/>
          <w:sz w:val="21"/>
          <w:szCs w:val="21"/>
          <w:color w:val="auto"/>
        </w:rPr>
        <w:t>” means, as of any date of determination, the ratio of (a) Consolidated EBIT for the period of the four prior fiscal quarters ending on such date to (b) Consolidated Interest Charges for such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means, for any period, for Toro and its Subsidiaries on a consolidated basis, the net income of Toro and its Subsidiaries for that period.</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means, as to any Person, any direct or indirect liability of that Person, whether or not contingent, with or without recourse, (a)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Arial" w:cs="Arial" w:eastAsia="Arial" w:hAnsi="Arial"/>
          <w:sz w:val="19"/>
          <w:szCs w:val="19"/>
          <w:u w:val="single" w:color="auto"/>
          <w:color w:val="auto"/>
        </w:rPr>
        <w:t>Guaranty Obligation</w:t>
      </w:r>
      <w:r>
        <w:rPr>
          <w:rFonts w:ascii="Arial" w:cs="Arial" w:eastAsia="Arial" w:hAnsi="Arial"/>
          <w:sz w:val="19"/>
          <w:szCs w:val="19"/>
          <w:color w:val="auto"/>
        </w:rPr>
        <w:t>”); (b) with respect to any Surety Instrument issued for the account of that Person or as to which that Person is otherwise liable for reimbursement of 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 which is not a Permitted Swap Obligation. The amount of any Contingent Obligation shall, in the case of Guaranty Obligations, be deemed equal to the stated or determinable amount of the primary obligation in respect of which such Guaranty 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Contractual Obligation</w:t>
      </w:r>
      <w:r>
        <w:rPr>
          <w:rFonts w:ascii="Arial" w:cs="Arial" w:eastAsia="Arial" w:hAnsi="Arial"/>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Person</w:t>
      </w:r>
      <w:r>
        <w:rPr>
          <w:rFonts w:ascii="Arial" w:cs="Arial" w:eastAsia="Arial" w:hAnsi="Arial"/>
          <w:sz w:val="22"/>
          <w:szCs w:val="22"/>
          <w:color w:val="auto"/>
        </w:rPr>
        <w:t>” has the meaning set forth in the definition of Change of Control.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Extension</w:t>
      </w:r>
      <w:r>
        <w:rPr>
          <w:rFonts w:ascii="Arial" w:cs="Arial" w:eastAsia="Arial" w:hAnsi="Arial"/>
          <w:sz w:val="22"/>
          <w:szCs w:val="22"/>
          <w:color w:val="auto"/>
        </w:rPr>
        <w:t>” means each of the following: (a) a Borrowing and (b) an L/C Credit Extension.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Rating</w:t>
      </w:r>
      <w:r>
        <w:rPr>
          <w:rFonts w:ascii="Arial" w:cs="Arial" w:eastAsia="Arial" w:hAnsi="Arial"/>
          <w:sz w:val="22"/>
          <w:szCs w:val="22"/>
          <w:color w:val="auto"/>
        </w:rPr>
        <w:t>” has the meaning specified in the definition of “Applicable Rate.”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21" w:name="page22"/>
    <w:bookmarkEnd w:id="21"/>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 Relief Laws</w:t>
      </w:r>
      <w:r>
        <w:rPr>
          <w:rFonts w:ascii="Arial" w:cs="Arial" w:eastAsia="Arial" w:hAnsi="Arial"/>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that constitutes an Event of Default or that, with the giving of any notice, the passage of time, or both, would be an Event of Default.</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means (a) when used with respect to Obligations other than Letter of Credit Fees, an interest rate equal to (i)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applicable to Base Rate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2%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 Eurocurrency Rate Loan, the Default Rate shall be an interest rate equal to the interest rate (including any Applicable Rate applicable to Eurocurrency Rate Loans) otherwise applicable to such Loan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per annum, and (b) when used with respect to Letter of Credit Fees, a rate equal to the Applicable Rate applicable to Letters of Credit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per annum.</w:t>
      </w:r>
    </w:p>
    <w:p>
      <w:pPr>
        <w:spacing w:after="0" w:line="14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2.16(b)</w:t>
      </w:r>
      <w:r>
        <w:rPr>
          <w:rFonts w:ascii="Arial" w:cs="Arial" w:eastAsia="Arial" w:hAnsi="Arial"/>
          <w:sz w:val="19"/>
          <w:szCs w:val="19"/>
          <w:color w:val="auto"/>
        </w:rPr>
        <w:t>, any Lender that (a) has failed to (i) fund all or any portion of its Loans within two (2) Business Days of the date such Loans were required to be funded hereunder unless such Lender notifies the Administrative Agent and Toro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the case of any Lender, in respect of its participation in Letters of Credit or Swing Line Loans) within two (2) Business Days of the date when due, (b) has notified Toro,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Toro, to confirm in writing to the Administrative Agent and Toro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the Administrative Agent and Toro),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21"/>
          <w:szCs w:val="21"/>
          <w:color w:val="auto"/>
        </w:rPr>
        <w:t xml:space="preserve">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(d)</w:t>
      </w:r>
      <w:r>
        <w:rPr>
          <w:rFonts w:ascii="Arial" w:cs="Arial" w:eastAsia="Arial" w:hAnsi="Arial"/>
          <w:sz w:val="21"/>
          <w:szCs w:val="21"/>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21"/>
          <w:szCs w:val="21"/>
          <w:u w:val="single" w:color="auto"/>
          <w:color w:val="auto"/>
        </w:rPr>
        <w:t>Section 2.16(b)</w:t>
      </w:r>
      <w:r>
        <w:rPr>
          <w:rFonts w:ascii="Arial" w:cs="Arial" w:eastAsia="Arial" w:hAnsi="Arial"/>
          <w:sz w:val="21"/>
          <w:szCs w:val="21"/>
          <w:color w:val="auto"/>
        </w:rPr>
        <w:t>) as of the date established therefor by the Administrative Agent in a written notice of such determination, which shall be delivered by the Administrative Agent to Toro, the L/C Issuer, the Swing Line Lender and each other Lender promptly following such determination.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Borrower</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Borrower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Borrower Request and Assumption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Jurisdiction</w:t>
      </w:r>
      <w:r>
        <w:rPr>
          <w:rFonts w:ascii="Arial" w:cs="Arial" w:eastAsia="Arial" w:hAnsi="Arial"/>
          <w:sz w:val="22"/>
          <w:szCs w:val="22"/>
          <w:color w:val="auto"/>
        </w:rPr>
        <w:t>” means any country or territory to the extent that such country or territory itself is the subject of any Sanction.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or “</w:t>
      </w:r>
      <w:r>
        <w:rPr>
          <w:rFonts w:ascii="Arial" w:cs="Arial" w:eastAsia="Arial" w:hAnsi="Arial"/>
          <w:sz w:val="22"/>
          <w:szCs w:val="22"/>
          <w:u w:val="single" w:color="auto"/>
          <w:color w:val="auto"/>
        </w:rPr>
        <w:t>Dispose</w:t>
      </w:r>
      <w:r>
        <w:rPr>
          <w:rFonts w:ascii="Arial" w:cs="Arial" w:eastAsia="Arial" w:hAnsi="Arial"/>
          <w:sz w:val="22"/>
          <w:szCs w:val="22"/>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lawful money of the United States.</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 Equivalent</w:t>
      </w:r>
      <w:r>
        <w:rPr>
          <w:rFonts w:ascii="Arial" w:cs="Arial" w:eastAsia="Arial" w:hAnsi="Arial"/>
          <w:sz w:val="21"/>
          <w:szCs w:val="21"/>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that is organized under the laws of any political subdivision of the United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definition, or (c) any financial institution established in an EEA Member Country which is a subsidiary of an institution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definition and is subject to consolidated supervision with its parent.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23" w:name="page24"/>
    <w:bookmarkEnd w:id="23"/>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Assignee</w:t>
      </w:r>
      <w:r>
        <w:rPr>
          <w:rFonts w:ascii="Arial" w:cs="Arial" w:eastAsia="Arial" w:hAnsi="Arial"/>
          <w:sz w:val="22"/>
          <w:szCs w:val="22"/>
          <w:color w:val="auto"/>
        </w:rPr>
        <w:t xml:space="preserve">” means any Person that meets the requirements to be an assignee under </w:t>
      </w:r>
      <w:r>
        <w:rPr>
          <w:rFonts w:ascii="Arial" w:cs="Arial" w:eastAsia="Arial" w:hAnsi="Arial"/>
          <w:sz w:val="22"/>
          <w:szCs w:val="22"/>
          <w:u w:val="single" w:color="auto"/>
          <w:color w:val="auto"/>
        </w:rPr>
        <w:t>Section 11.06(b)(iii)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w:t>
      </w:r>
      <w:r>
        <w:rPr>
          <w:rFonts w:ascii="Arial" w:cs="Arial" w:eastAsia="Arial" w:hAnsi="Arial"/>
          <w:sz w:val="22"/>
          <w:szCs w:val="22"/>
          <w:color w:val="auto"/>
        </w:rPr>
        <w:t xml:space="preserve"> subject to such consents, if any, as may be required under </w:t>
      </w:r>
      <w:r>
        <w:rPr>
          <w:rFonts w:ascii="Arial" w:cs="Arial" w:eastAsia="Arial" w:hAnsi="Arial"/>
          <w:sz w:val="22"/>
          <w:szCs w:val="22"/>
          <w:u w:val="single" w:color="auto"/>
          <w:color w:val="auto"/>
        </w:rPr>
        <w:t>Section 11.06(b)(iii)</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End-User Financing Arrangements</w:t>
      </w:r>
      <w:r>
        <w:rPr>
          <w:rFonts w:ascii="Arial" w:cs="Arial" w:eastAsia="Arial" w:hAnsi="Arial"/>
          <w:sz w:val="22"/>
          <w:szCs w:val="22"/>
          <w:color w:val="auto"/>
        </w:rPr>
        <w:t>” has the meaning specified in the definition of “Indebtedness”.</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rules and regulations promulgated thereunder.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under common control with any Borrower within the meaning of Section 414(b) or (c) of the Code (and Sections 414(m) and (o) of the Code for purposes of provisions relating to Section 412 of the Code).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Event</w:t>
      </w:r>
      <w:r>
        <w:rPr>
          <w:rFonts w:ascii="Arial" w:cs="Arial" w:eastAsia="Arial" w:hAnsi="Arial"/>
          <w:sz w:val="22"/>
          <w:szCs w:val="22"/>
          <w:color w:val="auto"/>
        </w:rPr>
        <w:t>” means (a) a Reportable Event with respect to a Pension Plan; (b) the withdrawal of any Borrower or any ERISA Affiliate from a Pension Plan subject to Section 4063 of ERISA during a plan year in which such entity was a “substantial employer” as defined 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24" w:name="page25"/>
    <w:bookmarkEnd w:id="24"/>
    <w:p>
      <w:pPr>
        <w:spacing w:after="0"/>
        <w:rPr>
          <w:sz w:val="20"/>
          <w:szCs w:val="20"/>
          <w:color w:val="auto"/>
        </w:rPr>
      </w:pPr>
      <w:r>
        <w:rPr>
          <w:rFonts w:ascii="Arial" w:cs="Arial" w:eastAsia="Arial" w:hAnsi="Arial"/>
          <w:sz w:val="19"/>
          <w:szCs w:val="19"/>
          <w:color w:val="auto"/>
        </w:rPr>
        <w:t>Section 4001(a)(2) of ERISA or a cessation of operations that is treated as such a withdrawal under Section 4062(e) of ERISA;</w:t>
      </w:r>
    </w:p>
    <w:p>
      <w:pPr>
        <w:spacing w:after="0" w:line="56" w:lineRule="exact"/>
        <w:rPr>
          <w:sz w:val="20"/>
          <w:szCs w:val="20"/>
          <w:color w:val="auto"/>
        </w:rPr>
      </w:pPr>
    </w:p>
    <w:p>
      <w:pPr>
        <w:jc w:val="both"/>
        <w:ind w:firstLine="8"/>
        <w:spacing w:after="0" w:line="256" w:lineRule="auto"/>
        <w:tabs>
          <w:tab w:leader="none" w:pos="319" w:val="left"/>
        </w:tabs>
        <w:numPr>
          <w:ilvl w:val="0"/>
          <w:numId w:val="10"/>
        </w:numPr>
        <w:rPr>
          <w:rFonts w:ascii="Arial" w:cs="Arial" w:eastAsia="Arial" w:hAnsi="Arial"/>
          <w:sz w:val="21"/>
          <w:szCs w:val="21"/>
          <w:color w:val="auto"/>
        </w:rPr>
      </w:pPr>
      <w:r>
        <w:rPr>
          <w:rFonts w:ascii="Arial" w:cs="Arial" w:eastAsia="Arial" w:hAnsi="Arial"/>
          <w:sz w:val="21"/>
          <w:szCs w:val="21"/>
          <w:color w:val="auto"/>
        </w:rPr>
        <w:t>a complete or partial withdrawal by any Borrower or any ERISA Affiliate from a Multiemployer Plan or notification that a Multiemployer Plan is in reorganization; (d) the receipt by any Loan Party or any of its ERISA Affiliates from the PBGC or a plan administrator of the filing of a notice of intent to terminate, or the treatment of a Pension Plan amendment as a termination of the Pension Plan under Section 4041 or 4041A of ERISA, which could reasonably be expected to result in liability of any Loan Party or any of its ERISA Affiliates in an aggregate amount exceeding $2,500,000;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any Borrower or any ERISA Affiliate; or (i) a Pension Plan has been terminated by the plan administrator thereof or by the PBGC, or an event or circumstance has occurred or exists that could reasonably be expected to cause the PBGC to institute proceedings under Title IV of ERISA to terminate any Pension Plan, which in each case and collectively, could reasonably be expected to result in liability of any Loan Party or any of its ERISA Affiliates in an aggregate amount exceeding $2,500,000.</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and “</w:t>
      </w:r>
      <w:r>
        <w:rPr>
          <w:rFonts w:ascii="Arial" w:cs="Arial" w:eastAsia="Arial" w:hAnsi="Arial"/>
          <w:sz w:val="22"/>
          <w:szCs w:val="22"/>
          <w:u w:val="single" w:color="auto"/>
          <w:color w:val="auto"/>
        </w:rPr>
        <w:t>EUR</w:t>
      </w:r>
      <w:r>
        <w:rPr>
          <w:rFonts w:ascii="Arial" w:cs="Arial" w:eastAsia="Arial" w:hAnsi="Arial"/>
          <w:sz w:val="22"/>
          <w:szCs w:val="22"/>
          <w:color w:val="auto"/>
        </w:rPr>
        <w:t>” mean the single currency of the Participating Member States.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Rate</w:t>
      </w:r>
      <w:r>
        <w:rPr>
          <w:rFonts w:ascii="Arial" w:cs="Arial" w:eastAsia="Arial" w:hAnsi="Arial"/>
          <w:sz w:val="22"/>
          <w:szCs w:val="22"/>
          <w:color w:val="auto"/>
        </w:rPr>
        <w:t>” means,</w:t>
      </w:r>
    </w:p>
    <w:p>
      <w:pPr>
        <w:spacing w:after="0" w:line="220" w:lineRule="exact"/>
        <w:rPr>
          <w:sz w:val="20"/>
          <w:szCs w:val="20"/>
          <w:color w:val="auto"/>
        </w:rPr>
      </w:pPr>
    </w:p>
    <w:p>
      <w:pPr>
        <w:ind w:left="1120" w:hanging="464"/>
        <w:spacing w:after="0"/>
        <w:tabs>
          <w:tab w:leader="none" w:pos="11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with respect to any Credit Extension:</w:t>
      </w:r>
    </w:p>
    <w:p>
      <w:pPr>
        <w:spacing w:after="0" w:line="219" w:lineRule="exact"/>
        <w:rPr>
          <w:rFonts w:ascii="Arial" w:cs="Arial" w:eastAsia="Arial" w:hAnsi="Arial"/>
          <w:sz w:val="22"/>
          <w:szCs w:val="22"/>
          <w:color w:val="auto"/>
        </w:rPr>
      </w:pPr>
    </w:p>
    <w:p>
      <w:pPr>
        <w:jc w:val="both"/>
        <w:ind w:left="660" w:firstLine="645"/>
        <w:spacing w:after="0" w:line="271" w:lineRule="auto"/>
        <w:tabs>
          <w:tab w:leader="none" w:pos="1740" w:val="left"/>
        </w:tabs>
        <w:numPr>
          <w:ilvl w:val="1"/>
          <w:numId w:val="11"/>
        </w:numPr>
        <w:rPr>
          <w:rFonts w:ascii="Arial" w:cs="Arial" w:eastAsia="Arial" w:hAnsi="Arial"/>
          <w:sz w:val="21"/>
          <w:szCs w:val="21"/>
          <w:color w:val="auto"/>
        </w:rPr>
      </w:pPr>
      <w:r>
        <w:rPr>
          <w:rFonts w:ascii="Arial" w:cs="Arial" w:eastAsia="Arial" w:hAnsi="Arial"/>
          <w:sz w:val="21"/>
          <w:szCs w:val="21"/>
          <w:color w:val="auto"/>
        </w:rPr>
        <w:t>denominated in a LIBOR Quoted Currency, the LIBOR Screen Rate at approximately 11:00 a.m., London time, two Business Days prior to the commencement of such Interest Period, for deposits in the relevant currency (for delivery on the first day of such Interest Period) with a term equivalent to such Interest Period;</w:t>
      </w:r>
    </w:p>
    <w:p>
      <w:pPr>
        <w:spacing w:after="0" w:line="167" w:lineRule="exact"/>
        <w:rPr>
          <w:rFonts w:ascii="Arial" w:cs="Arial" w:eastAsia="Arial" w:hAnsi="Arial"/>
          <w:sz w:val="21"/>
          <w:szCs w:val="21"/>
          <w:color w:val="auto"/>
        </w:rPr>
      </w:pPr>
    </w:p>
    <w:p>
      <w:pPr>
        <w:jc w:val="both"/>
        <w:ind w:left="660" w:firstLine="645"/>
        <w:spacing w:after="0" w:line="248" w:lineRule="auto"/>
        <w:tabs>
          <w:tab w:leader="none" w:pos="1788" w:val="left"/>
        </w:tabs>
        <w:numPr>
          <w:ilvl w:val="1"/>
          <w:numId w:val="11"/>
        </w:numPr>
        <w:rPr>
          <w:rFonts w:ascii="Arial" w:cs="Arial" w:eastAsia="Arial" w:hAnsi="Arial"/>
          <w:sz w:val="22"/>
          <w:szCs w:val="22"/>
          <w:color w:val="auto"/>
        </w:rPr>
      </w:pPr>
      <w:r>
        <w:rPr>
          <w:rFonts w:ascii="Arial" w:cs="Arial" w:eastAsia="Arial" w:hAnsi="Arial"/>
          <w:sz w:val="22"/>
          <w:szCs w:val="22"/>
          <w:color w:val="auto"/>
        </w:rPr>
        <w:t>denominated in Canadian Dollars, the rate per annum equal to the Canadian Dealer Offered Rate (“</w:t>
      </w:r>
      <w:r>
        <w:rPr>
          <w:rFonts w:ascii="Arial" w:cs="Arial" w:eastAsia="Arial" w:hAnsi="Arial"/>
          <w:sz w:val="22"/>
          <w:szCs w:val="22"/>
          <w:u w:val="single" w:color="auto"/>
          <w:color w:val="auto"/>
        </w:rPr>
        <w:t>CDOR</w:t>
      </w:r>
      <w:r>
        <w:rPr>
          <w:rFonts w:ascii="Arial" w:cs="Arial" w:eastAsia="Arial" w:hAnsi="Arial"/>
          <w:sz w:val="22"/>
          <w:szCs w:val="22"/>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192" w:lineRule="exact"/>
        <w:rPr>
          <w:rFonts w:ascii="Arial" w:cs="Arial" w:eastAsia="Arial" w:hAnsi="Arial"/>
          <w:sz w:val="22"/>
          <w:szCs w:val="22"/>
          <w:color w:val="auto"/>
        </w:rPr>
      </w:pPr>
    </w:p>
    <w:p>
      <w:pPr>
        <w:jc w:val="both"/>
        <w:ind w:left="660" w:firstLine="645"/>
        <w:spacing w:after="0" w:line="312" w:lineRule="auto"/>
        <w:tabs>
          <w:tab w:leader="none" w:pos="1975" w:val="left"/>
        </w:tabs>
        <w:numPr>
          <w:ilvl w:val="1"/>
          <w:numId w:val="11"/>
        </w:numPr>
        <w:rPr>
          <w:rFonts w:ascii="Arial" w:cs="Arial" w:eastAsia="Arial" w:hAnsi="Arial"/>
          <w:sz w:val="19"/>
          <w:szCs w:val="19"/>
          <w:color w:val="auto"/>
        </w:rPr>
      </w:pPr>
      <w:r>
        <w:rPr>
          <w:rFonts w:ascii="Arial" w:cs="Arial" w:eastAsia="Arial" w:hAnsi="Arial"/>
          <w:sz w:val="19"/>
          <w:szCs w:val="19"/>
          <w:color w:val="auto"/>
        </w:rPr>
        <w:t>denominated in Australian Dollars, the rate per annum equal to the Bank Bill Swap Reference Bid Rate (“</w:t>
      </w:r>
      <w:r>
        <w:rPr>
          <w:rFonts w:ascii="Arial" w:cs="Arial" w:eastAsia="Arial" w:hAnsi="Arial"/>
          <w:sz w:val="19"/>
          <w:szCs w:val="19"/>
          <w:u w:val="single" w:color="auto"/>
          <w:color w:val="auto"/>
        </w:rPr>
        <w:t>BBSY</w:t>
      </w:r>
      <w:r>
        <w:rPr>
          <w:rFonts w:ascii="Arial" w:cs="Arial" w:eastAsia="Arial" w:hAnsi="Arial"/>
          <w:sz w:val="19"/>
          <w:szCs w:val="19"/>
          <w:color w:val="auto"/>
        </w:rPr>
        <w:t>”) or a comparable or successor rate, which rate is approved by the Administrative Agent, as published on the applicable Bloomberg screen page (or such other commercially available source providing such quotations as may be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25" w:name="page26"/>
    <w:bookmarkEnd w:id="25"/>
    <w:p>
      <w:pPr>
        <w:ind w:left="660" w:right="20"/>
        <w:spacing w:after="0" w:line="263" w:lineRule="auto"/>
        <w:rPr>
          <w:sz w:val="20"/>
          <w:szCs w:val="20"/>
          <w:color w:val="auto"/>
        </w:rPr>
      </w:pPr>
      <w:r>
        <w:rPr>
          <w:rFonts w:ascii="Arial" w:cs="Arial" w:eastAsia="Arial" w:hAnsi="Arial"/>
          <w:sz w:val="22"/>
          <w:szCs w:val="22"/>
          <w:color w:val="auto"/>
        </w:rPr>
        <w:t>designated by the Administrative Agent from time to time) at or about 10:30 a.m. (Melbourne, Australia time) on the Rate Determination Date with a term equivalent to such Interest Period;</w:t>
      </w:r>
    </w:p>
    <w:p>
      <w:pPr>
        <w:spacing w:after="0" w:line="175" w:lineRule="exact"/>
        <w:rPr>
          <w:sz w:val="20"/>
          <w:szCs w:val="20"/>
          <w:color w:val="auto"/>
        </w:rPr>
      </w:pPr>
    </w:p>
    <w:p>
      <w:pPr>
        <w:jc w:val="both"/>
        <w:ind w:left="660" w:firstLine="645"/>
        <w:spacing w:after="0" w:line="263" w:lineRule="auto"/>
        <w:tabs>
          <w:tab w:leader="none" w:pos="1989" w:val="left"/>
        </w:tabs>
        <w:numPr>
          <w:ilvl w:val="0"/>
          <w:numId w:val="12"/>
        </w:numPr>
        <w:rPr>
          <w:rFonts w:ascii="Arial" w:cs="Arial" w:eastAsia="Arial" w:hAnsi="Arial"/>
          <w:sz w:val="21"/>
          <w:szCs w:val="21"/>
          <w:color w:val="auto"/>
        </w:rPr>
      </w:pPr>
      <w:r>
        <w:rPr>
          <w:rFonts w:ascii="Arial" w:cs="Arial" w:eastAsia="Arial" w:hAnsi="Arial"/>
          <w:sz w:val="21"/>
          <w:szCs w:val="21"/>
          <w:color w:val="auto"/>
        </w:rPr>
        <w:t>denominated in Mexican Pesos, the rate per annum equal to the Interbanking Equilibrium Interest Rate (“</w:t>
      </w:r>
      <w:r>
        <w:rPr>
          <w:rFonts w:ascii="Arial" w:cs="Arial" w:eastAsia="Arial" w:hAnsi="Arial"/>
          <w:sz w:val="21"/>
          <w:szCs w:val="21"/>
          <w:u w:val="single" w:color="auto"/>
          <w:color w:val="auto"/>
        </w:rPr>
        <w:t>TIIE</w:t>
      </w:r>
      <w:r>
        <w:rPr>
          <w:rFonts w:ascii="Arial" w:cs="Arial" w:eastAsia="Arial" w:hAnsi="Arial"/>
          <w:sz w:val="21"/>
          <w:szCs w:val="21"/>
          <w:color w:val="auto"/>
        </w:rPr>
        <w:t>”), or a comparable or successor rate which rate is approved by the Administrative Agent, as published by Banco de Mexico in the Federation’s Official Gazette (or such other commercially available source providing such quotations as may be designated by the Administrative Agent from time to time) at or about 2:00 p.m. (Mexico City, Mexico time) on the Rate Determination Date with a term equivalent to such Interest Period; and</w:t>
      </w:r>
    </w:p>
    <w:p>
      <w:pPr>
        <w:spacing w:after="0" w:line="175" w:lineRule="exact"/>
        <w:rPr>
          <w:rFonts w:ascii="Arial" w:cs="Arial" w:eastAsia="Arial" w:hAnsi="Arial"/>
          <w:sz w:val="21"/>
          <w:szCs w:val="21"/>
          <w:color w:val="auto"/>
        </w:rPr>
      </w:pPr>
    </w:p>
    <w:p>
      <w:pPr>
        <w:jc w:val="both"/>
        <w:ind w:left="660" w:firstLine="645"/>
        <w:spacing w:after="0" w:line="253" w:lineRule="auto"/>
        <w:tabs>
          <w:tab w:leader="none" w:pos="1787"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with respect to a Credit Extension denominated in any other Non-LIBOR Quoted Currency, the rate per annum as designated with respect to such Alternative Currency at the time such Alternative Currency is approved by the Administrative Agent and the Lenders pursuant to </w:t>
      </w:r>
      <w:r>
        <w:rPr>
          <w:rFonts w:ascii="Arial" w:cs="Arial" w:eastAsia="Arial" w:hAnsi="Arial"/>
          <w:sz w:val="22"/>
          <w:szCs w:val="22"/>
          <w:u w:val="single" w:color="auto"/>
          <w:color w:val="auto"/>
        </w:rPr>
        <w:t>Section 1.05(a)</w:t>
      </w:r>
      <w:r>
        <w:rPr>
          <w:rFonts w:ascii="Arial" w:cs="Arial" w:eastAsia="Arial" w:hAnsi="Arial"/>
          <w:sz w:val="22"/>
          <w:szCs w:val="22"/>
          <w:color w:val="auto"/>
        </w:rPr>
        <w:t>; and</w:t>
      </w:r>
    </w:p>
    <w:p>
      <w:pPr>
        <w:spacing w:after="0" w:line="186" w:lineRule="exact"/>
        <w:rPr>
          <w:sz w:val="20"/>
          <w:szCs w:val="20"/>
          <w:color w:val="auto"/>
        </w:rPr>
      </w:pPr>
    </w:p>
    <w:p>
      <w:pPr>
        <w:jc w:val="both"/>
        <w:ind w:firstLine="656"/>
        <w:spacing w:after="0" w:line="253" w:lineRule="auto"/>
        <w:tabs>
          <w:tab w:leader="none" w:pos="1138" w:val="left"/>
        </w:tabs>
        <w:numPr>
          <w:ilvl w:val="0"/>
          <w:numId w:val="13"/>
        </w:numPr>
        <w:rPr>
          <w:rFonts w:ascii="Arial" w:cs="Arial" w:eastAsia="Arial" w:hAnsi="Arial"/>
          <w:sz w:val="22"/>
          <w:szCs w:val="22"/>
          <w:color w:val="auto"/>
        </w:rPr>
      </w:pPr>
      <w:r>
        <w:rPr>
          <w:rFonts w:ascii="Arial" w:cs="Arial" w:eastAsia="Arial" w:hAnsi="Arial"/>
          <w:sz w:val="22"/>
          <w:szCs w:val="22"/>
          <w:color w:val="auto"/>
        </w:rPr>
        <w:t>for any rate calculation with respect to a Base Rate Loan on any date, the rate per annum equal to LIBOR, at or about 11:00 a.m., London time determined two (2) Business Days prior to such date for U.S. Dollar deposits with a term of one (1) month commencing that day;</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a comparable or successor rate is approved by the Administrative Agent in connection with any rate set forth in this definition, the approved rate shall be applied in a manner consistent with market practice;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to the extent such market practice is not administratively feasible for the Administrative Agent, such approved rate shall be applied in a manner as otherwise reasonably determined by the Administrative Agent; and if the Eurocurrency Rate shall be less than zero, such rate shall be deemed zero for purposes of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Rate Loan</w:t>
      </w:r>
      <w:r>
        <w:rPr>
          <w:rFonts w:ascii="Arial" w:cs="Arial" w:eastAsia="Arial" w:hAnsi="Arial"/>
          <w:sz w:val="22"/>
          <w:szCs w:val="22"/>
          <w:color w:val="auto"/>
        </w:rPr>
        <w:t xml:space="preserve">” means a Committed Loan that bears interest at a rate based on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the definition of “Eurocurrency Rate”. Eurocurrency Rate Loans may be denominated in Dollars or in an Alternative Currency. All Committed Loans denominated in an Alternative Currency must be Eurocurrency Rate Loans.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and regulations promulgated thereunder.</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Taxes</w:t>
      </w:r>
      <w:r>
        <w:rPr>
          <w:rFonts w:ascii="Arial" w:cs="Arial" w:eastAsia="Arial" w:hAnsi="Arial"/>
          <w:sz w:val="21"/>
          <w:szCs w:val="21"/>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21"/>
          <w:szCs w:val="21"/>
          <w:color w:val="auto"/>
        </w:rPr>
        <w:t xml:space="preserve">such interest in the Loan or Commitment (other than pursuant to an assignment request by Toro under </w:t>
      </w:r>
      <w:r>
        <w:rPr>
          <w:rFonts w:ascii="Arial" w:cs="Arial" w:eastAsia="Arial" w:hAnsi="Arial"/>
          <w:sz w:val="21"/>
          <w:szCs w:val="21"/>
          <w:u w:val="single" w:color="auto"/>
          <w:color w:val="auto"/>
        </w:rPr>
        <w:t>Section 10.13</w:t>
      </w:r>
      <w:r>
        <w:rPr>
          <w:rFonts w:ascii="Arial" w:cs="Arial" w:eastAsia="Arial" w:hAnsi="Arial"/>
          <w:sz w:val="21"/>
          <w:szCs w:val="21"/>
          <w:color w:val="auto"/>
        </w:rPr>
        <w:t xml:space="preserve">) or (ii) such Lender changes its Lending Office, except in each case to the extent that, pursuant to </w:t>
      </w:r>
      <w:r>
        <w:rPr>
          <w:rFonts w:ascii="Arial" w:cs="Arial" w:eastAsia="Arial" w:hAnsi="Arial"/>
          <w:sz w:val="21"/>
          <w:szCs w:val="21"/>
          <w:u w:val="single" w:color="auto"/>
          <w:color w:val="auto"/>
        </w:rPr>
        <w:t>Section 3.01(a)(ii)</w:t>
      </w:r>
      <w:r>
        <w:rPr>
          <w:rFonts w:ascii="Arial" w:cs="Arial" w:eastAsia="Arial" w:hAnsi="Arial"/>
          <w:sz w:val="21"/>
          <w:szCs w:val="21"/>
          <w:color w:val="auto"/>
        </w:rPr>
        <w:t xml:space="preserve">, </w:t>
      </w:r>
      <w:r>
        <w:rPr>
          <w:rFonts w:ascii="Arial" w:cs="Arial" w:eastAsia="Arial" w:hAnsi="Arial"/>
          <w:sz w:val="21"/>
          <w:szCs w:val="21"/>
          <w:u w:val="single" w:color="auto"/>
          <w:color w:val="auto"/>
        </w:rPr>
        <w:t>(a)(iii)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1"/>
          <w:szCs w:val="21"/>
          <w:u w:val="single" w:color="auto"/>
          <w:color w:val="auto"/>
        </w:rPr>
        <w:t>Section 3.01(e)</w:t>
      </w:r>
      <w:r>
        <w:rPr>
          <w:rFonts w:ascii="Arial" w:cs="Arial" w:eastAsia="Arial" w:hAnsi="Arial"/>
          <w:sz w:val="21"/>
          <w:szCs w:val="21"/>
          <w:color w:val="auto"/>
        </w:rPr>
        <w:t xml:space="preserve"> and (d) any U.S. federal withholding Taxes imposed pursuant to FATCA.</w:t>
      </w:r>
    </w:p>
    <w:p>
      <w:pPr>
        <w:spacing w:after="0" w:line="17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means that certain Credit Agreement dated as of October 27, 2014, as heretofore amended, among Toro, the other borrowers party thereto, Bank of America, N.A., as administrative agent, and a syndicate of lenders.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means those letters of credit set forth on </w:t>
      </w:r>
      <w:r>
        <w:rPr>
          <w:rFonts w:ascii="Arial" w:cs="Arial" w:eastAsia="Arial" w:hAnsi="Arial"/>
          <w:sz w:val="22"/>
          <w:szCs w:val="22"/>
          <w:u w:val="single" w:color="auto"/>
          <w:color w:val="auto"/>
        </w:rPr>
        <w:t>Schedule 1.01(e)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Liens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FASB ASC</w:t>
      </w:r>
      <w:r>
        <w:rPr>
          <w:rFonts w:ascii="Arial" w:cs="Arial" w:eastAsia="Arial" w:hAnsi="Arial"/>
          <w:sz w:val="22"/>
          <w:szCs w:val="22"/>
          <w:color w:val="auto"/>
        </w:rPr>
        <w:t>” means the Accounting Standards Codification of the Financial Accounting Standards Board.</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Rate</w:t>
      </w:r>
      <w:r>
        <w:rPr>
          <w:rFonts w:ascii="Arial" w:cs="Arial" w:eastAsia="Arial" w:hAnsi="Arial"/>
          <w:sz w:val="21"/>
          <w:szCs w:val="21"/>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Letters</w:t>
      </w:r>
      <w:r>
        <w:rPr>
          <w:rFonts w:ascii="Arial" w:cs="Arial" w:eastAsia="Arial" w:hAnsi="Arial"/>
          <w:sz w:val="22"/>
          <w:szCs w:val="22"/>
          <w:color w:val="auto"/>
        </w:rPr>
        <w:t>” means, collectively, the BofA Fee Letter and the Wells Fargo Fee Letter.</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Obligor</w:t>
      </w:r>
      <w:r>
        <w:rPr>
          <w:rFonts w:ascii="Arial" w:cs="Arial" w:eastAsia="Arial" w:hAnsi="Arial"/>
          <w:sz w:val="22"/>
          <w:szCs w:val="22"/>
          <w:color w:val="auto"/>
        </w:rPr>
        <w:t>” means (a) Toro Luxembourg and (b) any other Loan Party that is a Foreign Subsidiary.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that is organized under the laws of a jurisdiction other than the United States, a State thereof or the District of Columbia.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FRB</w:t>
      </w:r>
      <w:r>
        <w:rPr>
          <w:rFonts w:ascii="Arial" w:cs="Arial" w:eastAsia="Arial" w:hAnsi="Arial"/>
          <w:sz w:val="22"/>
          <w:szCs w:val="22"/>
          <w:color w:val="auto"/>
        </w:rPr>
        <w:t>” means the Board of Governors of the Federal Reserve System of the United States.</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Fronting Exposure</w:t>
      </w:r>
      <w:r>
        <w:rPr>
          <w:rFonts w:ascii="Arial" w:cs="Arial" w:eastAsia="Arial" w:hAnsi="Arial"/>
          <w:sz w:val="21"/>
          <w:szCs w:val="21"/>
          <w:color w:val="auto"/>
        </w:rPr>
        <w:t>” means, at any time there is a Defaulting Lender that is a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w:t>
      </w:r>
      <w:r>
        <w:rPr>
          <w:rFonts w:ascii="Arial" w:cs="Arial" w:eastAsia="Arial" w:hAnsi="Arial"/>
          <w:sz w:val="21"/>
          <w:szCs w:val="21"/>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Indemnity Letter</w:t>
      </w:r>
      <w:r>
        <w:rPr>
          <w:rFonts w:ascii="Arial" w:cs="Arial" w:eastAsia="Arial" w:hAnsi="Arial"/>
          <w:sz w:val="22"/>
          <w:szCs w:val="22"/>
          <w:color w:val="auto"/>
        </w:rPr>
        <w:t xml:space="preserve">” means a funding indemnity letter, substantially in the form of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28" w:name="page29"/>
    <w:bookmarkEnd w:id="28"/>
    <w:p>
      <w:pPr>
        <w:jc w:val="both"/>
        <w:spacing w:after="0" w:line="292" w:lineRule="auto"/>
        <w:rPr>
          <w:sz w:val="20"/>
          <w:szCs w:val="20"/>
          <w:color w:val="auto"/>
        </w:rPr>
      </w:pPr>
      <w:r>
        <w:rPr>
          <w:rFonts w:ascii="Arial" w:cs="Arial" w:eastAsia="Arial" w:hAnsi="Arial"/>
          <w:sz w:val="19"/>
          <w:szCs w:val="19"/>
          <w:color w:val="auto"/>
        </w:rPr>
        <w:t>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51" w:lineRule="exact"/>
        <w:rPr>
          <w:sz w:val="20"/>
          <w:szCs w:val="20"/>
          <w:color w:val="auto"/>
        </w:rPr>
      </w:pPr>
    </w:p>
    <w:p>
      <w:pPr>
        <w:ind w:left="660" w:right="120"/>
        <w:spacing w:after="0" w:line="4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means the Guaranty made by Toro in favor of the Administrative Agent and the Lenders, set forth in </w:t>
      </w:r>
      <w:r>
        <w:rPr>
          <w:rFonts w:ascii="Arial" w:cs="Arial" w:eastAsia="Arial" w:hAnsi="Arial"/>
          <w:sz w:val="22"/>
          <w:szCs w:val="22"/>
          <w:u w:val="single" w:color="auto"/>
          <w:color w:val="auto"/>
        </w:rPr>
        <w:t>Article X</w:t>
      </w:r>
      <w:r>
        <w:rPr>
          <w:rFonts w:ascii="Arial" w:cs="Arial" w:eastAsia="Arial" w:hAnsi="Arial"/>
          <w:sz w:val="22"/>
          <w:szCs w:val="22"/>
          <w:color w:val="auto"/>
        </w:rPr>
        <w:t>. “</w:t>
      </w:r>
      <w:r>
        <w:rPr>
          <w:rFonts w:ascii="Arial" w:cs="Arial" w:eastAsia="Arial" w:hAnsi="Arial"/>
          <w:sz w:val="22"/>
          <w:szCs w:val="22"/>
          <w:u w:val="single" w:color="auto"/>
          <w:color w:val="auto"/>
        </w:rPr>
        <w:t>Guaranty Obligation</w:t>
      </w:r>
      <w:r>
        <w:rPr>
          <w:rFonts w:ascii="Arial" w:cs="Arial" w:eastAsia="Arial" w:hAnsi="Arial"/>
          <w:sz w:val="22"/>
          <w:szCs w:val="22"/>
          <w:color w:val="auto"/>
        </w:rPr>
        <w:t>” has the meaning specified in the definition of “Contingent Obligation.”</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Loans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Debt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1.03(d)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as to any Person at a particular time, without duplication, all of the following, whether or not included as indebtedness or liabilities in accordance with GAAP:</w:t>
      </w:r>
    </w:p>
    <w:p>
      <w:pPr>
        <w:spacing w:after="0" w:line="175" w:lineRule="exact"/>
        <w:rPr>
          <w:sz w:val="20"/>
          <w:szCs w:val="20"/>
          <w:color w:val="auto"/>
        </w:rPr>
      </w:pPr>
    </w:p>
    <w:p>
      <w:pPr>
        <w:ind w:left="660" w:right="20" w:firstLine="645"/>
        <w:spacing w:after="0" w:line="263" w:lineRule="auto"/>
        <w:tabs>
          <w:tab w:leader="none" w:pos="1856"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174" w:lineRule="exact"/>
        <w:rPr>
          <w:rFonts w:ascii="Arial" w:cs="Arial" w:eastAsia="Arial" w:hAnsi="Arial"/>
          <w:sz w:val="22"/>
          <w:szCs w:val="22"/>
          <w:color w:val="auto"/>
        </w:rPr>
      </w:pPr>
    </w:p>
    <w:p>
      <w:pPr>
        <w:jc w:val="both"/>
        <w:ind w:left="660" w:firstLine="645"/>
        <w:spacing w:after="0" w:line="248" w:lineRule="auto"/>
        <w:tabs>
          <w:tab w:leader="none" w:pos="1936"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$75,000,000;</w:t>
      </w:r>
    </w:p>
    <w:p>
      <w:pPr>
        <w:spacing w:after="0" w:line="192" w:lineRule="exact"/>
        <w:rPr>
          <w:rFonts w:ascii="Arial" w:cs="Arial" w:eastAsia="Arial" w:hAnsi="Arial"/>
          <w:sz w:val="22"/>
          <w:szCs w:val="22"/>
          <w:color w:val="auto"/>
        </w:rPr>
      </w:pPr>
    </w:p>
    <w:p>
      <w:pPr>
        <w:ind w:left="660" w:firstLine="645"/>
        <w:spacing w:after="0" w:line="263" w:lineRule="auto"/>
        <w:tabs>
          <w:tab w:leader="none" w:pos="1883"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obligations of such Person to pay the deferred purchase price of property or services (other than trade accounts payable in the ordinary course of business);</w:t>
      </w:r>
    </w:p>
    <w:p>
      <w:pPr>
        <w:spacing w:after="0" w:line="174" w:lineRule="exact"/>
        <w:rPr>
          <w:rFonts w:ascii="Arial" w:cs="Arial" w:eastAsia="Arial" w:hAnsi="Arial"/>
          <w:sz w:val="22"/>
          <w:szCs w:val="22"/>
          <w:color w:val="auto"/>
        </w:rPr>
      </w:pPr>
    </w:p>
    <w:p>
      <w:pPr>
        <w:ind w:left="660" w:firstLine="645"/>
        <w:spacing w:after="0" w:line="263" w:lineRule="auto"/>
        <w:tabs>
          <w:tab w:leader="none" w:pos="1808"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indebtedness (excluding prepaid interest thereon) secured by a Lien on property owned or being purchased by such Person (including indebtedness arising under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29" w:name="page30"/>
    <w:bookmarkEnd w:id="29"/>
    <w:p>
      <w:pPr>
        <w:ind w:left="660"/>
        <w:spacing w:after="0" w:line="263" w:lineRule="auto"/>
        <w:rPr>
          <w:sz w:val="20"/>
          <w:szCs w:val="20"/>
          <w:color w:val="auto"/>
        </w:rPr>
      </w:pPr>
      <w:r>
        <w:rPr>
          <w:rFonts w:ascii="Arial" w:cs="Arial" w:eastAsia="Arial" w:hAnsi="Arial"/>
          <w:sz w:val="22"/>
          <w:szCs w:val="22"/>
          <w:color w:val="auto"/>
        </w:rPr>
        <w:t>conditional sales or other title retention agreements), whether or not such indebtedness shall have been assumed by such Person or is limited in recourse;</w:t>
      </w:r>
    </w:p>
    <w:p>
      <w:pPr>
        <w:spacing w:after="0" w:line="175" w:lineRule="exact"/>
        <w:rPr>
          <w:sz w:val="20"/>
          <w:szCs w:val="20"/>
          <w:color w:val="auto"/>
        </w:rPr>
      </w:pPr>
    </w:p>
    <w:p>
      <w:pPr>
        <w:ind w:left="1760" w:hanging="455"/>
        <w:spacing w:after="0"/>
        <w:tabs>
          <w:tab w:leader="none" w:pos="17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capital leases and Synthetic Lease Obligations;</w:t>
      </w:r>
    </w:p>
    <w:p>
      <w:pPr>
        <w:spacing w:after="0" w:line="219" w:lineRule="exact"/>
        <w:rPr>
          <w:rFonts w:ascii="Arial" w:cs="Arial" w:eastAsia="Arial" w:hAnsi="Arial"/>
          <w:sz w:val="22"/>
          <w:szCs w:val="22"/>
          <w:color w:val="auto"/>
        </w:rPr>
      </w:pPr>
    </w:p>
    <w:p>
      <w:pPr>
        <w:jc w:val="both"/>
        <w:ind w:left="660" w:firstLine="645"/>
        <w:spacing w:after="0" w:line="302" w:lineRule="auto"/>
        <w:tabs>
          <w:tab w:leader="none" w:pos="1756"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all obligations of such Person to purchase, redeem, retire, defease or otherwise make any payment in respect of any Equity Interest in such Person or any other Person (other than obligations of Toro or a Subsidiary of Toro to Red Iron under the terms of the Red Iron LLC Agreement (as in effect on the Closing Date)), valued, in the case of a redeemable preferred interest, at the greater of its voluntary or involuntary liquidation preference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accrued and unpaid dividends;</w:t>
      </w:r>
    </w:p>
    <w:p>
      <w:pPr>
        <w:spacing w:after="0" w:line="142" w:lineRule="exact"/>
        <w:rPr>
          <w:rFonts w:ascii="Arial" w:cs="Arial" w:eastAsia="Arial" w:hAnsi="Arial"/>
          <w:sz w:val="19"/>
          <w:szCs w:val="19"/>
          <w:color w:val="auto"/>
        </w:rPr>
      </w:pPr>
    </w:p>
    <w:p>
      <w:pPr>
        <w:jc w:val="both"/>
        <w:ind w:left="660" w:firstLine="645"/>
        <w:spacing w:after="0" w:line="265" w:lineRule="auto"/>
        <w:tabs>
          <w:tab w:leader="none" w:pos="1905"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w:t>
      </w:r>
      <w:r>
        <w:rPr>
          <w:rFonts w:ascii="Arial" w:cs="Arial" w:eastAsia="Arial" w:hAnsi="Arial"/>
          <w:sz w:val="21"/>
          <w:szCs w:val="21"/>
          <w:u w:val="single" w:color="auto"/>
          <w:color w:val="auto"/>
        </w:rPr>
        <w:t>clause (h)</w:t>
      </w:r>
      <w:r>
        <w:rPr>
          <w:rFonts w:ascii="Arial" w:cs="Arial" w:eastAsia="Arial" w:hAnsi="Arial"/>
          <w:sz w:val="21"/>
          <w:szCs w:val="21"/>
          <w:color w:val="auto"/>
        </w:rPr>
        <w:t>, at any time outstanding not to exceed $75,000,000; and</w:t>
      </w:r>
    </w:p>
    <w:p>
      <w:pPr>
        <w:spacing w:after="0" w:line="216" w:lineRule="exact"/>
        <w:rPr>
          <w:rFonts w:ascii="Arial" w:cs="Arial" w:eastAsia="Arial" w:hAnsi="Arial"/>
          <w:sz w:val="21"/>
          <w:szCs w:val="21"/>
          <w:color w:val="auto"/>
        </w:rPr>
      </w:pPr>
    </w:p>
    <w:p>
      <w:pPr>
        <w:jc w:val="both"/>
        <w:ind w:left="660" w:firstLine="645"/>
        <w:spacing w:after="0" w:line="290" w:lineRule="auto"/>
        <w:tabs>
          <w:tab w:leader="none" w:pos="18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(the “</w:t>
      </w:r>
      <w:r>
        <w:rPr>
          <w:rFonts w:ascii="Arial" w:cs="Arial" w:eastAsia="Arial" w:hAnsi="Arial"/>
          <w:sz w:val="19"/>
          <w:szCs w:val="19"/>
          <w:u w:val="single" w:color="auto"/>
          <w:color w:val="auto"/>
        </w:rPr>
        <w:t>End-User Financing Arrangements</w:t>
      </w:r>
      <w:r>
        <w:rPr>
          <w:rFonts w:ascii="Arial" w:cs="Arial" w:eastAsia="Arial" w:hAnsi="Arial"/>
          <w:sz w:val="19"/>
          <w:szCs w:val="19"/>
          <w:color w:val="auto"/>
        </w:rPr>
        <w:t>”); or, without duplication, (ii) to provide assurance of payments of amounts due Red Iron or TCF Canada in the ordinary course of Red Iron’s or TCF Canada’s business of financing purchases by distributors and dealers or products and services of such Person or an Affiliate of such Person (the “</w:t>
      </w:r>
      <w:r>
        <w:rPr>
          <w:rFonts w:ascii="Arial" w:cs="Arial" w:eastAsia="Arial" w:hAnsi="Arial"/>
          <w:sz w:val="19"/>
          <w:szCs w:val="19"/>
          <w:u w:val="single" w:color="auto"/>
          <w:color w:val="auto"/>
        </w:rPr>
        <w:t>Red Iron/TCF Repurchase Obligations</w:t>
      </w:r>
      <w:r>
        <w:rPr>
          <w:rFonts w:ascii="Arial" w:cs="Arial" w:eastAsia="Arial" w:hAnsi="Arial"/>
          <w:sz w:val="19"/>
          <w:szCs w:val="19"/>
          <w:color w:val="auto"/>
        </w:rPr>
        <w:t xml:space="preserve">”), in an aggregate stated or principal amount, when taken together with amounts subject to the exception set forth in the preceding </w:t>
      </w:r>
      <w:r>
        <w:rPr>
          <w:rFonts w:ascii="Arial" w:cs="Arial" w:eastAsia="Arial" w:hAnsi="Arial"/>
          <w:sz w:val="19"/>
          <w:szCs w:val="19"/>
          <w:u w:val="single" w:color="auto"/>
          <w:color w:val="auto"/>
        </w:rPr>
        <w:t>clause (g)</w:t>
      </w:r>
      <w:r>
        <w:rPr>
          <w:rFonts w:ascii="Arial" w:cs="Arial" w:eastAsia="Arial" w:hAnsi="Arial"/>
          <w:sz w:val="19"/>
          <w:szCs w:val="19"/>
          <w:color w:val="auto"/>
        </w:rPr>
        <w:t>, at any time outstanding not to exceed $75,000,000.</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capital lease or Synthetic Lease Obligation as of any date shall be deemed to be the amount of Attributable Indebtedness in respect thereof as of such date.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22"/>
          <w:szCs w:val="22"/>
          <w:u w:val="single" w:color="auto"/>
          <w:color w:val="auto"/>
        </w:rPr>
        <w:t>clause</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Other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11.07</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30" w:name="page31"/>
    <w:bookmarkEnd w:id="30"/>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Insolvency Proceeding</w:t>
      </w:r>
      <w:r>
        <w:rPr>
          <w:rFonts w:ascii="Arial" w:cs="Arial" w:eastAsia="Arial" w:hAnsi="Arial"/>
          <w:sz w:val="19"/>
          <w:szCs w:val="19"/>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 of the United States.</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means, (a) as to any Loan other than a Base Rate Loan, the last day of each Interest Period applicable to such Loan and the Maturity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Interest Period for a Eurocurrency Rate Loan exceeds three (3) months, the respective dates that fall every three (3) months after the beginning of such Interest Period shall also be Interest Payment Dates; and (b) as to any Base Rate Loan (including a Swing Line Loan), the last Business Day of each March, June, September and December and the Maturity Date.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means, as to each Eurocurrency Rate Loan, the period commencing on the date such Eurocurrency Rate Loan is disbursed or converted to or continued as a Eurocurrency Rate Loan and ending on the date one (1) week or one (1), two (2) three</w:t>
      </w:r>
    </w:p>
    <w:p>
      <w:pPr>
        <w:spacing w:after="0" w:line="1" w:lineRule="exact"/>
        <w:rPr>
          <w:sz w:val="20"/>
          <w:szCs w:val="20"/>
          <w:color w:val="auto"/>
        </w:rPr>
      </w:pPr>
    </w:p>
    <w:p>
      <w:pPr>
        <w:jc w:val="both"/>
        <w:ind w:firstLine="8"/>
        <w:spacing w:after="0" w:line="257" w:lineRule="exact"/>
        <w:tabs>
          <w:tab w:leader="none" w:pos="330" w:val="left"/>
        </w:tabs>
        <w:numPr>
          <w:ilvl w:val="0"/>
          <w:numId w:val="16"/>
        </w:numPr>
        <w:rPr>
          <w:rFonts w:ascii="Arial" w:cs="Arial" w:eastAsia="Arial" w:hAnsi="Arial"/>
          <w:sz w:val="21"/>
          <w:szCs w:val="21"/>
          <w:color w:val="auto"/>
        </w:rPr>
      </w:pPr>
      <w:r>
        <w:rPr>
          <w:rFonts w:ascii="Arial" w:cs="Arial" w:eastAsia="Arial" w:hAnsi="Arial"/>
          <w:sz w:val="21"/>
          <w:szCs w:val="21"/>
          <w:color w:val="auto"/>
        </w:rPr>
        <w:t>or six (6) months thereafter (or in the case of a Eurocurrency Rate Loan denominated in Mexican Pesos, twenty</w:t>
      </w:r>
      <w:r>
        <w:rPr>
          <w:rFonts w:ascii="MS PGothic" w:cs="MS PGothic" w:eastAsia="MS PGothic" w:hAnsi="MS PGothic"/>
          <w:sz w:val="21"/>
          <w:szCs w:val="21"/>
          <w:color w:val="auto"/>
        </w:rPr>
        <w:t>‑</w:t>
      </w:r>
      <w:r>
        <w:rPr>
          <w:rFonts w:ascii="Arial" w:cs="Arial" w:eastAsia="Arial" w:hAnsi="Arial"/>
          <w:sz w:val="21"/>
          <w:szCs w:val="21"/>
          <w:color w:val="auto"/>
        </w:rPr>
        <w:t xml:space="preserve">eight (28), ninety-one (91) or one hundred eighty two (182) days thereafter) (in each case, subject to availability for the interest rate applicable to the relevant currency), as selected by Toro in its Loan Notice;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238" w:lineRule="exact"/>
        <w:rPr>
          <w:rFonts w:ascii="Arial" w:cs="Arial" w:eastAsia="Arial" w:hAnsi="Arial"/>
          <w:sz w:val="21"/>
          <w:szCs w:val="21"/>
          <w:color w:val="auto"/>
        </w:rPr>
      </w:pPr>
    </w:p>
    <w:p>
      <w:pPr>
        <w:jc w:val="both"/>
        <w:ind w:left="660" w:firstLine="645"/>
        <w:spacing w:after="0" w:line="253" w:lineRule="auto"/>
        <w:tabs>
          <w:tab w:leader="none" w:pos="1765" w:val="left"/>
        </w:tabs>
        <w:numPr>
          <w:ilvl w:val="1"/>
          <w:numId w:val="16"/>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5" w:lineRule="exact"/>
        <w:rPr>
          <w:rFonts w:ascii="Arial" w:cs="Arial" w:eastAsia="Arial" w:hAnsi="Arial"/>
          <w:sz w:val="22"/>
          <w:szCs w:val="22"/>
          <w:color w:val="auto"/>
        </w:rPr>
      </w:pPr>
    </w:p>
    <w:p>
      <w:pPr>
        <w:jc w:val="both"/>
        <w:ind w:left="660" w:firstLine="645"/>
        <w:spacing w:after="0" w:line="253" w:lineRule="auto"/>
        <w:tabs>
          <w:tab w:leader="none" w:pos="1805" w:val="left"/>
        </w:tabs>
        <w:numPr>
          <w:ilvl w:val="1"/>
          <w:numId w:val="16"/>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Arial" w:cs="Arial" w:eastAsia="Arial" w:hAnsi="Arial"/>
          <w:sz w:val="22"/>
          <w:szCs w:val="22"/>
          <w:color w:val="auto"/>
        </w:rPr>
      </w:pPr>
    </w:p>
    <w:p>
      <w:pPr>
        <w:ind w:left="1840" w:hanging="535"/>
        <w:spacing w:after="0"/>
        <w:tabs>
          <w:tab w:leader="none" w:pos="18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no Interest Period shall extend beyond the Maturity Date.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Documents</w:t>
      </w:r>
      <w:r>
        <w:rPr>
          <w:rFonts w:ascii="Arial" w:cs="Arial" w:eastAsia="Arial" w:hAnsi="Arial"/>
          <w:sz w:val="22"/>
          <w:szCs w:val="22"/>
          <w:color w:val="auto"/>
        </w:rPr>
        <w:t>” means with respect to any Letter of Credit, the Letter of Credit Application, and any other document, agreement and instrument entered into by the L/C Issuer and the L/C Parties or in favor of the L/C Issuer and relating to any such Letter of Credit.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w:t>
      </w:r>
      <w:r>
        <w:rPr>
          <w:rFonts w:ascii="Arial" w:cs="Arial" w:eastAsia="Arial" w:hAnsi="Arial"/>
          <w:sz w:val="22"/>
          <w:szCs w:val="22"/>
          <w:color w:val="auto"/>
        </w:rPr>
        <w:t>” means a corporation, partnership, limited liability company, joint venture or other similar legal arrangement (whether created by contract or conducted through a separate legal entity) now or hereafter formed or entered into by any of the Borrowers or any of their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31" w:name="page32"/>
    <w:bookmarkEnd w:id="31"/>
    <w:p>
      <w:pPr>
        <w:jc w:val="both"/>
        <w:spacing w:after="0" w:line="287" w:lineRule="auto"/>
        <w:rPr>
          <w:sz w:val="20"/>
          <w:szCs w:val="20"/>
          <w:color w:val="auto"/>
        </w:rPr>
      </w:pPr>
      <w:r>
        <w:rPr>
          <w:rFonts w:ascii="Arial" w:cs="Arial" w:eastAsia="Arial" w:hAnsi="Arial"/>
          <w:sz w:val="21"/>
          <w:szCs w:val="21"/>
          <w:color w:val="auto"/>
        </w:rPr>
        <w:t>Subsidiaries with another Person or in which the Borrowers or any of their Subsidiaries may invest in order to conduct or further a common venture or enterprise with such Person, the investment in which does not constitute an Acquisition.</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Laws</w:t>
      </w:r>
      <w:r>
        <w:rPr>
          <w:rFonts w:ascii="Arial" w:cs="Arial" w:eastAsia="Arial" w:hAnsi="Arial"/>
          <w:sz w:val="21"/>
          <w:szCs w:val="21"/>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Advance</w:t>
      </w:r>
      <w:r>
        <w:rPr>
          <w:rFonts w:ascii="Arial" w:cs="Arial" w:eastAsia="Arial" w:hAnsi="Arial"/>
          <w:sz w:val="22"/>
          <w:szCs w:val="22"/>
          <w:color w:val="auto"/>
        </w:rPr>
        <w:t>” means, with respect to each Lender, such Lender’s funding of its participation in any L/C Borrowing in accordance with its Applicable Percentage. All L/C Advances shall be denominated in Dollars.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Borrowing</w:t>
      </w:r>
      <w:r>
        <w:rPr>
          <w:rFonts w:ascii="Arial" w:cs="Arial" w:eastAsia="Arial" w:hAnsi="Arial"/>
          <w:sz w:val="19"/>
          <w:szCs w:val="19"/>
          <w:color w:val="auto"/>
        </w:rPr>
        <w:t>” means an extension of credit resulting from a drawing under any Letter of Credit which has not been reimbursed on the date when made or refinanced as a Committed Borrowing. All L/C Borrowings shall be denominated in Dollars, and in regards to Letters of Credit issued in an Alternative Currency, shall be the Dollar Equivalent thereof.</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Credit Extension</w:t>
      </w:r>
      <w:r>
        <w:rPr>
          <w:rFonts w:ascii="Arial" w:cs="Arial" w:eastAsia="Arial" w:hAnsi="Arial"/>
          <w:sz w:val="22"/>
          <w:szCs w:val="22"/>
          <w:color w:val="auto"/>
        </w:rPr>
        <w:t>” means, with respect to any Letter of Credit, the issuance thereof or extension of the expiry date thereof, or the increase of the amount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Issuer</w:t>
      </w:r>
      <w:r>
        <w:rPr>
          <w:rFonts w:ascii="Arial" w:cs="Arial" w:eastAsia="Arial" w:hAnsi="Arial"/>
          <w:sz w:val="22"/>
          <w:szCs w:val="22"/>
          <w:color w:val="auto"/>
        </w:rPr>
        <w:t xml:space="preserve">” means Bank of America in its capacity as issuer of Letters of Credit hereunder, or any successor issuer of Letters of Credit hereunder, </w:t>
      </w:r>
      <w:r>
        <w:rPr>
          <w:rFonts w:ascii="Arial" w:cs="Arial" w:eastAsia="Arial" w:hAnsi="Arial"/>
          <w:sz w:val="19"/>
          <w:szCs w:val="19"/>
          <w:color w:val="auto"/>
        </w:rPr>
        <w:t>in each case, with the commitments of each L/C Issuer as set forth in</w:t>
      </w:r>
      <w:r>
        <w:rPr>
          <w:rFonts w:ascii="Arial" w:cs="Arial" w:eastAsia="Arial" w:hAnsi="Arial"/>
          <w:sz w:val="22"/>
          <w:szCs w:val="22"/>
          <w:color w:val="auto"/>
        </w:rPr>
        <w:t xml:space="preserve"> </w:t>
      </w:r>
      <w:r>
        <w:rPr>
          <w:rFonts w:ascii="Arial" w:cs="Arial" w:eastAsia="Arial" w:hAnsi="Arial"/>
          <w:sz w:val="19"/>
          <w:szCs w:val="19"/>
          <w:u w:val="single" w:color="auto"/>
          <w:color w:val="auto"/>
        </w:rPr>
        <w:t>Schedule 2.01</w:t>
      </w:r>
      <w:r>
        <w:rPr>
          <w:rFonts w:ascii="Arial" w:cs="Arial" w:eastAsia="Arial" w:hAnsi="Arial"/>
          <w:sz w:val="19"/>
          <w:szCs w:val="19"/>
          <w:color w:val="auto"/>
        </w:rPr>
        <w:t>.</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Obligations</w:t>
      </w:r>
      <w:r>
        <w:rPr>
          <w:rFonts w:ascii="Arial" w:cs="Arial" w:eastAsia="Arial" w:hAnsi="Arial"/>
          <w:sz w:val="21"/>
          <w:szCs w:val="21"/>
          <w:color w:val="auto"/>
        </w:rPr>
        <w:t xml:space="preserve">” means, as at any date of determination, the aggregate amount available to be drawn under all outstanding Letters of Credit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1"/>
          <w:szCs w:val="21"/>
          <w:u w:val="single" w:color="auto"/>
          <w:color w:val="auto"/>
        </w:rPr>
        <w:t>Section 1.08</w:t>
      </w:r>
      <w:r>
        <w:rPr>
          <w:rFonts w:ascii="Arial" w:cs="Arial" w:eastAsia="Arial" w:hAnsi="Arial"/>
          <w:sz w:val="21"/>
          <w:szCs w:val="21"/>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Parties</w:t>
      </w:r>
      <w:r>
        <w:rPr>
          <w:rFonts w:ascii="Arial" w:cs="Arial" w:eastAsia="Arial" w:hAnsi="Arial"/>
          <w:sz w:val="22"/>
          <w:szCs w:val="22"/>
          <w:color w:val="auto"/>
        </w:rPr>
        <w:t>” means, collectively, Toro and its Subsidiaries.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has the meaning specified in the introductory paragraph hereto and, as the context requires, includes the Swing Line Lender.</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of such Lender described as such in such Lender’s Administrative Questionnaire, or such other office or offices as a Lender may from time to time notify Toro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means any standby letter of credit issued hereunder and shall include the Existing Letters of Credit.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Letters of Credit may be issued in Dollars or in an Alternative Currency.</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the L/C Issuer.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Expiration Date</w:t>
      </w:r>
      <w:r>
        <w:rPr>
          <w:rFonts w:ascii="Arial" w:cs="Arial" w:eastAsia="Arial" w:hAnsi="Arial"/>
          <w:sz w:val="22"/>
          <w:szCs w:val="22"/>
          <w:color w:val="auto"/>
        </w:rPr>
        <w:t>” means the day that is seven days prior to the Maturity Date then in effect (or, if such day is not a Business Day, the next preceding Business Day).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2.03(h)</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Sublimit</w:t>
      </w:r>
      <w:r>
        <w:rPr>
          <w:rFonts w:ascii="Arial" w:cs="Arial" w:eastAsia="Arial" w:hAnsi="Arial"/>
          <w:sz w:val="19"/>
          <w:szCs w:val="19"/>
          <w:color w:val="auto"/>
        </w:rPr>
        <w:t>” means an amount equal to the lesser of (a) $10,000,000 and (b) the Aggregate Commitments.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Letter of Credit Sublimit is part of, and not in addition to, the Aggregate Commitments.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Leverage Ratio</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w:t>
      </w:r>
      <w:r>
        <w:rPr>
          <w:rFonts w:ascii="Arial" w:cs="Arial" w:eastAsia="Arial" w:hAnsi="Arial"/>
          <w:sz w:val="22"/>
          <w:szCs w:val="22"/>
          <w:color w:val="auto"/>
        </w:rPr>
        <w:t>” has the meaning specified in the definition of LIBOR Screen Rate.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Quoted Currency</w:t>
      </w:r>
      <w:r>
        <w:rPr>
          <w:rFonts w:ascii="Arial" w:cs="Arial" w:eastAsia="Arial" w:hAnsi="Arial"/>
          <w:sz w:val="22"/>
          <w:szCs w:val="22"/>
          <w:color w:val="auto"/>
        </w:rPr>
        <w:t>” means each of the following currencies: Dollars; Euro; and Sterling; in each case as long as there is a published LIBOR rate with respect thereto.</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Screen Rate</w:t>
      </w:r>
      <w:r>
        <w:rPr>
          <w:rFonts w:ascii="Arial" w:cs="Arial" w:eastAsia="Arial" w:hAnsi="Arial"/>
          <w:sz w:val="19"/>
          <w:szCs w:val="19"/>
          <w:color w:val="auto"/>
        </w:rPr>
        <w:t>” means the rate per annum equal to the London Interbank Offered Rate (“</w:t>
      </w:r>
      <w:r>
        <w:rPr>
          <w:rFonts w:ascii="Arial" w:cs="Arial" w:eastAsia="Arial" w:hAnsi="Arial"/>
          <w:sz w:val="19"/>
          <w:szCs w:val="19"/>
          <w:u w:val="single" w:color="auto"/>
          <w:color w:val="auto"/>
        </w:rPr>
        <w:t>LIBOR</w:t>
      </w:r>
      <w:r>
        <w:rPr>
          <w:rFonts w:ascii="Arial" w:cs="Arial" w:eastAsia="Arial" w:hAnsi="Arial"/>
          <w:sz w:val="19"/>
          <w:szCs w:val="19"/>
          <w:color w:val="auto"/>
        </w:rPr>
        <w:t>”) or a comparable or successor rate, which rate is approved by the Administrative Agent, as published on the applicable Bloomberg screen page or other applicable screen page the Administrative Agent designates to determine LIBOR (or such other commercially available source providing such quotations as may be designated by the Administrative Agent from time to time).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Successor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3.03(b)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Successor Rate Conforming Changes</w:t>
      </w:r>
      <w:r>
        <w:rPr>
          <w:rFonts w:ascii="Arial" w:cs="Arial" w:eastAsia="Arial" w:hAnsi="Arial"/>
          <w:sz w:val="19"/>
          <w:szCs w:val="19"/>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Toro).</w:t>
      </w:r>
    </w:p>
    <w:p>
      <w:pPr>
        <w:spacing w:after="0" w:line="15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22"/>
          <w:szCs w:val="22"/>
          <w:color w:val="auto"/>
        </w:rPr>
        <w:t>other encumbrance on title to real property, and any financing lease having substantially the same economic effect as any of the foregoing).</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xml:space="preserve">” means an extension of credit by a Lender to a Borrower under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in the form of a Committed Loan or a Swing Line Loan.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means this Agreement, each Designated Borrower Request and Assumption Agreement, each Note, each Issuer Document, any agreement creating or perfecting rights in Cash Collateral pursuant to the provisions of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of this Agreement and the Fee Letters.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Notice</w:t>
      </w:r>
      <w:r>
        <w:rPr>
          <w:rFonts w:ascii="Arial" w:cs="Arial" w:eastAsia="Arial" w:hAnsi="Arial"/>
          <w:sz w:val="22"/>
          <w:szCs w:val="22"/>
          <w:color w:val="auto"/>
        </w:rPr>
        <w:t xml:space="preserve">” means a notice of (a) Committed Borrowing, (b) a conversion of Committed Loans from one Type to the other, or (c) a continuation of Eurocurrecy Rate Loans, pursuant to </w:t>
      </w:r>
      <w:r>
        <w:rPr>
          <w:rFonts w:ascii="Arial" w:cs="Arial" w:eastAsia="Arial" w:hAnsi="Arial"/>
          <w:sz w:val="22"/>
          <w:szCs w:val="22"/>
          <w:u w:val="single" w:color="auto"/>
          <w:color w:val="auto"/>
        </w:rPr>
        <w:t>Section 2.02(a)</w:t>
      </w:r>
      <w:r>
        <w:rPr>
          <w:rFonts w:ascii="Arial" w:cs="Arial" w:eastAsia="Arial" w:hAnsi="Arial"/>
          <w:sz w:val="22"/>
          <w:szCs w:val="22"/>
          <w:color w:val="auto"/>
        </w:rPr>
        <w:t xml:space="preserve">, which shall be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Toro.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collectively, Toro and each Subsidiary Borrower.</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London Banking Day</w:t>
      </w:r>
      <w:r>
        <w:rPr>
          <w:rFonts w:ascii="Arial" w:cs="Arial" w:eastAsia="Arial" w:hAnsi="Arial"/>
          <w:sz w:val="22"/>
          <w:szCs w:val="22"/>
          <w:color w:val="auto"/>
        </w:rPr>
        <w:t>” means any day on which dealings in Dollar deposits are conducted by and between banks in the London interbank eurodollar market.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means “margin stock” as such term is defined in Regulation T, U or X of the FRB.</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 a material impairment of the ability of any Loan Party to perform its obligations under any Loan Document to which it is a party, (b) a material adverse effect upon the legality, validity, binding effect or enforceability against any Loan Party of any Loan Document to which it is a party, or (c) solely with respect to the provisions of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and the representations and warranties to be made on the Closing Date, a material adverse change in, or a material adverse effect on, the operations, business, assets, or condition (financial or otherwise) of Toro or Toro and its Subsidiaries, taken as a whole.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Disposition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1.03(e)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xml:space="preserve">” means, at any time of determination, any Subsidiary having at such time either (i) 10% or more of the net book value of the consolidated total assets of Toro and its Subsidiaries as of the last day of the preceding fiscal quarter or (ii) 5% or more of the consolidated total (gross) revenues of Toro and its Subsidiaries for the preceding four fiscal quarter period, in each case, based upon Toro’s most recent annual or quarterly financial statements delivered to the Lenders under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means June 19, 2023;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each case, if such date is not a Business Day, the Maturity Date shall be the next preceding Business Day.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Mexican Peso</w:t>
      </w:r>
      <w:r>
        <w:rPr>
          <w:rFonts w:ascii="Arial" w:cs="Arial" w:eastAsia="Arial" w:hAnsi="Arial"/>
          <w:sz w:val="22"/>
          <w:szCs w:val="22"/>
          <w:color w:val="auto"/>
        </w:rPr>
        <w:t>” means the lawful currency of Mexico.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34" w:name="page35"/>
    <w:bookmarkEnd w:id="34"/>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Collateral Amount</w:t>
      </w:r>
      <w:r>
        <w:rPr>
          <w:rFonts w:ascii="Arial" w:cs="Arial" w:eastAsia="Arial" w:hAnsi="Arial"/>
          <w:sz w:val="19"/>
          <w:szCs w:val="19"/>
          <w:color w:val="auto"/>
        </w:rPr>
        <w:t xml:space="preserve">” means, at any time, (i) with respect to Cash Collateral consisting of cash or deposit account balances provided to reduce or eliminate Fronting Exposure during the existence of a Defaulting Lender that is a Lender, an amount equal to 105% of the Fronting Exposure of the L/C Issuer with respect to Letters of Credit issued and outstanding at such time, (ii) with respect to Cash Collateral consisting of cash or deposit account balances provided in accordance with the provisions of </w:t>
      </w:r>
      <w:r>
        <w:rPr>
          <w:rFonts w:ascii="Arial" w:cs="Arial" w:eastAsia="Arial" w:hAnsi="Arial"/>
          <w:sz w:val="19"/>
          <w:szCs w:val="19"/>
          <w:u w:val="single" w:color="auto"/>
          <w:color w:val="auto"/>
        </w:rPr>
        <w:t>Section 2.15(a)(i)</w:t>
      </w:r>
      <w:r>
        <w:rPr>
          <w:rFonts w:ascii="Arial" w:cs="Arial" w:eastAsia="Arial" w:hAnsi="Arial"/>
          <w:sz w:val="19"/>
          <w:szCs w:val="19"/>
          <w:color w:val="auto"/>
        </w:rPr>
        <w:t xml:space="preserve">, </w:t>
      </w:r>
      <w:r>
        <w:rPr>
          <w:rFonts w:ascii="Arial" w:cs="Arial" w:eastAsia="Arial" w:hAnsi="Arial"/>
          <w:sz w:val="19"/>
          <w:szCs w:val="19"/>
          <w:u w:val="single" w:color="auto"/>
          <w:color w:val="auto"/>
        </w:rPr>
        <w:t>(a)(ii)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(a)(iii)</w:t>
      </w:r>
      <w:r>
        <w:rPr>
          <w:rFonts w:ascii="Arial" w:cs="Arial" w:eastAsia="Arial" w:hAnsi="Arial"/>
          <w:sz w:val="19"/>
          <w:szCs w:val="19"/>
          <w:color w:val="auto"/>
        </w:rPr>
        <w:t>, an amount equal to 105% of the Outstanding Amount of all LC Obligations, and (iii) otherwise, an amount determined by the Administrative Agent and the L/C Issuer in their sole discretion.</w:t>
      </w:r>
    </w:p>
    <w:p>
      <w:pPr>
        <w:spacing w:after="0" w:line="15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MLPFS</w:t>
      </w:r>
      <w:r>
        <w:rPr>
          <w:rFonts w:ascii="Arial" w:cs="Arial" w:eastAsia="Arial" w:hAnsi="Arial"/>
          <w:sz w:val="19"/>
          <w:szCs w:val="19"/>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Multiple Employer Plan</w:t>
      </w:r>
      <w:r>
        <w:rPr>
          <w:rFonts w:ascii="Arial" w:cs="Arial" w:eastAsia="Arial" w:hAnsi="Arial"/>
          <w:sz w:val="21"/>
          <w:szCs w:val="21"/>
          <w:color w:val="auto"/>
        </w:rPr>
        <w:t>” means a Plan which has two or more contributing sponsors (including any Borrower or any ERISA Affiliate) at least two of whom are not under common control, as such a plan is described in Section 4064 of ERISA.</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each Lender that is not a Defaulting Lender at such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Non-LIBOR Quoted Currency</w:t>
      </w:r>
      <w:r>
        <w:rPr>
          <w:rFonts w:ascii="Arial" w:cs="Arial" w:eastAsia="Arial" w:hAnsi="Arial"/>
          <w:sz w:val="22"/>
          <w:szCs w:val="22"/>
          <w:color w:val="auto"/>
        </w:rPr>
        <w:t>” means any currency other than a LIBOR Quoted Currency.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means a promissory note made by a Borrower in favor of a Lender evidencing Loans made by such Lender,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United States Department of the Treasury.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35" w:name="page36"/>
    <w:bookmarkEnd w:id="35"/>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Organization Documents</w:t>
      </w:r>
      <w:r>
        <w:rPr>
          <w:rFonts w:ascii="Arial" w:cs="Arial" w:eastAsia="Arial" w:hAnsi="Arial"/>
          <w:sz w:val="21"/>
          <w:szCs w:val="21"/>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Originators</w:t>
      </w:r>
      <w:r>
        <w:rPr>
          <w:rFonts w:ascii="Arial" w:cs="Arial" w:eastAsia="Arial" w:hAnsi="Arial"/>
          <w:sz w:val="22"/>
          <w:szCs w:val="22"/>
          <w:color w:val="auto"/>
        </w:rPr>
        <w:t>” means any Borrower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Outstanding Amount</w:t>
      </w:r>
      <w:r>
        <w:rPr>
          <w:rFonts w:ascii="Arial" w:cs="Arial" w:eastAsia="Arial" w:hAnsi="Arial"/>
          <w:sz w:val="21"/>
          <w:szCs w:val="21"/>
          <w:color w:val="auto"/>
        </w:rPr>
        <w:t>” means (a) with respect to Committed Loans on any date, the Dollar Equivalent amount of the aggregate outstanding principal amount thereof after giving effect to any borrowings and prepayments or repayments of such Committed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Rate</w:t>
      </w:r>
      <w:r>
        <w:rPr>
          <w:rFonts w:ascii="Arial" w:cs="Arial" w:eastAsia="Arial" w:hAnsi="Arial"/>
          <w:sz w:val="22"/>
          <w:szCs w:val="22"/>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36" w:name="page37"/>
    <w:bookmarkEnd w:id="36"/>
    <w:p>
      <w:pPr>
        <w:jc w:val="both"/>
        <w:spacing w:after="0" w:line="287" w:lineRule="auto"/>
        <w:rPr>
          <w:sz w:val="20"/>
          <w:szCs w:val="20"/>
          <w:color w:val="auto"/>
        </w:rPr>
      </w:pPr>
      <w:r>
        <w:rPr>
          <w:rFonts w:ascii="Arial" w:cs="Arial" w:eastAsia="Arial" w:hAnsi="Arial"/>
          <w:sz w:val="21"/>
          <w:szCs w:val="21"/>
          <w:color w:val="auto"/>
        </w:rPr>
        <w:t>the amount with respect to which such rate is being determined, would be offered for such day by a branch or Affiliate of Bank of America in the applicable offshore interbank market for such currency to major banks in such interbank market.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Member State</w:t>
      </w:r>
      <w:r>
        <w:rPr>
          <w:rFonts w:ascii="Arial" w:cs="Arial" w:eastAsia="Arial" w:hAnsi="Arial"/>
          <w:sz w:val="22"/>
          <w:szCs w:val="22"/>
          <w:color w:val="auto"/>
        </w:rPr>
        <w:t>” means any member state of the European Union that has the Euro as its lawful currency in accordance with legislation of the European Union relating to Economic and Monetary Union.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Act</w:t>
      </w:r>
      <w:r>
        <w:rPr>
          <w:rFonts w:ascii="Arial" w:cs="Arial" w:eastAsia="Arial" w:hAnsi="Arial"/>
          <w:sz w:val="22"/>
          <w:szCs w:val="22"/>
          <w:color w:val="auto"/>
        </w:rPr>
        <w:t>” means the Pension Protection Act of 2006.</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Pension Funding Rules</w:t>
      </w:r>
      <w:r>
        <w:rPr>
          <w:rFonts w:ascii="Arial" w:cs="Arial" w:eastAsia="Arial" w:hAnsi="Arial"/>
          <w:sz w:val="21"/>
          <w:szCs w:val="21"/>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Plan</w:t>
      </w:r>
      <w:r>
        <w:rPr>
          <w:rFonts w:ascii="Arial" w:cs="Arial" w:eastAsia="Arial" w:hAnsi="Arial"/>
          <w:sz w:val="22"/>
          <w:szCs w:val="22"/>
          <w:color w:val="auto"/>
        </w:rPr>
        <w:t>” means any employee pension benefit plan (including a Multiple Employer Plan or a Multiemployer Plan) that is maintained or is contributed to by any Borrower or any ERISA Affiliate and is either covered by Title IV of ERISA or is subject to the minimum funding standards under Section 412 of the Code.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Receivables Transfer</w:t>
      </w:r>
      <w:r>
        <w:rPr>
          <w:rFonts w:ascii="Arial" w:cs="Arial" w:eastAsia="Arial" w:hAnsi="Arial"/>
          <w:sz w:val="22"/>
          <w:szCs w:val="22"/>
          <w:color w:val="auto"/>
        </w:rPr>
        <w:t xml:space="preserve">” means (i) a sale or other transfer by an Originator to an SPV of Receivables for fair market value and without recourse (except for limited recourse typical of such structured finance transactions), and/or (ii) a sale or other transfer by an SPV to (a) purchasers of or other investors in such Receivables and related security or (b) any other Person (including an SPV) in a transaction in which purchasers or other investors purchase or are otherwise transferred such Receivables and related security, in the case of either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above pursuant to and in accordance with the terms of the documents related to any Receivables Purchase Facility.</w:t>
      </w:r>
    </w:p>
    <w:p>
      <w:pPr>
        <w:spacing w:after="0" w:line="19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Swap Obligation</w:t>
      </w:r>
      <w:r>
        <w:rPr>
          <w:rFonts w:ascii="Arial" w:cs="Arial" w:eastAsia="Arial" w:hAnsi="Arial"/>
          <w:sz w:val="19"/>
          <w:szCs w:val="19"/>
          <w:color w:val="auto"/>
        </w:rPr>
        <w:t>” means all obligations (contingent or otherwise) of any Borrower or any Subsidiary existing or arising under Swap Contracts, provided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37" w:name="page38"/>
    <w:bookmarkEnd w:id="37"/>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benefit plan within the meaning of Section 3(3) of ERISA (including a Pension Plan), maintained for employees of any Borrower or any ERISA Affiliate or any such Plan to which any Borrower or any ERISA Affiliate is required to contribute on behalf of any of its employees.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Rate Determination Date</w:t>
      </w:r>
      <w:r>
        <w:rPr>
          <w:rFonts w:ascii="Arial" w:cs="Arial" w:eastAsia="Arial" w:hAnsi="Arial"/>
          <w:sz w:val="21"/>
          <w:szCs w:val="21"/>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such market practice is not administratively feasible for the Administrative Agent, such other day as otherwise reasonably determined by the Administrative Agent).</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w:t>
      </w:r>
      <w:r>
        <w:rPr>
          <w:rFonts w:ascii="Arial" w:cs="Arial" w:eastAsia="Arial" w:hAnsi="Arial"/>
          <w:sz w:val="19"/>
          <w:szCs w:val="19"/>
          <w:color w:val="auto"/>
        </w:rPr>
        <w:t>”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Receivables Purchase Facility</w:t>
      </w:r>
      <w:r>
        <w:rPr>
          <w:rFonts w:ascii="Arial" w:cs="Arial" w:eastAsia="Arial" w:hAnsi="Arial"/>
          <w:sz w:val="21"/>
          <w:szCs w:val="21"/>
          <w:color w:val="auto"/>
        </w:rPr>
        <w:t>” shall mean any agreement of any Originator, approved by the Administrative Agent (such approval not to be unreasonably withheld), providing for sales, transfers or 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the Administrative Agent, any Lender, the L/C Issuer or any other recipient of any payment to be made by or on account of any obligation of any Loan Party hereunder.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38" w:name="page39"/>
    <w:bookmarkEnd w:id="38"/>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Records</w:t>
      </w:r>
      <w:r>
        <w:rPr>
          <w:rFonts w:ascii="Arial" w:cs="Arial" w:eastAsia="Arial" w:hAnsi="Arial"/>
          <w:sz w:val="19"/>
          <w:szCs w:val="19"/>
          <w:color w:val="auto"/>
        </w:rPr>
        <w:t>” means, for any Receivable, all contracts, books, records and other documents or information (including computer programs, tapes, disks, software and related property and rights) relating to such Receivable or the related obligor.</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Red Iron</w:t>
      </w:r>
      <w:r>
        <w:rPr>
          <w:rFonts w:ascii="Arial" w:cs="Arial" w:eastAsia="Arial" w:hAnsi="Arial"/>
          <w:sz w:val="21"/>
          <w:szCs w:val="21"/>
          <w:color w:val="auto"/>
        </w:rPr>
        <w:t>” means Red Iron Acceptance, LLC, a Delaware limited liability company. For avoidance of doubt, for so long as Red Iron is governed by the Red Iron LLC Agreement as in effect on the Closing Date, except for amendments that do not change the ownership interests of its members or materially change the overall management structure of Red Iron in a manner that would cause Red Iron to be considered a Subsidiary of Toro, any obligations of Red Iron shall not be considered an obligation of Toro or Red Iron Holding Corporation, a Delaware corporation.</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 Iron LLC Agreement</w:t>
      </w:r>
      <w:r>
        <w:rPr>
          <w:rFonts w:ascii="Arial" w:cs="Arial" w:eastAsia="Arial" w:hAnsi="Arial"/>
          <w:sz w:val="22"/>
          <w:szCs w:val="22"/>
          <w:color w:val="auto"/>
        </w:rPr>
        <w:t>” means that certain limited liability company agreement of Red Iron Acceptance, LLC, dated as of August 12, 2009 and as amended as of May 31, 2011, as of June 6, 2012 and as of November 29, 2016, by and among Red Iron Holding Corporation, a Delaware corporation and a Subsidiary of Toro, and TCFIF Joint Venture I, LLC, a Minnesota limited liability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 Iron/TCF Repurchase Obligations</w:t>
      </w:r>
      <w:r>
        <w:rPr>
          <w:rFonts w:ascii="Arial" w:cs="Arial" w:eastAsia="Arial" w:hAnsi="Arial"/>
          <w:sz w:val="22"/>
          <w:szCs w:val="22"/>
          <w:color w:val="auto"/>
        </w:rPr>
        <w:t>” has the meaning specified in the definition of “Indebtedness”.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Person, such Person’s Affiliates and the partners, directors, officers, employees, agents, trustees and advisors of such Person and of such Person’s Affiliates.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any of the events set forth in Section 4043(c) of ERISA, other than events for which the 30 day notice period has been waived.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 for Credit Extension</w:t>
      </w:r>
      <w:r>
        <w:rPr>
          <w:rFonts w:ascii="Arial" w:cs="Arial" w:eastAsia="Arial" w:hAnsi="Arial"/>
          <w:sz w:val="22"/>
          <w:szCs w:val="22"/>
          <w:color w:val="auto"/>
        </w:rPr>
        <w:t>” means (a) with respect to a Borrowing, conversion or continuation of Committed Loans, a Loan Notice, (b) with respect to an L/C Credit Extension, a Letter of Credit Application, and (c) with respect to a Swing Line Loan, a Swing Line Loan Notice.</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means, as of any date of determination, Lenders having Total Credit Exposures representing more than 50% of the Total Credit Exposures of all Lenders. The Total Credit Exposure of any Defaulting Lender which is a Lender shall be disregarded in determining Required Lenders at any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(a) the secretary, treasurer or assistant treasurer of a Loan Party, with respect to Toro Luxembourg, any manager (gérant) of the Luxembourg Subsidiary duly authorized for the purposes thereof or any authorized signatory duly appointed for the purpose therefor, and any other officer having substantially the same authority and responsibility;</w:t>
      </w:r>
    </w:p>
    <w:p>
      <w:pPr>
        <w:spacing w:after="0" w:line="1" w:lineRule="exact"/>
        <w:rPr>
          <w:sz w:val="20"/>
          <w:szCs w:val="20"/>
          <w:color w:val="auto"/>
        </w:rPr>
      </w:pPr>
    </w:p>
    <w:p>
      <w:pPr>
        <w:ind w:left="5600" w:right="4940" w:hanging="5592"/>
        <w:spacing w:after="0" w:line="534" w:lineRule="auto"/>
        <w:tabs>
          <w:tab w:leader="none" w:pos="308" w:val="left"/>
        </w:tabs>
        <w:numPr>
          <w:ilvl w:val="0"/>
          <w:numId w:val="17"/>
        </w:numPr>
        <w:rPr>
          <w:rFonts w:ascii="Arial" w:cs="Arial" w:eastAsia="Arial" w:hAnsi="Arial"/>
          <w:sz w:val="19"/>
          <w:szCs w:val="19"/>
          <w:color w:val="auto"/>
        </w:rPr>
      </w:pPr>
      <w:r>
        <w:rPr>
          <w:rFonts w:ascii="Arial" w:cs="Arial" w:eastAsia="Arial" w:hAnsi="Arial"/>
          <w:sz w:val="19"/>
          <w:szCs w:val="19"/>
          <w:color w:val="auto"/>
        </w:rPr>
        <w:t>with respect to compliance with financial covenants, the chief financial 27</w:t>
      </w:r>
    </w:p>
    <w:p>
      <w:pPr>
        <w:sectPr>
          <w:pgSz w:w="11900" w:h="16838" w:orient="portrait"/>
          <w:cols w:equalWidth="0" w:num="1">
            <w:col w:w="11420"/>
          </w:cols>
          <w:pgMar w:left="240" w:top="631" w:right="239" w:bottom="1440" w:gutter="0" w:footer="0" w:header="0"/>
        </w:sectPr>
      </w:pPr>
    </w:p>
    <w:bookmarkStart w:id="39" w:name="page40"/>
    <w:bookmarkEnd w:id="39"/>
    <w:p>
      <w:pPr>
        <w:jc w:val="both"/>
        <w:spacing w:after="0" w:line="292" w:lineRule="auto"/>
        <w:rPr>
          <w:sz w:val="20"/>
          <w:szCs w:val="20"/>
          <w:color w:val="auto"/>
        </w:rPr>
      </w:pPr>
      <w:r>
        <w:rPr>
          <w:rFonts w:ascii="Arial" w:cs="Arial" w:eastAsia="Arial" w:hAnsi="Arial"/>
          <w:sz w:val="19"/>
          <w:szCs w:val="19"/>
          <w:color w:val="auto"/>
        </w:rPr>
        <w:t xml:space="preserve">officer, corporate controller, the treasurer or assistant treasurer of a Loan Party, or any other officer having substantially the same authority and responsibility; or (c) and, solely for purposes of notices given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the assistant treasurer or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Revaluation Date</w:t>
      </w:r>
      <w:r>
        <w:rPr>
          <w:rFonts w:ascii="Arial" w:cs="Arial" w:eastAsia="Arial" w:hAnsi="Arial"/>
          <w:sz w:val="19"/>
          <w:szCs w:val="19"/>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9"/>
          <w:szCs w:val="19"/>
          <w:u w:val="single" w:color="auto"/>
          <w:color w:val="auto"/>
        </w:rPr>
        <w:t>Section 2.02</w:t>
      </w:r>
      <w:r>
        <w:rPr>
          <w:rFonts w:ascii="Arial" w:cs="Arial" w:eastAsia="Arial" w:hAnsi="Arial"/>
          <w:sz w:val="19"/>
          <w:szCs w:val="19"/>
          <w:color w:val="auto"/>
        </w:rPr>
        <w:t>, and (iii)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L/C Issuer under any Letter of Credit denominated in an Alternative Currency, (iv) in the case of all Existing Letters of Credit denominated in Alternative Currencies, the Closing Date, and (v) such additional dates as the Administrative Agent or the L/C Issuer shall determine or the Required Lenders shall require.</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w:t>
      </w:r>
      <w:r>
        <w:rPr>
          <w:rFonts w:ascii="Arial" w:cs="Arial" w:eastAsia="Arial" w:hAnsi="Arial"/>
          <w:sz w:val="22"/>
          <w:szCs w:val="22"/>
          <w:color w:val="auto"/>
        </w:rPr>
        <w:t>” means, as to any Lender at any time, the aggregate Outstanding Amount at such time of its Committed Loans and the aggregate Outstanding Amount of such Lender’s participation in L/C Obligations and Swing Line Loans at such time.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Financial Services LLC, a subsidiary of The McGraw-Hill Companies, Inc. and any successor thereto.</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Same Day Funds</w:t>
      </w:r>
      <w:r>
        <w:rPr>
          <w:rFonts w:ascii="Arial" w:cs="Arial" w:eastAsia="Arial" w:hAnsi="Arial"/>
          <w:sz w:val="21"/>
          <w:szCs w:val="21"/>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Scheduled Unavailability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3.03(b)</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40" w:name="page41"/>
    <w:bookmarkEnd w:id="40"/>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Notice Currency</w:t>
      </w:r>
      <w:r>
        <w:rPr>
          <w:rFonts w:ascii="Arial" w:cs="Arial" w:eastAsia="Arial" w:hAnsi="Arial"/>
          <w:sz w:val="21"/>
          <w:szCs w:val="21"/>
          <w:color w:val="auto"/>
        </w:rPr>
        <w:t>” means at any time an Alternative Currency, other than the currency of a country that is a member of the Organization for Economic Cooperation and Development at such time located in North America or Europe.</w:t>
      </w:r>
    </w:p>
    <w:p>
      <w:pPr>
        <w:spacing w:after="0" w:line="1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Spot Rate</w:t>
      </w:r>
      <w:r>
        <w:rPr>
          <w:rFonts w:ascii="Arial" w:cs="Arial" w:eastAsia="Arial" w:hAnsi="Arial"/>
          <w:sz w:val="19"/>
          <w:szCs w:val="19"/>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L/C Issuer may use such spot rate quoted on the date as of which the foreign exchange computation is made in the case of any Letter of Credit denominated in an Alternative Currency.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SPV</w:t>
      </w:r>
      <w:r>
        <w:rPr>
          <w:rFonts w:ascii="Arial" w:cs="Arial" w:eastAsia="Arial" w:hAnsi="Arial"/>
          <w:sz w:val="22"/>
          <w:szCs w:val="22"/>
          <w:color w:val="auto"/>
        </w:rPr>
        <w:t>” means any special purpose entity established for the purpose of purchasing receivables in connection with a Receivables Purchase Facility.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the lawful currency of the United Kingdom.</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Toro.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Borrowers</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Surety Instruments</w:t>
      </w:r>
      <w:r>
        <w:rPr>
          <w:rFonts w:ascii="Arial" w:cs="Arial" w:eastAsia="Arial" w:hAnsi="Arial"/>
          <w:sz w:val="19"/>
          <w:szCs w:val="19"/>
          <w:color w:val="auto"/>
        </w:rPr>
        <w:t>” means all standby letters of credit, banker’s acceptances and bank guaranties not attributable to the purchase of supplies and inventory in the ordinary course of business and shipside bonds, surety bonds and similar instruments.</w:t>
      </w:r>
    </w:p>
    <w:p>
      <w:pPr>
        <w:spacing w:after="0" w:line="1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Contract</w:t>
      </w:r>
      <w:r>
        <w:rPr>
          <w:rFonts w:ascii="Arial" w:cs="Arial" w:eastAsia="Arial" w:hAnsi="Arial"/>
          <w:sz w:val="21"/>
          <w:szCs w:val="21"/>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41" w:name="page42"/>
    <w:bookmarkEnd w:id="41"/>
    <w:p>
      <w:pPr>
        <w:jc w:val="both"/>
        <w:spacing w:after="0" w:line="302" w:lineRule="auto"/>
        <w:rPr>
          <w:sz w:val="20"/>
          <w:szCs w:val="20"/>
          <w:color w:val="auto"/>
        </w:rPr>
      </w:pPr>
      <w:r>
        <w:rPr>
          <w:rFonts w:ascii="Arial" w:cs="Arial" w:eastAsia="Arial" w:hAnsi="Arial"/>
          <w:sz w:val="19"/>
          <w:szCs w:val="19"/>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Termination Value</w:t>
      </w:r>
      <w:r>
        <w:rPr>
          <w:rFonts w:ascii="Arial" w:cs="Arial" w:eastAsia="Arial" w:hAnsi="Arial"/>
          <w:sz w:val="19"/>
          <w:szCs w:val="19"/>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9"/>
          <w:szCs w:val="19"/>
          <w:u w:val="single" w:color="auto"/>
          <w:color w:val="auto"/>
        </w:rPr>
        <w:t>clause (a)</w:t>
      </w:r>
      <w:r>
        <w:rPr>
          <w:rFonts w:ascii="Arial" w:cs="Arial" w:eastAsia="Arial" w:hAnsi="Arial"/>
          <w:sz w:val="19"/>
          <w:szCs w:val="19"/>
          <w:color w:val="auto"/>
        </w:rPr>
        <w:t>, the amount(s) determined as the mark-to-market value(s) for such Swap Contracts in accordance with their terms, as determined based upon one or more mid-market or other readily available quotations provided by any recognized dealer in such Swap Contracts (which may include a Lender or any Affiliate of a Lender).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w:t>
      </w:r>
      <w:r>
        <w:rPr>
          <w:rFonts w:ascii="Arial" w:cs="Arial" w:eastAsia="Arial" w:hAnsi="Arial"/>
          <w:sz w:val="22"/>
          <w:szCs w:val="22"/>
          <w:color w:val="auto"/>
        </w:rPr>
        <w:t xml:space="preserve">” means the swing line facility made available by the Swing Line Lender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Borrowing</w:t>
      </w:r>
      <w:r>
        <w:rPr>
          <w:rFonts w:ascii="Arial" w:cs="Arial" w:eastAsia="Arial" w:hAnsi="Arial"/>
          <w:sz w:val="22"/>
          <w:szCs w:val="22"/>
          <w:color w:val="auto"/>
        </w:rPr>
        <w:t xml:space="preserve">” means a borrowing of a Swing Line Loan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Lender</w:t>
      </w:r>
      <w:r>
        <w:rPr>
          <w:rFonts w:ascii="Arial" w:cs="Arial" w:eastAsia="Arial" w:hAnsi="Arial"/>
          <w:sz w:val="22"/>
          <w:szCs w:val="22"/>
          <w:color w:val="auto"/>
        </w:rPr>
        <w:t xml:space="preserve">” means Bank of America in its capacity as provider of Swing Line Loans, or any successor swing line lender hereunder, with the commitments of each Swing Line Lender as set forth in </w:t>
      </w:r>
      <w:r>
        <w:rPr>
          <w:rFonts w:ascii="Arial" w:cs="Arial" w:eastAsia="Arial" w:hAnsi="Arial"/>
          <w:sz w:val="22"/>
          <w:szCs w:val="22"/>
          <w:u w:val="single" w:color="auto"/>
          <w:color w:val="auto"/>
        </w:rPr>
        <w:t>Schedule 2.01</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 Notice</w:t>
      </w:r>
      <w:r>
        <w:rPr>
          <w:rFonts w:ascii="Arial" w:cs="Arial" w:eastAsia="Arial" w:hAnsi="Arial"/>
          <w:sz w:val="22"/>
          <w:szCs w:val="22"/>
          <w:color w:val="auto"/>
        </w:rPr>
        <w:t xml:space="preserve">” means a notice of a Swing Line Borrowing pursuant to </w:t>
      </w:r>
      <w:r>
        <w:rPr>
          <w:rFonts w:ascii="Arial" w:cs="Arial" w:eastAsia="Arial" w:hAnsi="Arial"/>
          <w:sz w:val="22"/>
          <w:szCs w:val="22"/>
          <w:u w:val="single" w:color="auto"/>
          <w:color w:val="auto"/>
        </w:rPr>
        <w:t>Section 2.04(b)</w:t>
      </w:r>
      <w:r>
        <w:rPr>
          <w:rFonts w:ascii="Arial" w:cs="Arial" w:eastAsia="Arial" w:hAnsi="Arial"/>
          <w:sz w:val="22"/>
          <w:szCs w:val="22"/>
          <w:color w:val="auto"/>
        </w:rPr>
        <w:t xml:space="preserve">, which shall be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Toro.</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Sublimit</w:t>
      </w:r>
      <w:r>
        <w:rPr>
          <w:rFonts w:ascii="Arial" w:cs="Arial" w:eastAsia="Arial" w:hAnsi="Arial"/>
          <w:sz w:val="22"/>
          <w:szCs w:val="22"/>
          <w:color w:val="auto"/>
        </w:rPr>
        <w:t>” means an amount equal to the lesser of (a) $30,000,000 and (b) the Aggregate Commitments. The Swing Line Sublimit is part of, and not in addition to, the Aggregate Commitments.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Lease Obligation</w:t>
      </w:r>
      <w:r>
        <w:rPr>
          <w:rFonts w:ascii="Arial" w:cs="Arial" w:eastAsia="Arial" w:hAnsi="Arial"/>
          <w:sz w:val="22"/>
          <w:szCs w:val="22"/>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TARGET2</w:t>
      </w:r>
      <w:r>
        <w:rPr>
          <w:rFonts w:ascii="Arial" w:cs="Arial" w:eastAsia="Arial" w:hAnsi="Arial"/>
          <w:sz w:val="22"/>
          <w:szCs w:val="22"/>
          <w:color w:val="auto"/>
        </w:rPr>
        <w:t>” means the Trans-European Automated Real-time Gross Settlement Express Transfer payment system which utilizes a single shared platform and which was launched on November 19, 2007.</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42" w:name="page43"/>
    <w:bookmarkEnd w:id="42"/>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Day</w:t>
      </w:r>
      <w:r>
        <w:rPr>
          <w:rFonts w:ascii="Arial" w:cs="Arial" w:eastAsia="Arial" w:hAnsi="Arial"/>
          <w:sz w:val="22"/>
          <w:szCs w:val="22"/>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TCC</w:t>
      </w:r>
      <w:r>
        <w:rPr>
          <w:rFonts w:ascii="Arial" w:cs="Arial" w:eastAsia="Arial" w:hAnsi="Arial"/>
          <w:sz w:val="22"/>
          <w:szCs w:val="22"/>
          <w:color w:val="auto"/>
        </w:rPr>
        <w:t>” means Toro Credit Company, a Minnesota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TCF Canada</w:t>
      </w:r>
      <w:r>
        <w:rPr>
          <w:rFonts w:ascii="Arial" w:cs="Arial" w:eastAsia="Arial" w:hAnsi="Arial"/>
          <w:sz w:val="22"/>
          <w:szCs w:val="22"/>
          <w:color w:val="auto"/>
        </w:rPr>
        <w:t>” means TCF Commercial Finance Canada, Inc., a Canada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Toro</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Toro Luxembourg</w:t>
      </w:r>
      <w:r>
        <w:rPr>
          <w:rFonts w:ascii="Arial" w:cs="Arial" w:eastAsia="Arial" w:hAnsi="Arial"/>
          <w:sz w:val="22"/>
          <w:szCs w:val="22"/>
          <w:color w:val="auto"/>
        </w:rPr>
        <w:t>” has the meaning specified in the introductory paragraph 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Credit Exposure</w:t>
      </w:r>
      <w:r>
        <w:rPr>
          <w:rFonts w:ascii="Arial" w:cs="Arial" w:eastAsia="Arial" w:hAnsi="Arial"/>
          <w:sz w:val="22"/>
          <w:szCs w:val="22"/>
          <w:color w:val="auto"/>
        </w:rPr>
        <w:t>” means, as to any Lender at any time, the unused Commitments and Revolving Credit Exposure of such Lender at such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Outstandings</w:t>
      </w:r>
      <w:r>
        <w:rPr>
          <w:rFonts w:ascii="Arial" w:cs="Arial" w:eastAsia="Arial" w:hAnsi="Arial"/>
          <w:sz w:val="22"/>
          <w:szCs w:val="22"/>
          <w:color w:val="auto"/>
        </w:rPr>
        <w:t>” means the aggregate Outstanding Amount of all Loans and all L/C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means, with respect to a Committed Loan, its character as a Base Rate Loan or a Eurocurrency Rate Loan.</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Unfunded Pension Liability</w:t>
      </w:r>
      <w:r>
        <w:rPr>
          <w:rFonts w:ascii="Arial" w:cs="Arial" w:eastAsia="Arial" w:hAnsi="Arial"/>
          <w:sz w:val="22"/>
          <w:szCs w:val="22"/>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mean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Unreimbursed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2.03(c)(i)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Person</w:t>
      </w:r>
      <w:r>
        <w:rPr>
          <w:rFonts w:ascii="Arial" w:cs="Arial" w:eastAsia="Arial" w:hAnsi="Arial"/>
          <w:sz w:val="21"/>
          <w:szCs w:val="21"/>
          <w:color w:val="auto"/>
        </w:rPr>
        <w:t>” means any Person that is a “United States Person” as defined in Section 7701(a)(30) of the Code.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3.01(e)(ii)(B)(III)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Wells Fargo</w:t>
      </w:r>
      <w:r>
        <w:rPr>
          <w:rFonts w:ascii="Arial" w:cs="Arial" w:eastAsia="Arial" w:hAnsi="Arial"/>
          <w:sz w:val="22"/>
          <w:szCs w:val="22"/>
          <w:color w:val="auto"/>
        </w:rPr>
        <w:t>” means Wells Fargo Bank, National Association.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Wells Fargo Fee Letter</w:t>
      </w:r>
      <w:r>
        <w:rPr>
          <w:rFonts w:ascii="Arial" w:cs="Arial" w:eastAsia="Arial" w:hAnsi="Arial"/>
          <w:sz w:val="22"/>
          <w:szCs w:val="22"/>
          <w:color w:val="auto"/>
        </w:rPr>
        <w:t>” means that certain letter agreement, dated May 22, 2018 among Toro, Toro Luxembourg, Wells Fargo and WFS.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WFS</w:t>
      </w:r>
      <w:r>
        <w:rPr>
          <w:rFonts w:ascii="Arial" w:cs="Arial" w:eastAsia="Arial" w:hAnsi="Arial"/>
          <w:sz w:val="22"/>
          <w:szCs w:val="22"/>
          <w:color w:val="auto"/>
        </w:rPr>
        <w:t>” means Wells Fargo Securities, LLC and its successors.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Wholly-Owned Subsidiary</w:t>
      </w:r>
      <w:r>
        <w:rPr>
          <w:rFonts w:ascii="Arial" w:cs="Arial" w:eastAsia="Arial" w:hAnsi="Arial"/>
          <w:sz w:val="22"/>
          <w:szCs w:val="22"/>
          <w:color w:val="auto"/>
        </w:rPr>
        <w:t>” means any corporation, limited liability company, partnership or other business association or entity organized under the laws of the United States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43" w:name="page44"/>
    <w:bookmarkEnd w:id="43"/>
    <w:p>
      <w:pPr>
        <w:jc w:val="both"/>
        <w:spacing w:after="0" w:line="247" w:lineRule="auto"/>
        <w:rPr>
          <w:sz w:val="20"/>
          <w:szCs w:val="20"/>
          <w:color w:val="auto"/>
        </w:rPr>
      </w:pPr>
      <w:r>
        <w:rPr>
          <w:rFonts w:ascii="Arial" w:cs="Arial" w:eastAsia="Arial" w:hAnsi="Arial"/>
          <w:sz w:val="22"/>
          <w:szCs w:val="22"/>
          <w:color w:val="auto"/>
        </w:rPr>
        <w:t>or other country in which Toro or any of its Subsidiaries conducts business in which (other than directors’ qualifying shares required by law) 100% of the capital stock, membership interests, partnership interests or other equity interests, as applicable, of each class having ordinary voting power, and 100% of the capital stock, membership interests, partnership interests or other equity interests, as applicable, of every other class, in each case, at the time as of which any determination is being made, is owned, beneficially and of record, by (i) one of the Borrowers, or by one or more of the Borrowers or other Wholly-Owned Subsidiaries, or both, and (ii) directly or indirectly by Toro.</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1.02 Other Interpretive Provisions. </w:t>
      </w:r>
      <w:r>
        <w:rPr>
          <w:rFonts w:ascii="Arial" w:cs="Arial" w:eastAsia="Arial" w:hAnsi="Arial"/>
          <w:sz w:val="22"/>
          <w:szCs w:val="22"/>
          <w:color w:val="auto"/>
        </w:rPr>
        <w:t>With reference to this Agreement and each other Loan Document, unless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herein or in such other Loan Document:</w:t>
      </w:r>
    </w:p>
    <w:p>
      <w:pPr>
        <w:spacing w:after="0" w:line="168" w:lineRule="exact"/>
        <w:rPr>
          <w:sz w:val="20"/>
          <w:szCs w:val="20"/>
          <w:color w:val="auto"/>
        </w:rPr>
      </w:pPr>
    </w:p>
    <w:p>
      <w:pPr>
        <w:jc w:val="both"/>
        <w:ind w:left="660" w:firstLine="645"/>
        <w:spacing w:after="0" w:line="285" w:lineRule="auto"/>
        <w:tabs>
          <w:tab w:leader="none" w:pos="1889"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9"/>
          <w:szCs w:val="19"/>
          <w:u w:val="single" w:color="auto"/>
          <w:color w:val="auto"/>
        </w:rPr>
        <w:t>include</w:t>
      </w:r>
      <w:r>
        <w:rPr>
          <w:rFonts w:ascii="Arial" w:cs="Arial" w:eastAsia="Arial" w:hAnsi="Arial"/>
          <w:sz w:val="19"/>
          <w:szCs w:val="19"/>
          <w:color w:val="auto"/>
        </w:rPr>
        <w:t>,” “</w:t>
      </w:r>
      <w:r>
        <w:rPr>
          <w:rFonts w:ascii="Arial" w:cs="Arial" w:eastAsia="Arial" w:hAnsi="Arial"/>
          <w:sz w:val="19"/>
          <w:szCs w:val="19"/>
          <w:u w:val="single" w:color="auto"/>
          <w:color w:val="auto"/>
        </w:rPr>
        <w:t>includes</w:t>
      </w:r>
      <w:r>
        <w:rPr>
          <w:rFonts w:ascii="Arial" w:cs="Arial" w:eastAsia="Arial" w:hAnsi="Arial"/>
          <w:sz w:val="19"/>
          <w:szCs w:val="19"/>
          <w:color w:val="auto"/>
        </w:rPr>
        <w:t>” and “</w:t>
      </w:r>
      <w:r>
        <w:rPr>
          <w:rFonts w:ascii="Arial" w:cs="Arial" w:eastAsia="Arial" w:hAnsi="Arial"/>
          <w:sz w:val="19"/>
          <w:szCs w:val="19"/>
          <w:u w:val="single" w:color="auto"/>
          <w:color w:val="auto"/>
        </w:rPr>
        <w:t>including</w:t>
      </w:r>
      <w:r>
        <w:rPr>
          <w:rFonts w:ascii="Arial" w:cs="Arial" w:eastAsia="Arial" w:hAnsi="Arial"/>
          <w:sz w:val="19"/>
          <w:szCs w:val="19"/>
          <w:color w:val="auto"/>
        </w:rPr>
        <w:t>” shall be deemed to be followed by the phrase “without limitation.” The word “</w:t>
      </w:r>
      <w:r>
        <w:rPr>
          <w:rFonts w:ascii="Arial" w:cs="Arial" w:eastAsia="Arial" w:hAnsi="Arial"/>
          <w:sz w:val="19"/>
          <w:szCs w:val="19"/>
          <w:u w:val="single" w:color="auto"/>
          <w:color w:val="auto"/>
        </w:rPr>
        <w:t>will</w:t>
      </w:r>
      <w:r>
        <w:rPr>
          <w:rFonts w:ascii="Arial" w:cs="Arial" w:eastAsia="Arial" w:hAnsi="Arial"/>
          <w:sz w:val="19"/>
          <w:szCs w:val="19"/>
          <w:color w:val="auto"/>
        </w:rPr>
        <w:t>” shall be construed to have the same meaning and effect as the word “</w:t>
      </w:r>
      <w:r>
        <w:rPr>
          <w:rFonts w:ascii="Arial" w:cs="Arial" w:eastAsia="Arial" w:hAnsi="Arial"/>
          <w:sz w:val="19"/>
          <w:szCs w:val="19"/>
          <w:u w:val="single" w:color="auto"/>
          <w:color w:val="auto"/>
        </w:rPr>
        <w:t>shall</w:t>
      </w:r>
      <w:r>
        <w:rPr>
          <w:rFonts w:ascii="Arial" w:cs="Arial" w:eastAsia="Arial" w:hAnsi="Arial"/>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9"/>
          <w:szCs w:val="19"/>
          <w:u w:val="single" w:color="auto"/>
          <w:color w:val="auto"/>
        </w:rPr>
        <w:t>hereto</w:t>
      </w:r>
      <w:r>
        <w:rPr>
          <w:rFonts w:ascii="Arial" w:cs="Arial" w:eastAsia="Arial" w:hAnsi="Arial"/>
          <w:sz w:val="19"/>
          <w:szCs w:val="19"/>
          <w:color w:val="auto"/>
        </w:rPr>
        <w:t>,” “</w:t>
      </w:r>
      <w:r>
        <w:rPr>
          <w:rFonts w:ascii="Arial" w:cs="Arial" w:eastAsia="Arial" w:hAnsi="Arial"/>
          <w:sz w:val="19"/>
          <w:szCs w:val="19"/>
          <w:u w:val="single" w:color="auto"/>
          <w:color w:val="auto"/>
        </w:rPr>
        <w:t>herein</w:t>
      </w:r>
      <w:r>
        <w:rPr>
          <w:rFonts w:ascii="Arial" w:cs="Arial" w:eastAsia="Arial" w:hAnsi="Arial"/>
          <w:sz w:val="19"/>
          <w:szCs w:val="19"/>
          <w:color w:val="auto"/>
        </w:rPr>
        <w:t>,” “</w:t>
      </w:r>
      <w:r>
        <w:rPr>
          <w:rFonts w:ascii="Arial" w:cs="Arial" w:eastAsia="Arial" w:hAnsi="Arial"/>
          <w:sz w:val="19"/>
          <w:szCs w:val="19"/>
          <w:u w:val="single" w:color="auto"/>
          <w:color w:val="auto"/>
        </w:rPr>
        <w:t>hereof</w:t>
      </w:r>
      <w:r>
        <w:rPr>
          <w:rFonts w:ascii="Arial" w:cs="Arial" w:eastAsia="Arial" w:hAnsi="Arial"/>
          <w:sz w:val="19"/>
          <w:szCs w:val="19"/>
          <w:color w:val="auto"/>
        </w:rPr>
        <w:t>” and “</w:t>
      </w:r>
      <w:r>
        <w:rPr>
          <w:rFonts w:ascii="Arial" w:cs="Arial" w:eastAsia="Arial" w:hAnsi="Arial"/>
          <w:sz w:val="19"/>
          <w:szCs w:val="19"/>
          <w:u w:val="single" w:color="auto"/>
          <w:color w:val="auto"/>
        </w:rPr>
        <w:t>hereunder</w:t>
      </w:r>
      <w:r>
        <w:rPr>
          <w:rFonts w:ascii="Arial" w:cs="Arial" w:eastAsia="Arial" w:hAnsi="Arial"/>
          <w:sz w:val="19"/>
          <w:szCs w:val="19"/>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9"/>
          <w:szCs w:val="19"/>
          <w:u w:val="single" w:color="auto"/>
          <w:color w:val="auto"/>
        </w:rPr>
        <w:t>asset</w:t>
      </w:r>
      <w:r>
        <w:rPr>
          <w:rFonts w:ascii="Arial" w:cs="Arial" w:eastAsia="Arial" w:hAnsi="Arial"/>
          <w:sz w:val="19"/>
          <w:szCs w:val="19"/>
          <w:color w:val="auto"/>
        </w:rPr>
        <w:t>” and “</w:t>
      </w:r>
      <w:r>
        <w:rPr>
          <w:rFonts w:ascii="Arial" w:cs="Arial" w:eastAsia="Arial" w:hAnsi="Arial"/>
          <w:sz w:val="19"/>
          <w:szCs w:val="19"/>
          <w:u w:val="single" w:color="auto"/>
          <w:color w:val="auto"/>
        </w:rPr>
        <w:t>property</w:t>
      </w:r>
      <w:r>
        <w:rPr>
          <w:rFonts w:ascii="Arial" w:cs="Arial" w:eastAsia="Arial" w:hAnsi="Arial"/>
          <w:sz w:val="19"/>
          <w:szCs w:val="19"/>
          <w:color w:val="auto"/>
        </w:rPr>
        <w:t>” shall be construed to have the same meaning and effect and to refer to any and all tangible and intangible assets and properties, including cash, securities, accounts and contract rights.</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left="660" w:firstLine="645"/>
        <w:spacing w:after="0" w:line="253" w:lineRule="auto"/>
        <w:tabs>
          <w:tab w:leader="none" w:pos="1835"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 the computation of periods of time from a specified date to a later specified date, the word “</w:t>
      </w:r>
      <w:r>
        <w:rPr>
          <w:rFonts w:ascii="Arial" w:cs="Arial" w:eastAsia="Arial" w:hAnsi="Arial"/>
          <w:sz w:val="22"/>
          <w:szCs w:val="22"/>
          <w:u w:val="single" w:color="auto"/>
          <w:color w:val="auto"/>
        </w:rPr>
        <w:t>from</w:t>
      </w:r>
      <w:r>
        <w:rPr>
          <w:rFonts w:ascii="Arial" w:cs="Arial" w:eastAsia="Arial" w:hAnsi="Arial"/>
          <w:sz w:val="22"/>
          <w:szCs w:val="22"/>
          <w:color w:val="auto"/>
        </w:rPr>
        <w:t>” means “</w:t>
      </w:r>
      <w:r>
        <w:rPr>
          <w:rFonts w:ascii="Arial" w:cs="Arial" w:eastAsia="Arial" w:hAnsi="Arial"/>
          <w:sz w:val="22"/>
          <w:szCs w:val="22"/>
          <w:u w:val="single" w:color="auto"/>
          <w:color w:val="auto"/>
        </w:rPr>
        <w:t>from and including</w:t>
      </w:r>
      <w:r>
        <w:rPr>
          <w:rFonts w:ascii="Arial" w:cs="Arial" w:eastAsia="Arial" w:hAnsi="Arial"/>
          <w:sz w:val="22"/>
          <w:szCs w:val="22"/>
          <w:color w:val="auto"/>
        </w:rPr>
        <w:t>;” the words “</w:t>
      </w:r>
      <w:r>
        <w:rPr>
          <w:rFonts w:ascii="Arial" w:cs="Arial" w:eastAsia="Arial" w:hAnsi="Arial"/>
          <w:sz w:val="22"/>
          <w:szCs w:val="22"/>
          <w:u w:val="single" w:color="auto"/>
          <w:color w:val="auto"/>
        </w:rPr>
        <w:t>to</w:t>
      </w:r>
      <w:r>
        <w:rPr>
          <w:rFonts w:ascii="Arial" w:cs="Arial" w:eastAsia="Arial" w:hAnsi="Arial"/>
          <w:sz w:val="22"/>
          <w:szCs w:val="22"/>
          <w:color w:val="auto"/>
        </w:rPr>
        <w:t>” and “</w:t>
      </w:r>
      <w:r>
        <w:rPr>
          <w:rFonts w:ascii="Arial" w:cs="Arial" w:eastAsia="Arial" w:hAnsi="Arial"/>
          <w:sz w:val="22"/>
          <w:szCs w:val="22"/>
          <w:u w:val="single" w:color="auto"/>
          <w:color w:val="auto"/>
        </w:rPr>
        <w:t>until</w:t>
      </w:r>
      <w:r>
        <w:rPr>
          <w:rFonts w:ascii="Arial" w:cs="Arial" w:eastAsia="Arial" w:hAnsi="Arial"/>
          <w:sz w:val="22"/>
          <w:szCs w:val="22"/>
          <w:color w:val="auto"/>
        </w:rPr>
        <w:t>” each mean “</w:t>
      </w:r>
      <w:r>
        <w:rPr>
          <w:rFonts w:ascii="Arial" w:cs="Arial" w:eastAsia="Arial" w:hAnsi="Arial"/>
          <w:sz w:val="22"/>
          <w:szCs w:val="22"/>
          <w:u w:val="single" w:color="auto"/>
          <w:color w:val="auto"/>
        </w:rPr>
        <w:t>to but excluding</w:t>
      </w:r>
      <w:r>
        <w:rPr>
          <w:rFonts w:ascii="Arial" w:cs="Arial" w:eastAsia="Arial" w:hAnsi="Arial"/>
          <w:sz w:val="22"/>
          <w:szCs w:val="22"/>
          <w:color w:val="auto"/>
        </w:rPr>
        <w:t>;” and the word “</w:t>
      </w:r>
      <w:r>
        <w:rPr>
          <w:rFonts w:ascii="Arial" w:cs="Arial" w:eastAsia="Arial" w:hAnsi="Arial"/>
          <w:sz w:val="22"/>
          <w:szCs w:val="22"/>
          <w:u w:val="single" w:color="auto"/>
          <w:color w:val="auto"/>
        </w:rPr>
        <w:t>through</w:t>
      </w:r>
      <w:r>
        <w:rPr>
          <w:rFonts w:ascii="Arial" w:cs="Arial" w:eastAsia="Arial" w:hAnsi="Arial"/>
          <w:sz w:val="22"/>
          <w:szCs w:val="22"/>
          <w:color w:val="auto"/>
        </w:rPr>
        <w:t>” means “</w:t>
      </w:r>
      <w:r>
        <w:rPr>
          <w:rFonts w:ascii="Arial" w:cs="Arial" w:eastAsia="Arial" w:hAnsi="Arial"/>
          <w:sz w:val="22"/>
          <w:szCs w:val="22"/>
          <w:u w:val="single" w:color="auto"/>
          <w:color w:val="auto"/>
        </w:rPr>
        <w:t>to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including</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44" w:name="page45"/>
    <w:bookmarkEnd w:id="44"/>
    <w:p>
      <w:pPr>
        <w:ind w:left="660" w:firstLine="645"/>
        <w:spacing w:after="0" w:line="263" w:lineRule="auto"/>
        <w:tabs>
          <w:tab w:leader="none" w:pos="1805"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shall not affect the interpretation of this Agreement or any other Loan Document.</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1.03 Accounting Terms. </w:t>
      </w:r>
      <w:r>
        <w:rPr>
          <w:rFonts w:ascii="Arial" w:cs="Arial" w:eastAsia="Arial" w:hAnsi="Arial"/>
          <w:sz w:val="22"/>
          <w:szCs w:val="22"/>
          <w:color w:val="auto"/>
        </w:rPr>
        <w:t>(a)</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Generally</w:t>
      </w:r>
      <w:r>
        <w:rPr>
          <w:rFonts w:ascii="Arial" w:cs="Arial" w:eastAsia="Arial" w:hAnsi="Arial"/>
          <w:sz w:val="22"/>
          <w:szCs w:val="22"/>
          <w:color w:val="auto"/>
        </w:rPr>
        <w:t>. All accounting terms not specifically or completely defined herein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as otherwise specifically prescribed herein. Notwithstanding the foregoing, for purposes of determining compliance with any covenant (including the computation of any financial covenant) contained herein, Indebtedness of Toro and its Subsidiaries shall be deemed to be carried at 100% of the outstanding principal amount thereof, and the effects of FASB ASC 825 on financial liabilities shall be disregarded.</w:t>
      </w:r>
    </w:p>
    <w:p>
      <w:pPr>
        <w:spacing w:after="0" w:line="192" w:lineRule="exact"/>
        <w:rPr>
          <w:sz w:val="20"/>
          <w:szCs w:val="20"/>
          <w:color w:val="auto"/>
        </w:rPr>
      </w:pPr>
    </w:p>
    <w:p>
      <w:pPr>
        <w:jc w:val="both"/>
        <w:ind w:firstLine="656"/>
        <w:spacing w:after="0" w:line="288" w:lineRule="auto"/>
        <w:tabs>
          <w:tab w:leader="none" w:pos="1549"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either Toro or the Required Lenders shall so request, the Administrative Agent, the Lenders and Toro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until so amended, (i) such ratio or requirement shall continue to be computed in accordance with GAAP prior to such change therein and (ii) Toro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prior to adoption and effectiveness of new accounting standards related to leases for all purposes of this Agreement, notwithstanding any change in GAAP relating thereto, unless the parties hereto shall enter into a mutually acceptable amendment negotiated in good faith addressing such changes, as provided for above.</w:t>
      </w:r>
    </w:p>
    <w:p>
      <w:pPr>
        <w:spacing w:after="0" w:line="154" w:lineRule="exact"/>
        <w:rPr>
          <w:rFonts w:ascii="Arial" w:cs="Arial" w:eastAsia="Arial" w:hAnsi="Arial"/>
          <w:sz w:val="19"/>
          <w:szCs w:val="19"/>
          <w:color w:val="auto"/>
        </w:rPr>
      </w:pPr>
    </w:p>
    <w:p>
      <w:pPr>
        <w:ind w:left="1540" w:hanging="884"/>
        <w:spacing w:after="0"/>
        <w:tabs>
          <w:tab w:leader="none" w:pos="15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References herein to “fiscal year” and “fiscal quarter” refer to such fiscal periods of the Borrowers.</w:t>
      </w:r>
    </w:p>
    <w:p>
      <w:pPr>
        <w:spacing w:after="0" w:line="219" w:lineRule="exact"/>
        <w:rPr>
          <w:rFonts w:ascii="Arial" w:cs="Arial" w:eastAsia="Arial" w:hAnsi="Arial"/>
          <w:sz w:val="22"/>
          <w:szCs w:val="22"/>
          <w:color w:val="auto"/>
        </w:rPr>
      </w:pPr>
    </w:p>
    <w:p>
      <w:pPr>
        <w:ind w:left="1560" w:hanging="904"/>
        <w:spacing w:after="0"/>
        <w:tabs>
          <w:tab w:leader="none" w:pos="1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With respect to any Acquisition consummated on or after the Closing Date, the following shall apply:</w:t>
      </w:r>
    </w:p>
    <w:p>
      <w:pPr>
        <w:spacing w:after="0" w:line="219" w:lineRule="exact"/>
        <w:rPr>
          <w:rFonts w:ascii="Arial" w:cs="Arial" w:eastAsia="Arial" w:hAnsi="Arial"/>
          <w:sz w:val="22"/>
          <w:szCs w:val="22"/>
          <w:color w:val="auto"/>
        </w:rPr>
      </w:pPr>
    </w:p>
    <w:p>
      <w:pPr>
        <w:jc w:val="both"/>
        <w:ind w:left="660" w:firstLine="645"/>
        <w:spacing w:after="0" w:line="302" w:lineRule="auto"/>
        <w:tabs>
          <w:tab w:leader="none" w:pos="21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For each period of four fiscal quarters of Toro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or FASB ASC 805 and, in each case, reasonably satisfactory to the Administrative Agent;</w:t>
      </w:r>
    </w:p>
    <w:p>
      <w:pPr>
        <w:spacing w:after="0" w:line="142" w:lineRule="exact"/>
        <w:rPr>
          <w:rFonts w:ascii="Arial" w:cs="Arial" w:eastAsia="Arial" w:hAnsi="Arial"/>
          <w:sz w:val="19"/>
          <w:szCs w:val="19"/>
          <w:color w:val="auto"/>
        </w:rPr>
      </w:pPr>
    </w:p>
    <w:p>
      <w:pPr>
        <w:ind w:left="660" w:firstLine="645"/>
        <w:spacing w:after="0" w:line="263" w:lineRule="auto"/>
        <w:tabs>
          <w:tab w:leader="none" w:pos="2221" w:val="left"/>
        </w:tabs>
        <w:numPr>
          <w:ilvl w:val="1"/>
          <w:numId w:val="20"/>
        </w:numPr>
        <w:rPr>
          <w:rFonts w:ascii="Arial" w:cs="Arial" w:eastAsia="Arial" w:hAnsi="Arial"/>
          <w:sz w:val="22"/>
          <w:szCs w:val="22"/>
          <w:color w:val="auto"/>
        </w:rPr>
      </w:pPr>
      <w:r>
        <w:rPr>
          <w:rFonts w:ascii="Arial" w:cs="Arial" w:eastAsia="Arial" w:hAnsi="Arial"/>
          <w:sz w:val="22"/>
          <w:szCs w:val="22"/>
          <w:color w:val="auto"/>
        </w:rPr>
        <w:t>For each period of four fiscal quarters of Toro and its Subsidiaries ending next following the date of each Acquisition, Consolidated Interest Charges shall include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45" w:name="page46"/>
    <w:bookmarkEnd w:id="45"/>
    <w:p>
      <w:pPr>
        <w:jc w:val="both"/>
        <w:ind w:left="660"/>
        <w:spacing w:after="0" w:line="288" w:lineRule="auto"/>
        <w:rPr>
          <w:sz w:val="20"/>
          <w:szCs w:val="20"/>
          <w:color w:val="auto"/>
        </w:rPr>
      </w:pPr>
      <w:r>
        <w:rPr>
          <w:rFonts w:ascii="Arial" w:cs="Arial" w:eastAsia="Arial" w:hAnsi="Arial"/>
          <w:sz w:val="19"/>
          <w:szCs w:val="19"/>
          <w:color w:val="auto"/>
        </w:rPr>
        <w:t>the results of operations of the Person or assets so acquired, which amounts shall be determined on a historical pro forma basis; provided, however, Consolidated Interest Charges shall be adjusted on a historical pro forma basis to (A) eliminate interest expense accrued during such period on any Indebtedness repaid in connection with such Acquisition and (B) include interest expense on any Indebtedness (including Indebtedness hereunder) incurred, acquired or assumed in connection with such Acquisition (“</w:t>
      </w:r>
      <w:r>
        <w:rPr>
          <w:rFonts w:ascii="Arial" w:cs="Arial" w:eastAsia="Arial" w:hAnsi="Arial"/>
          <w:sz w:val="19"/>
          <w:szCs w:val="19"/>
          <w:u w:val="single" w:color="auto"/>
          <w:color w:val="auto"/>
        </w:rPr>
        <w:t>Incremental Debt</w:t>
      </w:r>
      <w:r>
        <w:rPr>
          <w:rFonts w:ascii="Arial" w:cs="Arial" w:eastAsia="Arial" w:hAnsi="Arial"/>
          <w:sz w:val="19"/>
          <w:szCs w:val="19"/>
          <w:color w:val="auto"/>
        </w:rPr>
        <w:t>”) calculated (I) as if all such Incremental Debt had been incurred as of the first day of such four-quarter period and (II) 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160" w:lineRule="exact"/>
        <w:rPr>
          <w:sz w:val="20"/>
          <w:szCs w:val="20"/>
          <w:color w:val="auto"/>
        </w:rPr>
      </w:pPr>
    </w:p>
    <w:p>
      <w:pPr>
        <w:ind w:left="1540" w:hanging="884"/>
        <w:spacing w:after="0"/>
        <w:tabs>
          <w:tab w:leader="none" w:pos="15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With respect to any Material Disposition consummated on or after the Closing Date:</w:t>
      </w:r>
    </w:p>
    <w:p>
      <w:pPr>
        <w:spacing w:after="0" w:line="219" w:lineRule="exact"/>
        <w:rPr>
          <w:rFonts w:ascii="Arial" w:cs="Arial" w:eastAsia="Arial" w:hAnsi="Arial"/>
          <w:sz w:val="22"/>
          <w:szCs w:val="22"/>
          <w:color w:val="auto"/>
        </w:rPr>
      </w:pPr>
    </w:p>
    <w:p>
      <w:pPr>
        <w:jc w:val="both"/>
        <w:ind w:left="660" w:firstLine="645"/>
        <w:spacing w:after="0" w:line="302" w:lineRule="auto"/>
        <w:tabs>
          <w:tab w:leader="none" w:pos="21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For each period of four fiscal quarters of Toro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142" w:lineRule="exact"/>
        <w:rPr>
          <w:rFonts w:ascii="Arial" w:cs="Arial" w:eastAsia="Arial" w:hAnsi="Arial"/>
          <w:sz w:val="19"/>
          <w:szCs w:val="19"/>
          <w:color w:val="auto"/>
        </w:rPr>
      </w:pPr>
    </w:p>
    <w:p>
      <w:pPr>
        <w:jc w:val="both"/>
        <w:ind w:left="660" w:firstLine="645"/>
        <w:spacing w:after="0" w:line="247" w:lineRule="auto"/>
        <w:tabs>
          <w:tab w:leader="none" w:pos="2221" w:val="left"/>
        </w:tabs>
        <w:numPr>
          <w:ilvl w:val="1"/>
          <w:numId w:val="21"/>
        </w:numPr>
        <w:rPr>
          <w:rFonts w:ascii="Arial" w:cs="Arial" w:eastAsia="Arial" w:hAnsi="Arial"/>
          <w:sz w:val="22"/>
          <w:szCs w:val="22"/>
          <w:color w:val="auto"/>
        </w:rPr>
      </w:pPr>
      <w:r>
        <w:rPr>
          <w:rFonts w:ascii="Arial" w:cs="Arial" w:eastAsia="Arial" w:hAnsi="Arial"/>
          <w:sz w:val="22"/>
          <w:szCs w:val="22"/>
          <w:color w:val="auto"/>
        </w:rPr>
        <w:t>For each period of four fiscal quarters of Toro and its Subsidiaries ending next following the date of such Material Disposition, Consolidated Interest Charges shall be reduced by an amount equal to the Consolidated Interest Charges incurred by the applicable Borrower or Subsidiary in connection with Indebtedness which is either (x) repaid with the proceeds received by the applicable Borrower or Subsidiary in connection with such Material Disposition or (y) assigned or transferred to, and assumed by, the Person to whom the Material Disposition is made by the applicable Borrower or Subsidiary.</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purposes of this paragraph, “</w:t>
      </w:r>
      <w:r>
        <w:rPr>
          <w:rFonts w:ascii="Arial" w:cs="Arial" w:eastAsia="Arial" w:hAnsi="Arial"/>
          <w:sz w:val="19"/>
          <w:szCs w:val="19"/>
          <w:u w:val="single" w:color="auto"/>
          <w:color w:val="auto"/>
        </w:rPr>
        <w:t>Material Disposition</w:t>
      </w:r>
      <w:r>
        <w:rPr>
          <w:rFonts w:ascii="Arial" w:cs="Arial" w:eastAsia="Arial" w:hAnsi="Arial"/>
          <w:sz w:val="19"/>
          <w:szCs w:val="19"/>
          <w:color w:val="auto"/>
        </w:rPr>
        <w:t>” means any Disposition, or series of related Dispositions, by Toro and its Subsidiaries of real or personal property that has a gross book value, as determined in accordance with GAAP, equal to or greater than 10% of consolidated total assets of Toro and its Subsidiaries determined as of the last day of the immediately preceding fiscal quarter of Toro, and “Disposition” means the sale, transfer, license or other disposition (including any sale and leaseback transaction) of any property by any Person, other than pursuant to or in connection with a Receivables Purchase Facility.</w:t>
      </w:r>
    </w:p>
    <w:p>
      <w:pPr>
        <w:spacing w:after="0" w:line="147" w:lineRule="exact"/>
        <w:rPr>
          <w:sz w:val="20"/>
          <w:szCs w:val="20"/>
          <w:color w:val="auto"/>
        </w:rPr>
      </w:pPr>
    </w:p>
    <w:p>
      <w:pPr>
        <w:jc w:val="both"/>
        <w:ind w:firstLine="656"/>
        <w:spacing w:after="0" w:line="312" w:lineRule="auto"/>
        <w:tabs>
          <w:tab w:leader="none" w:pos="151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Consolidation of Variable Interest Entities</w:t>
      </w:r>
      <w:r>
        <w:rPr>
          <w:rFonts w:ascii="Arial" w:cs="Arial" w:eastAsia="Arial" w:hAnsi="Arial"/>
          <w:sz w:val="19"/>
          <w:szCs w:val="19"/>
          <w:color w:val="auto"/>
        </w:rPr>
        <w:t>. All references herein to consolidated financial statements of Toro and its Subsidiaries or to the determination of any amount for Toro and its Subsidiaries on a consolidated basis or any similar reference shall, in each case, be deemed to include each variable interest entity that Toro or a Subsidiary is required 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consolidate pursuant to FASB ASC 810 as if such variable interest entity were a Subsidiary as defined herein.</w:t>
      </w:r>
    </w:p>
    <w:p>
      <w:pPr>
        <w:spacing w:after="0" w:line="21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1.04 Exchange Rates; Currency Equivalents. </w:t>
      </w:r>
      <w:r>
        <w:rPr>
          <w:rFonts w:ascii="Arial" w:cs="Arial" w:eastAsia="Arial" w:hAnsi="Arial"/>
          <w:sz w:val="22"/>
          <w:szCs w:val="22"/>
          <w:color w:val="auto"/>
        </w:rPr>
        <w:t>(a) The Administrative Agent or the L/C Issuer, as applicable, shall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92" w:lineRule="exact"/>
        <w:rPr>
          <w:sz w:val="20"/>
          <w:szCs w:val="20"/>
          <w:color w:val="auto"/>
        </w:rPr>
      </w:pPr>
    </w:p>
    <w:p>
      <w:pPr>
        <w:jc w:val="both"/>
        <w:ind w:firstLine="656"/>
        <w:spacing w:after="0" w:line="261" w:lineRule="auto"/>
        <w:tabs>
          <w:tab w:leader="none" w:pos="1549" w:val="left"/>
        </w:tabs>
        <w:numPr>
          <w:ilvl w:val="0"/>
          <w:numId w:val="23"/>
        </w:numPr>
        <w:rPr>
          <w:rFonts w:ascii="Arial" w:cs="Arial" w:eastAsia="Arial" w:hAnsi="Arial"/>
          <w:sz w:val="21"/>
          <w:szCs w:val="21"/>
          <w:color w:val="auto"/>
        </w:rPr>
      </w:pPr>
      <w:r>
        <w:rPr>
          <w:rFonts w:ascii="Arial" w:cs="Arial" w:eastAsia="Arial" w:hAnsi="Arial"/>
          <w:sz w:val="21"/>
          <w:szCs w:val="21"/>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 such Committed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80" w:lineRule="exact"/>
        <w:rPr>
          <w:rFonts w:ascii="Arial" w:cs="Arial" w:eastAsia="Arial" w:hAnsi="Arial"/>
          <w:sz w:val="21"/>
          <w:szCs w:val="21"/>
          <w:color w:val="auto"/>
        </w:rPr>
      </w:pPr>
    </w:p>
    <w:p>
      <w:pPr>
        <w:jc w:val="both"/>
        <w:ind w:firstLine="656"/>
        <w:spacing w:after="0" w:line="253" w:lineRule="auto"/>
        <w:tabs>
          <w:tab w:leader="none" w:pos="1536"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Administrative Agent does not warrant, nor accept responsibility, nor shall the Administrative Agent have any liability with respect to the administration, submission or any other matter related to the rates in the definition of “Eurocurrency Rate” or with respect to any comparable or successor rate thereto.</w:t>
      </w:r>
    </w:p>
    <w:p>
      <w:pPr>
        <w:spacing w:after="0" w:line="1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1.05 Additional Alternative Currencies. </w:t>
      </w:r>
      <w:r>
        <w:rPr>
          <w:rFonts w:ascii="Arial" w:cs="Arial" w:eastAsia="Arial" w:hAnsi="Arial"/>
          <w:sz w:val="19"/>
          <w:szCs w:val="19"/>
          <w:color w:val="auto"/>
        </w:rPr>
        <w:t>(a) Toro may from time to time request that Eurocurrency Rate Loans be made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and/or Letters of Credit be issued in a currency other than those specifically listed in the definition of “Alternative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requested currency is a lawful currency (other than Dollars) that is readily available and freely transferable and convertible into Dollars. In the case of any such request with respect to the making of Eurocurrency Rate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50" w:lineRule="exact"/>
        <w:rPr>
          <w:sz w:val="20"/>
          <w:szCs w:val="20"/>
          <w:color w:val="auto"/>
        </w:rPr>
      </w:pPr>
    </w:p>
    <w:p>
      <w:pPr>
        <w:jc w:val="both"/>
        <w:ind w:firstLine="656"/>
        <w:spacing w:after="0" w:line="260" w:lineRule="auto"/>
        <w:tabs>
          <w:tab w:leader="none" w:pos="1549" w:val="left"/>
        </w:tabs>
        <w:numPr>
          <w:ilvl w:val="0"/>
          <w:numId w:val="24"/>
        </w:numPr>
        <w:rPr>
          <w:rFonts w:ascii="Arial" w:cs="Arial" w:eastAsia="Arial" w:hAnsi="Arial"/>
          <w:sz w:val="21"/>
          <w:szCs w:val="21"/>
          <w:color w:val="auto"/>
        </w:rPr>
      </w:pPr>
      <w:r>
        <w:rPr>
          <w:rFonts w:ascii="Arial" w:cs="Arial" w:eastAsia="Arial" w:hAnsi="Arial"/>
          <w:sz w:val="21"/>
          <w:szCs w:val="21"/>
          <w:color w:val="auto"/>
        </w:rPr>
        <w:t>Any such request shall be made to the Administrative Agent not later than 11:00 a.m.,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Lender thereof; and in the case of any such request pertaining to Letters of Credit, the Administrative Agent shall promptly notify the L/C Issuer thereof. Each Lender (in the case of any such request pertaining to Eurocurrency Rate Loans) or the L/C Issuer (in the case of a request pertaining to Letters of Credit) shall notify the Administrative Agent, not later than 11:00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1" w:right="239" w:bottom="1440" w:gutter="0" w:footer="0" w:header="0"/>
        </w:sectPr>
      </w:pPr>
    </w:p>
    <w:bookmarkStart w:id="47" w:name="page48"/>
    <w:bookmarkEnd w:id="47"/>
    <w:p>
      <w:pPr>
        <w:ind w:right="20"/>
        <w:spacing w:after="0" w:line="263" w:lineRule="auto"/>
        <w:rPr>
          <w:sz w:val="20"/>
          <w:szCs w:val="20"/>
          <w:color w:val="auto"/>
        </w:rPr>
      </w:pPr>
      <w:r>
        <w:rPr>
          <w:rFonts w:ascii="Arial" w:cs="Arial" w:eastAsia="Arial" w:hAnsi="Arial"/>
          <w:sz w:val="22"/>
          <w:szCs w:val="22"/>
          <w:color w:val="auto"/>
        </w:rPr>
        <w:t>a.m., ten Business Days after receipt of such request whether it consents, in its sole discretion, to the making of Eurocurrency Rate Loans or the issuance of Letters of Credit, as the case may be, in such requested currency.</w:t>
      </w:r>
    </w:p>
    <w:p>
      <w:pPr>
        <w:spacing w:after="0" w:line="175" w:lineRule="exact"/>
        <w:rPr>
          <w:sz w:val="20"/>
          <w:szCs w:val="20"/>
          <w:color w:val="auto"/>
        </w:rPr>
      </w:pPr>
    </w:p>
    <w:p>
      <w:pPr>
        <w:jc w:val="both"/>
        <w:ind w:firstLine="656"/>
        <w:spacing w:after="0" w:line="288" w:lineRule="auto"/>
        <w:tabs>
          <w:tab w:leader="none" w:pos="1536"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Any failure by a Lender or the L/C Issuer, as the case may be, to respond to such request within the time period specified in the last sentence of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shall be deemed to be a refusal by such Lender or the L/C Issuer, as the case may be, to permit Eurocurrency Rate Loans to be made or Letters of Credit to be issued in such requested currency. If the Administrative Agent and all the Lenders consent to making Eurocurrency Rate Loans in such requested currency, the Administrative Agent shall so notify Toro and such currency shall thereupon be deemed for all purposes to be an Alternative Currency hereunder for purposes of any Committed Borrowings of Eurocurrency Rate Loans; and if the Administrative Agent and the L/C Issuer consent to the issuance of Letters of Credit in such requested currency, the Administrative Agent shall so notify Toro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9"/>
          <w:szCs w:val="19"/>
          <w:u w:val="single" w:color="auto"/>
          <w:color w:val="auto"/>
        </w:rPr>
        <w:t>Section 1.05</w:t>
      </w:r>
      <w:r>
        <w:rPr>
          <w:rFonts w:ascii="Arial" w:cs="Arial" w:eastAsia="Arial" w:hAnsi="Arial"/>
          <w:sz w:val="19"/>
          <w:szCs w:val="19"/>
          <w:color w:val="auto"/>
        </w:rPr>
        <w:t>, the Administrative Agent shall promptly so notify Toro.</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1.06 Change of Currency. </w:t>
      </w:r>
      <w:r>
        <w:rPr>
          <w:rFonts w:ascii="Arial" w:cs="Arial" w:eastAsia="Arial" w:hAnsi="Arial"/>
          <w:sz w:val="19"/>
          <w:szCs w:val="19"/>
          <w:color w:val="auto"/>
        </w:rPr>
        <w:t>(a) Each obligation of the Borrowers to make a payment denominated in the national currency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Committed Borrowing in the currency of such member state is outstanding immediately prior to such date, such replacement shall take effect, with respect to such Committed Borrowing, at the end of the then current Interest Period.</w:t>
      </w:r>
    </w:p>
    <w:p>
      <w:pPr>
        <w:spacing w:after="0" w:line="156" w:lineRule="exact"/>
        <w:rPr>
          <w:sz w:val="20"/>
          <w:szCs w:val="20"/>
          <w:color w:val="auto"/>
        </w:rPr>
      </w:pPr>
    </w:p>
    <w:p>
      <w:pPr>
        <w:jc w:val="both"/>
        <w:ind w:firstLine="656"/>
        <w:spacing w:after="0" w:line="253" w:lineRule="auto"/>
        <w:tabs>
          <w:tab w:leader="none" w:pos="1549" w:val="left"/>
        </w:tabs>
        <w:numPr>
          <w:ilvl w:val="0"/>
          <w:numId w:val="26"/>
        </w:numPr>
        <w:rPr>
          <w:rFonts w:ascii="Arial" w:cs="Arial" w:eastAsia="Arial" w:hAnsi="Arial"/>
          <w:sz w:val="22"/>
          <w:szCs w:val="22"/>
          <w:color w:val="auto"/>
        </w:rPr>
      </w:pPr>
      <w:r>
        <w:rPr>
          <w:rFonts w:ascii="Arial" w:cs="Arial" w:eastAsia="Arial" w:hAnsi="Arial"/>
          <w:sz w:val="22"/>
          <w:szCs w:val="22"/>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85" w:lineRule="exact"/>
        <w:rPr>
          <w:rFonts w:ascii="Arial" w:cs="Arial" w:eastAsia="Arial" w:hAnsi="Arial"/>
          <w:sz w:val="22"/>
          <w:szCs w:val="22"/>
          <w:color w:val="auto"/>
        </w:rPr>
      </w:pPr>
    </w:p>
    <w:p>
      <w:pPr>
        <w:jc w:val="both"/>
        <w:ind w:right="20" w:firstLine="656"/>
        <w:spacing w:after="0" w:line="253" w:lineRule="auto"/>
        <w:tabs>
          <w:tab w:leader="none" w:pos="1536" w:val="left"/>
        </w:tabs>
        <w:numPr>
          <w:ilvl w:val="0"/>
          <w:numId w:val="26"/>
        </w:numPr>
        <w:rPr>
          <w:rFonts w:ascii="Arial" w:cs="Arial" w:eastAsia="Arial" w:hAnsi="Arial"/>
          <w:sz w:val="22"/>
          <w:szCs w:val="22"/>
          <w:color w:val="auto"/>
        </w:rPr>
      </w:pPr>
      <w:r>
        <w:rPr>
          <w:rFonts w:ascii="Arial" w:cs="Arial" w:eastAsia="Arial" w:hAnsi="Arial"/>
          <w:sz w:val="22"/>
          <w:szCs w:val="22"/>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1.07 Times of Day. </w:t>
      </w:r>
      <w:r>
        <w:rPr>
          <w:rFonts w:ascii="Arial" w:cs="Arial" w:eastAsia="Arial" w:hAnsi="Arial"/>
          <w:sz w:val="22"/>
          <w:szCs w:val="22"/>
          <w:color w:val="auto"/>
        </w:rPr>
        <w:t>Unless otherwise specified, all references herein to times of day shall be references to Central time</w:t>
      </w:r>
      <w:r>
        <w:rPr>
          <w:rFonts w:ascii="Arial" w:cs="Arial" w:eastAsia="Arial" w:hAnsi="Arial"/>
          <w:sz w:val="22"/>
          <w:szCs w:val="22"/>
          <w:b w:val="1"/>
          <w:bCs w:val="1"/>
          <w:color w:val="auto"/>
        </w:rPr>
        <w:t xml:space="preserve"> </w:t>
      </w:r>
      <w:r>
        <w:rPr>
          <w:rFonts w:ascii="Arial" w:cs="Arial" w:eastAsia="Arial" w:hAnsi="Arial"/>
          <w:sz w:val="22"/>
          <w:szCs w:val="22"/>
          <w:color w:val="auto"/>
        </w:rPr>
        <w:t>(daylight or standard, as applicable).</w:t>
      </w:r>
    </w:p>
    <w:p>
      <w:pPr>
        <w:spacing w:after="0" w:line="16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1.08 Letter of Credit Amounts. </w:t>
      </w:r>
      <w:r>
        <w:rPr>
          <w:rFonts w:ascii="Arial" w:cs="Arial" w:eastAsia="Arial" w:hAnsi="Arial"/>
          <w:sz w:val="19"/>
          <w:szCs w:val="19"/>
          <w:color w:val="auto"/>
        </w:rPr>
        <w:t>Unless otherwise specified herein, the amount of a Letter of Credit at any time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deemed to be the Dollar Equivalent of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Issuer Document related thereto, provides for one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31" w:right="239" w:bottom="1440" w:gutter="0" w:footer="0" w:header="0"/>
        </w:sectPr>
      </w:pPr>
    </w:p>
    <w:bookmarkStart w:id="48" w:name="page49"/>
    <w:bookmarkEnd w:id="48"/>
    <w:p>
      <w:pPr>
        <w:jc w:val="both"/>
        <w:spacing w:after="0" w:line="253" w:lineRule="auto"/>
        <w:rPr>
          <w:sz w:val="20"/>
          <w:szCs w:val="20"/>
          <w:color w:val="auto"/>
        </w:rPr>
      </w:pPr>
      <w:r>
        <w:rPr>
          <w:rFonts w:ascii="Arial" w:cs="Arial" w:eastAsia="Arial" w:hAnsi="Arial"/>
          <w:sz w:val="22"/>
          <w:szCs w:val="22"/>
          <w:color w:val="auto"/>
        </w:rPr>
        <w:t>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1.09 Rounding. </w:t>
      </w:r>
      <w:r>
        <w:rPr>
          <w:rFonts w:ascii="Arial" w:cs="Arial" w:eastAsia="Arial" w:hAnsi="Arial"/>
          <w:sz w:val="22"/>
          <w:szCs w:val="22"/>
          <w:color w:val="auto"/>
        </w:rPr>
        <w:t>Any financial ratios required to be maintained by the Borrowers pursuant to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COMMITMENTS AND CREDIT EXTENSIONS</w:t>
      </w:r>
    </w:p>
    <w:p>
      <w:pPr>
        <w:spacing w:after="0" w:line="1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2.01 Committed Loans. </w:t>
      </w:r>
      <w:r>
        <w:rPr>
          <w:rFonts w:ascii="Arial" w:cs="Arial" w:eastAsia="Arial" w:hAnsi="Arial"/>
          <w:sz w:val="21"/>
          <w:szCs w:val="21"/>
          <w:color w:val="auto"/>
        </w:rPr>
        <w:t>Subject to the terms and conditions set forth herein, each Lender severally agrees to make loans</w:t>
      </w:r>
      <w:r>
        <w:rPr>
          <w:rFonts w:ascii="Arial" w:cs="Arial" w:eastAsia="Arial" w:hAnsi="Arial"/>
          <w:sz w:val="21"/>
          <w:szCs w:val="21"/>
          <w:b w:val="1"/>
          <w:bCs w:val="1"/>
          <w:color w:val="auto"/>
        </w:rPr>
        <w:t xml:space="preserve"> </w:t>
      </w:r>
      <w:r>
        <w:rPr>
          <w:rFonts w:ascii="Arial" w:cs="Arial" w:eastAsia="Arial" w:hAnsi="Arial"/>
          <w:sz w:val="21"/>
          <w:szCs w:val="21"/>
          <w:color w:val="auto"/>
        </w:rPr>
        <w:t>(each such loan, a “</w:t>
      </w:r>
      <w:r>
        <w:rPr>
          <w:rFonts w:ascii="Arial" w:cs="Arial" w:eastAsia="Arial" w:hAnsi="Arial"/>
          <w:sz w:val="21"/>
          <w:szCs w:val="21"/>
          <w:u w:val="single" w:color="auto"/>
          <w:color w:val="auto"/>
        </w:rPr>
        <w:t>Committed Loan</w:t>
      </w:r>
      <w:r>
        <w:rPr>
          <w:rFonts w:ascii="Arial" w:cs="Arial" w:eastAsia="Arial" w:hAnsi="Arial"/>
          <w:sz w:val="21"/>
          <w:szCs w:val="21"/>
          <w:color w:val="auto"/>
        </w:rPr>
        <w:t xml:space="preserve">”) to any of the Borrowers in Dollars or in one or more Alternative Currencies from time to time, on any Business Day during the Availability Period, the Dollar Equivalent of which does not exceed at any time outstanding the amount of such Lender’s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after giving effect to any Committed Borrowing, (i) the Total Outstandings shall not exceed the Aggregate Commitments, and (ii) the Revolving Credit Exposure of any Lender shall not exceed such Lender’s Commitment;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Toro Luxembourg may not request a Committed Borrowing, and no Lender shall have any obligation to make a Committed Loan to Toro Luxembourg, until such documents, opinions, certificates and other items, each in form and substance satisfactory to the Administrative Agent, are delivered to the Administrative Agent pursuant to </w:t>
      </w:r>
      <w:r>
        <w:rPr>
          <w:rFonts w:ascii="Arial" w:cs="Arial" w:eastAsia="Arial" w:hAnsi="Arial"/>
          <w:sz w:val="21"/>
          <w:szCs w:val="21"/>
          <w:u w:val="single" w:color="auto"/>
          <w:color w:val="auto"/>
        </w:rPr>
        <w:t>Sections 4.01(a)(iii)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(vii)</w:t>
      </w:r>
      <w:r>
        <w:rPr>
          <w:rFonts w:ascii="Arial" w:cs="Arial" w:eastAsia="Arial" w:hAnsi="Arial"/>
          <w:sz w:val="21"/>
          <w:szCs w:val="21"/>
          <w:color w:val="auto"/>
        </w:rPr>
        <w:t xml:space="preserve">. Within the limits of each Lender’s Commitment, and subject to the other terms and conditions hereof, the Borrowers may borrow under this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prepay under </w:t>
      </w:r>
      <w:r>
        <w:rPr>
          <w:rFonts w:ascii="Arial" w:cs="Arial" w:eastAsia="Arial" w:hAnsi="Arial"/>
          <w:sz w:val="21"/>
          <w:szCs w:val="21"/>
          <w:u w:val="single" w:color="auto"/>
          <w:color w:val="auto"/>
        </w:rPr>
        <w:t>Section 2.05</w:t>
      </w:r>
      <w:r>
        <w:rPr>
          <w:rFonts w:ascii="Arial" w:cs="Arial" w:eastAsia="Arial" w:hAnsi="Arial"/>
          <w:sz w:val="21"/>
          <w:szCs w:val="21"/>
          <w:color w:val="auto"/>
        </w:rPr>
        <w:t xml:space="preserve">, and reborrow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w:t>
      </w:r>
      <w:r>
        <w:rPr>
          <w:rFonts w:ascii="Arial" w:cs="Arial" w:eastAsia="Arial" w:hAnsi="Arial"/>
          <w:sz w:val="21"/>
          <w:szCs w:val="21"/>
          <w:color w:val="auto"/>
        </w:rPr>
        <w:t xml:space="preserve">. Committed Loans may be Base Rate Loans or Eurocurrency Rate Loans, as further provided herein;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any Borrowings made on the Closing Date or any of the three (3) Business Days following the Closing Date shall be made as Base Rate Loans unless Toro delivers a Funding Indemnity Letter not less than three (3) Business Days prior to the date of such Borrowing.</w:t>
      </w:r>
    </w:p>
    <w:p>
      <w:pPr>
        <w:spacing w:after="0" w:line="17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color w:val="auto"/>
        </w:rPr>
        <w:t>Borrowings, Conversions and Continuations of Committed Loans.</w:t>
      </w:r>
    </w:p>
    <w:p>
      <w:pPr>
        <w:spacing w:after="0" w:line="226" w:lineRule="exact"/>
        <w:rPr>
          <w:sz w:val="20"/>
          <w:szCs w:val="20"/>
          <w:color w:val="auto"/>
        </w:rPr>
      </w:pPr>
    </w:p>
    <w:p>
      <w:pPr>
        <w:jc w:val="both"/>
        <w:ind w:firstLine="656"/>
        <w:spacing w:after="0" w:line="259" w:lineRule="auto"/>
        <w:tabs>
          <w:tab w:leader="none" w:pos="1536"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Each Committed Borrowing, each conversion of Committed Loans from one Type to the other, and each continuation of Eurocurrency Rate Loans shall be made upon Toro’s irrevocable notice to the Administrative Agent, which may be given by (A) telephone or (B) a Loan Notice;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telephonic notice must be confirmed immediately by delivery to the Administrative Agent of a Loan Notice. Each such Loan Notice must be received by the Administrative Agent not later than 12:00 noon (i) three (3) Business Days prior to the requested date of any Borrowing of, conversion to or continuation of Eurocurrency Rate Loans denominated in Dollars or of any conversion of Eurocurrency Rate Loans denominated in Dollars to Base Rate Committed Loans, (ii) four (4) Business Days (or five (5) Business Days in the case of a Special Notice Currency) prior to the requested date of any Borrowing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49" w:name="page50"/>
    <w:bookmarkEnd w:id="49"/>
    <w:p>
      <w:pPr>
        <w:jc w:val="both"/>
        <w:spacing w:after="0" w:line="284" w:lineRule="auto"/>
        <w:rPr>
          <w:sz w:val="20"/>
          <w:szCs w:val="20"/>
          <w:color w:val="auto"/>
        </w:rPr>
      </w:pPr>
      <w:r>
        <w:rPr>
          <w:rFonts w:ascii="Arial" w:cs="Arial" w:eastAsia="Arial" w:hAnsi="Arial"/>
          <w:sz w:val="19"/>
          <w:szCs w:val="19"/>
          <w:color w:val="auto"/>
        </w:rPr>
        <w:t xml:space="preserve">continuation of Eurocurrency Rate Loans denominated in Alternative Currencies, and (iii) on the requested date of any Borrowing of Base Rate Committed Loans. Each Borrowing of, conversion to or continuation of Eurocurrency Rate Loans shall be in a principal amount of $5,000,000 or a whole multiple of $1,000,000 in excess thereof. Except as provided in </w:t>
      </w:r>
      <w:r>
        <w:rPr>
          <w:rFonts w:ascii="Arial" w:cs="Arial" w:eastAsia="Arial" w:hAnsi="Arial"/>
          <w:sz w:val="19"/>
          <w:szCs w:val="19"/>
          <w:u w:val="single" w:color="auto"/>
          <w:color w:val="auto"/>
        </w:rPr>
        <w:t>Sections 2.03(c)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2.04(c)</w:t>
      </w:r>
      <w:r>
        <w:rPr>
          <w:rFonts w:ascii="Arial" w:cs="Arial" w:eastAsia="Arial" w:hAnsi="Arial"/>
          <w:sz w:val="19"/>
          <w:szCs w:val="19"/>
          <w:color w:val="auto"/>
        </w:rPr>
        <w:t xml:space="preserve">, each Committed Borrowing of or conversion to Base Rate Committed Loans shall be in a principal amount of $500,000 or a whole multiple of $100,000 in excess thereof. Each Loan Notice shall specify (i) whether Toro (for itself or on behalf of a Subsidiary Borrower) is requesting a Committed Borrowing, a conversion of Committed Loans from one Type to the other, or a continuation of Eurocurrency Rate Loans, (ii) the requested date of the Committed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in the case of Committed Loans, the currency of the Committed Loans to be borrowed, and (vii) the applicable Borrower for which the Committed Loan is being requested. If Toro fails to specify a currency in a Loan Notice requesting a Committed Borrowing, then the Committed Loans so requested shall be made in Dollars. If Toro fails to specify a Type of Committed Loan in a Loan Notice or if Toro fails to give a timely notice requesting a conversion or continuation, then the applicable Committed Loans shall be made as, or converted to,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 failure to timely request a continuation of Committed Loans denominated in an Alternative Currency, such Committed Loans shall be continued as Eurocurrency Rate Loans in their original currency with an Interest Period of one month. Any automatic conversion to Base Rate Loans shall be effective as of the last day of the Interest Period then in effect with respect to the applicable Eurocurrency Rate Loans. If Toro requests a Committed Borrowing of, conversion to, or continuation of Eurocurrency Rate Loans in any such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Loan and reborrowed in the other currency.</w:t>
      </w:r>
    </w:p>
    <w:p>
      <w:pPr>
        <w:spacing w:after="0" w:line="175" w:lineRule="exact"/>
        <w:rPr>
          <w:sz w:val="20"/>
          <w:szCs w:val="20"/>
          <w:color w:val="auto"/>
        </w:rPr>
      </w:pPr>
    </w:p>
    <w:p>
      <w:pPr>
        <w:jc w:val="both"/>
        <w:ind w:firstLine="656"/>
        <w:spacing w:after="0" w:line="287" w:lineRule="auto"/>
        <w:tabs>
          <w:tab w:leader="none" w:pos="1549"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Following receipt of a Loan Notice, the Administrative Agent shall promptly notify each Lender of the amount (and currency) of its Applicable Percentage of the applicable Committed Loans, and if no timely notice of a conversion or continuation is provided by Toro, the Administrative Agent shall notify each Lender of the details of any automatic conversion to Base Rate Loans or, in the case of Committed Loans, continuation of such Committed Loans denominated in a currency other than Dollars, in each case as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Loan denominated in Dollars, and not later than the Applicable Time specified by the Administrative Agent in the case of any Committed Loan denominated in an Alternative Currency, in each case on the Business Day specified in the applicable Loan Notice. Upon satisfaction of the applicable conditions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4.01</w:t>
      </w:r>
      <w:r>
        <w:rPr>
          <w:rFonts w:ascii="Arial" w:cs="Arial" w:eastAsia="Arial" w:hAnsi="Arial"/>
          <w:sz w:val="19"/>
          <w:szCs w:val="19"/>
          <w:color w:val="auto"/>
        </w:rPr>
        <w:t>), the Administrative Agent shall make all funds so received available to the applicable Borrower identified in the Loan Notice in like funds as received by the Administrative Agent either by (i) crediting the account of such Borrower on the books of Bank of America with the amount of such funds or (ii) wire transfer of such funds, in each case in accordance with</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50" w:name="page51"/>
    <w:bookmarkEnd w:id="50"/>
    <w:p>
      <w:pPr>
        <w:jc w:val="both"/>
        <w:spacing w:after="0" w:line="248" w:lineRule="auto"/>
        <w:rPr>
          <w:sz w:val="20"/>
          <w:szCs w:val="20"/>
          <w:color w:val="auto"/>
        </w:rPr>
      </w:pPr>
      <w:r>
        <w:rPr>
          <w:rFonts w:ascii="Arial" w:cs="Arial" w:eastAsia="Arial" w:hAnsi="Arial"/>
          <w:sz w:val="22"/>
          <w:szCs w:val="22"/>
          <w:color w:val="auto"/>
        </w:rPr>
        <w:t xml:space="preserve">instructions provided to (and reasonably acceptable to) the Administrative Agent by such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if, on the date a Loan Notice with respect to a Borrowing denominated in Dollars is given to the Administrative Agent, there are L/C Borrowings outstanding owing by the same such applicable Borrower, then the proceeds of such Borrowing,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shall be applied to the payment in full of any such L/C Borrowings, and, </w:t>
      </w:r>
      <w:r>
        <w:rPr>
          <w:rFonts w:ascii="Arial" w:cs="Arial" w:eastAsia="Arial" w:hAnsi="Arial"/>
          <w:sz w:val="22"/>
          <w:szCs w:val="22"/>
          <w:u w:val="single" w:color="auto"/>
          <w:color w:val="auto"/>
        </w:rPr>
        <w:t>second</w:t>
      </w:r>
      <w:r>
        <w:rPr>
          <w:rFonts w:ascii="Arial" w:cs="Arial" w:eastAsia="Arial" w:hAnsi="Arial"/>
          <w:sz w:val="22"/>
          <w:szCs w:val="22"/>
          <w:color w:val="auto"/>
        </w:rPr>
        <w:t>, shall be made available to the applicable Borrower as provided above.</w:t>
      </w:r>
    </w:p>
    <w:p>
      <w:pPr>
        <w:spacing w:after="0" w:line="192" w:lineRule="exact"/>
        <w:rPr>
          <w:sz w:val="20"/>
          <w:szCs w:val="20"/>
          <w:color w:val="auto"/>
        </w:rPr>
      </w:pPr>
    </w:p>
    <w:p>
      <w:pPr>
        <w:jc w:val="both"/>
        <w:ind w:firstLine="656"/>
        <w:spacing w:after="0" w:line="261" w:lineRule="auto"/>
        <w:tabs>
          <w:tab w:leader="none" w:pos="1536" w:val="left"/>
        </w:tabs>
        <w:numPr>
          <w:ilvl w:val="0"/>
          <w:numId w:val="29"/>
        </w:numPr>
        <w:rPr>
          <w:rFonts w:ascii="Arial" w:cs="Arial" w:eastAsia="Arial" w:hAnsi="Arial"/>
          <w:sz w:val="21"/>
          <w:szCs w:val="21"/>
          <w:color w:val="auto"/>
        </w:rPr>
      </w:pPr>
      <w:r>
        <w:rPr>
          <w:rFonts w:ascii="Arial" w:cs="Arial" w:eastAsia="Arial" w:hAnsi="Arial"/>
          <w:sz w:val="21"/>
          <w:szCs w:val="21"/>
          <w:color w:val="auto"/>
        </w:rPr>
        <w:t>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(whether in Dollars or any Alternative Currency) without the consent of the Required Lenders, and the Required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180" w:lineRule="exact"/>
        <w:rPr>
          <w:rFonts w:ascii="Arial" w:cs="Arial" w:eastAsia="Arial" w:hAnsi="Arial"/>
          <w:sz w:val="21"/>
          <w:szCs w:val="21"/>
          <w:color w:val="auto"/>
        </w:rPr>
      </w:pPr>
    </w:p>
    <w:p>
      <w:pPr>
        <w:jc w:val="both"/>
        <w:ind w:firstLine="656"/>
        <w:spacing w:after="0" w:line="250" w:lineRule="auto"/>
        <w:tabs>
          <w:tab w:leader="none" w:pos="1549"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Administrative Agent shall promptly notify Toro and the Lenders of the interest rate applicable to any Interest Period for Eurocurrency Rate Loans upon determination of such interest rate. At any time that Base Rate Loans are outstanding, the Administrative Agent shall notify Toro and the Lenders of any change in Bank of America’s prime rate used in determining the Base Rate promptly following the public announcement of such change.</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29"/>
        </w:numPr>
        <w:rPr>
          <w:rFonts w:ascii="Arial" w:cs="Arial" w:eastAsia="Arial" w:hAnsi="Arial"/>
          <w:sz w:val="22"/>
          <w:szCs w:val="22"/>
          <w:color w:val="auto"/>
        </w:rPr>
      </w:pPr>
      <w:r>
        <w:rPr>
          <w:rFonts w:ascii="Arial" w:cs="Arial" w:eastAsia="Arial" w:hAnsi="Arial"/>
          <w:sz w:val="22"/>
          <w:szCs w:val="22"/>
          <w:color w:val="auto"/>
        </w:rPr>
        <w:t>After giving effect to all Committed Borrowings, all conversions of Committed Loans from one Type to the other, and all continuations of Committed Loans as the same Type, there shall not be more than eight Interest Periods in effect with respect to Committed Loans.</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color w:val="auto"/>
        </w:rPr>
        <w:t>Letters of Credit.</w:t>
      </w:r>
    </w:p>
    <w:p>
      <w:pPr>
        <w:spacing w:after="0" w:line="226" w:lineRule="exact"/>
        <w:rPr>
          <w:sz w:val="20"/>
          <w:szCs w:val="20"/>
          <w:color w:val="auto"/>
        </w:rPr>
      </w:pPr>
    </w:p>
    <w:p>
      <w:pPr>
        <w:ind w:left="1540" w:hanging="884"/>
        <w:spacing w:after="0"/>
        <w:tabs>
          <w:tab w:leader="none" w:pos="15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The Letter of Credit Commitment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5"/>
        <w:spacing w:after="0" w:line="287" w:lineRule="auto"/>
        <w:tabs>
          <w:tab w:leader="none" w:pos="21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(A) the L/C Issuer agrees, in reliance upon the agreements of the Lenders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(1) from time to time on any Business Day during the period from the Closing Date until the Letter of Credit Expiration Date, to issue Letters of Credit denominated in Dollars or in one or more Alternative Currencies for the account of an L/C Party, and to amend or extend Letters of Credit previously issued by it, in accordance with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and (2) to honor drawings under the Letters of Credit; and (B) the Lenders severally agree to participate in Letters of Credit issued for the account of any L/C Party and any drawings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L/C Credit Extension with respect to any Letter of Credit, (x) the Total Outstandings shall not exceed the Aggregate Commitments, (y) the Revolving Credit Exposure of any Lender shall not exceed such Lender’s Commitment, and (z) the Outstanding Amount of the L/C Obligations shall not exceed the Letter of Credit Sublimit. Each request by an L/C Party for the issuance or amendment of a Letter of Credit shall be deemed to be a representation by such L/C Party that the L/C Credit Extension so requested complies with the conditions set forth in the provisos to the preceding sentence. Within the foregoing limits, and subject to the terms and conditions hereof, each L/C Party’s ability to obtain Letters of Credit shall be fully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1" w:right="239" w:bottom="1440" w:gutter="0" w:footer="0" w:header="0"/>
        </w:sectPr>
      </w:pPr>
    </w:p>
    <w:bookmarkStart w:id="51" w:name="page52"/>
    <w:bookmarkEnd w:id="51"/>
    <w:p>
      <w:pPr>
        <w:jc w:val="both"/>
        <w:spacing w:after="0" w:line="250" w:lineRule="auto"/>
        <w:rPr>
          <w:sz w:val="20"/>
          <w:szCs w:val="20"/>
          <w:color w:val="auto"/>
        </w:rPr>
      </w:pPr>
      <w:r>
        <w:rPr>
          <w:rFonts w:ascii="Arial" w:cs="Arial" w:eastAsia="Arial" w:hAnsi="Arial"/>
          <w:sz w:val="22"/>
          <w:szCs w:val="22"/>
          <w:color w:val="auto"/>
        </w:rPr>
        <w:t>revolving, and accordingly each L/C Party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88" w:lineRule="exact"/>
        <w:rPr>
          <w:sz w:val="20"/>
          <w:szCs w:val="20"/>
          <w:color w:val="auto"/>
        </w:rPr>
      </w:pPr>
    </w:p>
    <w:p>
      <w:pPr>
        <w:ind w:left="1560" w:hanging="915"/>
        <w:spacing w:after="0"/>
        <w:tabs>
          <w:tab w:leader="none" w:pos="15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L/C Issuer shall not issue any Letter of Credit, if:</w:t>
      </w:r>
    </w:p>
    <w:p>
      <w:pPr>
        <w:spacing w:after="0" w:line="219" w:lineRule="exact"/>
        <w:rPr>
          <w:rFonts w:ascii="Arial" w:cs="Arial" w:eastAsia="Arial" w:hAnsi="Arial"/>
          <w:sz w:val="22"/>
          <w:szCs w:val="22"/>
          <w:color w:val="auto"/>
        </w:rPr>
      </w:pPr>
    </w:p>
    <w:p>
      <w:pPr>
        <w:jc w:val="both"/>
        <w:ind w:left="640" w:firstLine="653"/>
        <w:spacing w:after="0" w:line="253" w:lineRule="auto"/>
        <w:tabs>
          <w:tab w:leader="none" w:pos="2317"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2.03(b)(iii)</w:t>
      </w:r>
      <w:r>
        <w:rPr>
          <w:rFonts w:ascii="Arial" w:cs="Arial" w:eastAsia="Arial" w:hAnsi="Arial"/>
          <w:sz w:val="22"/>
          <w:szCs w:val="22"/>
          <w:color w:val="auto"/>
        </w:rPr>
        <w:t>, the expiry date of such requested Letter of Credit would occur more than thirty months after the date of issuance or last extension, unless the Required Lenders have approved such expiry date; or</w:t>
      </w:r>
    </w:p>
    <w:p>
      <w:pPr>
        <w:spacing w:after="0" w:line="185" w:lineRule="exact"/>
        <w:rPr>
          <w:rFonts w:ascii="Arial" w:cs="Arial" w:eastAsia="Arial" w:hAnsi="Arial"/>
          <w:sz w:val="22"/>
          <w:szCs w:val="22"/>
          <w:color w:val="auto"/>
        </w:rPr>
      </w:pPr>
    </w:p>
    <w:p>
      <w:pPr>
        <w:ind w:left="640" w:firstLine="653"/>
        <w:spacing w:after="0" w:line="263" w:lineRule="auto"/>
        <w:tabs>
          <w:tab w:leader="none" w:pos="2224"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expiry date of such requested Letter of Credit would occur after the Letter of Credit Expiration Date, unless all the Lenders have approved such expiry date.</w:t>
      </w:r>
    </w:p>
    <w:p>
      <w:pPr>
        <w:spacing w:after="0" w:line="174" w:lineRule="exact"/>
        <w:rPr>
          <w:rFonts w:ascii="Arial" w:cs="Arial" w:eastAsia="Arial" w:hAnsi="Arial"/>
          <w:sz w:val="22"/>
          <w:szCs w:val="22"/>
          <w:color w:val="auto"/>
        </w:rPr>
      </w:pPr>
    </w:p>
    <w:p>
      <w:pPr>
        <w:ind w:left="1620" w:hanging="975"/>
        <w:spacing w:after="0"/>
        <w:tabs>
          <w:tab w:leader="none" w:pos="16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L/C Issuer shall not be under any obligation to issue any Letter of Credit if:</w:t>
      </w:r>
    </w:p>
    <w:p>
      <w:pPr>
        <w:spacing w:after="0" w:line="219" w:lineRule="exact"/>
        <w:rPr>
          <w:rFonts w:ascii="Arial" w:cs="Arial" w:eastAsia="Arial" w:hAnsi="Arial"/>
          <w:sz w:val="22"/>
          <w:szCs w:val="22"/>
          <w:color w:val="auto"/>
        </w:rPr>
      </w:pPr>
    </w:p>
    <w:p>
      <w:pPr>
        <w:jc w:val="both"/>
        <w:ind w:left="640" w:firstLine="653"/>
        <w:spacing w:after="0" w:line="290" w:lineRule="auto"/>
        <w:tabs>
          <w:tab w:leader="none" w:pos="2236" w:val="left"/>
        </w:tabs>
        <w:numPr>
          <w:ilvl w:val="1"/>
          <w:numId w:val="31"/>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56" w:lineRule="exact"/>
        <w:rPr>
          <w:rFonts w:ascii="Arial" w:cs="Arial" w:eastAsia="Arial" w:hAnsi="Arial"/>
          <w:sz w:val="19"/>
          <w:szCs w:val="19"/>
          <w:color w:val="auto"/>
        </w:rPr>
      </w:pPr>
    </w:p>
    <w:p>
      <w:pPr>
        <w:ind w:left="640" w:firstLine="653"/>
        <w:spacing w:after="0" w:line="263" w:lineRule="auto"/>
        <w:tabs>
          <w:tab w:leader="none" w:pos="2224"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one or more policies of the L/C Issuer applicable to letters of credit generally;</w:t>
      </w:r>
    </w:p>
    <w:p>
      <w:pPr>
        <w:spacing w:after="0" w:line="174" w:lineRule="exact"/>
        <w:rPr>
          <w:rFonts w:ascii="Arial" w:cs="Arial" w:eastAsia="Arial" w:hAnsi="Arial"/>
          <w:sz w:val="22"/>
          <w:szCs w:val="22"/>
          <w:color w:val="auto"/>
        </w:rPr>
      </w:pPr>
    </w:p>
    <w:p>
      <w:pPr>
        <w:ind w:left="640" w:firstLine="653"/>
        <w:spacing w:after="0" w:line="263" w:lineRule="auto"/>
        <w:tabs>
          <w:tab w:leader="none" w:pos="2224" w:val="left"/>
        </w:tabs>
        <w:numPr>
          <w:ilvl w:val="1"/>
          <w:numId w:val="31"/>
        </w:numPr>
        <w:rPr>
          <w:rFonts w:ascii="Arial" w:cs="Arial" w:eastAsia="Arial" w:hAnsi="Arial"/>
          <w:sz w:val="22"/>
          <w:szCs w:val="22"/>
          <w:color w:val="auto"/>
        </w:rPr>
      </w:pPr>
      <w:r>
        <w:rPr>
          <w:rFonts w:ascii="Arial" w:cs="Arial" w:eastAsia="Arial" w:hAnsi="Arial"/>
          <w:sz w:val="22"/>
          <w:szCs w:val="22"/>
          <w:color w:val="auto"/>
        </w:rPr>
        <w:t>except as otherwise agreed by the Administrative Agent and the L/C Issuer, such Letter of Credit is in an initial stated amount less than the Dollar Equivalent of $1,000,000;</w:t>
      </w:r>
    </w:p>
    <w:p>
      <w:pPr>
        <w:spacing w:after="0" w:line="174" w:lineRule="exact"/>
        <w:rPr>
          <w:rFonts w:ascii="Arial" w:cs="Arial" w:eastAsia="Arial" w:hAnsi="Arial"/>
          <w:sz w:val="22"/>
          <w:szCs w:val="22"/>
          <w:color w:val="auto"/>
        </w:rPr>
      </w:pPr>
    </w:p>
    <w:p>
      <w:pPr>
        <w:ind w:left="640" w:firstLine="653"/>
        <w:spacing w:after="0" w:line="263" w:lineRule="auto"/>
        <w:tabs>
          <w:tab w:leader="none" w:pos="2236" w:val="left"/>
        </w:tabs>
        <w:numPr>
          <w:ilvl w:val="1"/>
          <w:numId w:val="31"/>
        </w:numPr>
        <w:rPr>
          <w:rFonts w:ascii="Arial" w:cs="Arial" w:eastAsia="Arial" w:hAnsi="Arial"/>
          <w:sz w:val="22"/>
          <w:szCs w:val="22"/>
          <w:color w:val="auto"/>
        </w:rPr>
      </w:pPr>
      <w:r>
        <w:rPr>
          <w:rFonts w:ascii="Arial" w:cs="Arial" w:eastAsia="Arial" w:hAnsi="Arial"/>
          <w:sz w:val="22"/>
          <w:szCs w:val="22"/>
          <w:color w:val="auto"/>
        </w:rPr>
        <w:t>except as otherwise agreed by the Administrative Agent and the L/C Issuer, such Letter of Credit is to be denominated in a currency other than Dollars or an Alternative Currency;</w:t>
      </w:r>
    </w:p>
    <w:p>
      <w:pPr>
        <w:spacing w:after="0" w:line="174" w:lineRule="exact"/>
        <w:rPr>
          <w:rFonts w:ascii="Arial" w:cs="Arial" w:eastAsia="Arial" w:hAnsi="Arial"/>
          <w:sz w:val="22"/>
          <w:szCs w:val="22"/>
          <w:color w:val="auto"/>
        </w:rPr>
      </w:pPr>
    </w:p>
    <w:p>
      <w:pPr>
        <w:ind w:left="640" w:right="20" w:firstLine="653"/>
        <w:spacing w:after="0" w:line="263" w:lineRule="auto"/>
        <w:tabs>
          <w:tab w:leader="none" w:pos="2212"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L/C Issuer does not as of the issuance date of such requested Letter of Credit issue Letters of Credit in the requested currency; or</w:t>
      </w:r>
    </w:p>
    <w:p>
      <w:pPr>
        <w:spacing w:after="0" w:line="174" w:lineRule="exact"/>
        <w:rPr>
          <w:rFonts w:ascii="Arial" w:cs="Arial" w:eastAsia="Arial" w:hAnsi="Arial"/>
          <w:sz w:val="22"/>
          <w:szCs w:val="22"/>
          <w:color w:val="auto"/>
        </w:rPr>
      </w:pPr>
    </w:p>
    <w:p>
      <w:pPr>
        <w:ind w:left="640" w:firstLine="653"/>
        <w:spacing w:after="0" w:line="263" w:lineRule="auto"/>
        <w:tabs>
          <w:tab w:leader="none" w:pos="22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Lender is at that time a Defaulting Lender, unless the L/C Issuer has entered into arrangements, including the delivery of Cash Collateral,</w:t>
      </w:r>
    </w:p>
    <w:p>
      <w:pPr>
        <w:spacing w:after="0" w:line="200" w:lineRule="exact"/>
        <w:rPr>
          <w:sz w:val="20"/>
          <w:szCs w:val="20"/>
          <w:color w:val="auto"/>
        </w:rPr>
      </w:pPr>
    </w:p>
    <w:p>
      <w:pPr>
        <w:spacing w:after="0" w:line="21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760"/>
          </w:cols>
          <w:pgMar w:left="900" w:top="631" w:right="239" w:bottom="1440" w:gutter="0" w:footer="0" w:header="0"/>
        </w:sectPr>
      </w:pPr>
    </w:p>
    <w:bookmarkStart w:id="52" w:name="page53"/>
    <w:bookmarkEnd w:id="52"/>
    <w:p>
      <w:pPr>
        <w:jc w:val="both"/>
        <w:ind w:left="644"/>
        <w:spacing w:after="0" w:line="248" w:lineRule="auto"/>
        <w:rPr>
          <w:sz w:val="20"/>
          <w:szCs w:val="20"/>
          <w:color w:val="auto"/>
        </w:rPr>
      </w:pPr>
      <w:r>
        <w:rPr>
          <w:rFonts w:ascii="Arial" w:cs="Arial" w:eastAsia="Arial" w:hAnsi="Arial"/>
          <w:sz w:val="22"/>
          <w:szCs w:val="22"/>
          <w:color w:val="auto"/>
        </w:rPr>
        <w:t xml:space="preserve">satisfactory to the L/C Issuer (in its sole discretion) with the L/C Parties or such Defaulting Lender to eliminate the L/C Issuer’s actual or potential Fronting Exposure (after giving effect to </w:t>
      </w:r>
      <w:r>
        <w:rPr>
          <w:rFonts w:ascii="Arial" w:cs="Arial" w:eastAsia="Arial" w:hAnsi="Arial"/>
          <w:sz w:val="22"/>
          <w:szCs w:val="22"/>
          <w:u w:val="single" w:color="auto"/>
          <w:color w:val="auto"/>
        </w:rPr>
        <w:t>Section 2.16(a)(iv</w:t>
      </w:r>
      <w:r>
        <w:rPr>
          <w:rFonts w:ascii="Arial" w:cs="Arial" w:eastAsia="Arial" w:hAnsi="Arial"/>
          <w:sz w:val="22"/>
          <w:szCs w:val="22"/>
          <w:color w:val="auto"/>
        </w:rPr>
        <w:t>)) with respect to such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92" w:lineRule="exact"/>
        <w:rPr>
          <w:sz w:val="20"/>
          <w:szCs w:val="20"/>
          <w:color w:val="auto"/>
        </w:rPr>
      </w:pPr>
    </w:p>
    <w:p>
      <w:pPr>
        <w:ind w:left="644" w:firstLine="653"/>
        <w:spacing w:after="0" w:line="263" w:lineRule="auto"/>
        <w:tabs>
          <w:tab w:leader="none" w:pos="2240" w:val="left"/>
        </w:tabs>
        <w:numPr>
          <w:ilvl w:val="2"/>
          <w:numId w:val="32"/>
        </w:numPr>
        <w:rPr>
          <w:rFonts w:ascii="Arial" w:cs="Arial" w:eastAsia="Arial" w:hAnsi="Arial"/>
          <w:sz w:val="22"/>
          <w:szCs w:val="22"/>
          <w:color w:val="auto"/>
        </w:rPr>
      </w:pPr>
      <w:r>
        <w:rPr>
          <w:rFonts w:ascii="Arial" w:cs="Arial" w:eastAsia="Arial" w:hAnsi="Arial"/>
          <w:sz w:val="22"/>
          <w:szCs w:val="22"/>
          <w:color w:val="auto"/>
        </w:rPr>
        <w:t>such Letter of Credit contains any provisions for automatic reinstatement of the stated amount after any drawing thereunder.</w:t>
      </w:r>
    </w:p>
    <w:p>
      <w:pPr>
        <w:spacing w:after="0" w:line="174" w:lineRule="exact"/>
        <w:rPr>
          <w:rFonts w:ascii="Arial" w:cs="Arial" w:eastAsia="Arial" w:hAnsi="Arial"/>
          <w:sz w:val="22"/>
          <w:szCs w:val="22"/>
          <w:color w:val="auto"/>
        </w:rPr>
      </w:pPr>
    </w:p>
    <w:p>
      <w:pPr>
        <w:ind w:left="4" w:firstLine="645"/>
        <w:spacing w:after="0" w:line="263" w:lineRule="auto"/>
        <w:tabs>
          <w:tab w:leader="none" w:pos="1612"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L/C Issuer shall not amend any Letter of Credit if the L/C Issuer would not be permitted at such time to issue such Letter of Credit in its amended form under the terms hereof.</w:t>
      </w:r>
    </w:p>
    <w:p>
      <w:pPr>
        <w:spacing w:after="0" w:line="174" w:lineRule="exact"/>
        <w:rPr>
          <w:rFonts w:ascii="Arial" w:cs="Arial" w:eastAsia="Arial" w:hAnsi="Arial"/>
          <w:sz w:val="22"/>
          <w:szCs w:val="22"/>
          <w:color w:val="auto"/>
        </w:rPr>
      </w:pPr>
    </w:p>
    <w:p>
      <w:pPr>
        <w:jc w:val="both"/>
        <w:ind w:left="4" w:firstLine="645"/>
        <w:spacing w:after="0" w:line="271" w:lineRule="auto"/>
        <w:tabs>
          <w:tab w:leader="none" w:pos="1552"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67" w:lineRule="exact"/>
        <w:rPr>
          <w:rFonts w:ascii="Arial" w:cs="Arial" w:eastAsia="Arial" w:hAnsi="Arial"/>
          <w:sz w:val="21"/>
          <w:szCs w:val="21"/>
          <w:color w:val="auto"/>
        </w:rPr>
      </w:pPr>
    </w:p>
    <w:p>
      <w:pPr>
        <w:jc w:val="both"/>
        <w:ind w:left="4" w:firstLine="645"/>
        <w:spacing w:after="0" w:line="294" w:lineRule="auto"/>
        <w:tabs>
          <w:tab w:leader="none" w:pos="1612"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included the L/C Issuer with respect to such acts or omissions, and (B) as additionally provided herein with respect to the L/C Issuer.</w:t>
      </w:r>
    </w:p>
    <w:p>
      <w:pPr>
        <w:spacing w:after="0" w:line="149" w:lineRule="exact"/>
        <w:rPr>
          <w:rFonts w:ascii="Arial" w:cs="Arial" w:eastAsia="Arial" w:hAnsi="Arial"/>
          <w:sz w:val="19"/>
          <w:szCs w:val="19"/>
          <w:color w:val="auto"/>
        </w:rPr>
      </w:pPr>
    </w:p>
    <w:p>
      <w:pPr>
        <w:ind w:left="904" w:hanging="904"/>
        <w:spacing w:after="0"/>
        <w:tabs>
          <w:tab w:leader="none" w:pos="90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Procedures for Issuance and Amendment of Letters of Credit; Auto-Extension Letters of Credit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5"/>
        <w:spacing w:after="0" w:line="288" w:lineRule="auto"/>
        <w:tabs>
          <w:tab w:leader="none" w:pos="1504" w:val="left"/>
        </w:tabs>
        <w:numPr>
          <w:ilvl w:val="1"/>
          <w:numId w:val="34"/>
        </w:numPr>
        <w:rPr>
          <w:rFonts w:ascii="Arial" w:cs="Arial" w:eastAsia="Arial" w:hAnsi="Arial"/>
          <w:sz w:val="19"/>
          <w:szCs w:val="19"/>
          <w:color w:val="auto"/>
        </w:rPr>
      </w:pPr>
      <w:r>
        <w:rPr>
          <w:rFonts w:ascii="Arial" w:cs="Arial" w:eastAsia="Arial" w:hAnsi="Arial"/>
          <w:sz w:val="19"/>
          <w:szCs w:val="19"/>
          <w:color w:val="auto"/>
        </w:rPr>
        <w:t>Each Letter of Credit shall be issued or amended, as the case may be, upon the request of Toro delivered to the L/C Issuer (with a copy to the Administrative Agent) in the form of a Letter of Credit Application, appropriately completed and signed by a Responsible Officer of Toro. Such Letter of Credit Application may be sent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w:t>
      </w:r>
    </w:p>
    <w:p>
      <w:pPr>
        <w:spacing w:after="0" w:line="398"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764"/>
          </w:cols>
          <w:pgMar w:left="896" w:top="631" w:right="239" w:bottom="1440" w:gutter="0" w:footer="0" w:header="0"/>
        </w:sectPr>
      </w:pPr>
    </w:p>
    <w:bookmarkStart w:id="53" w:name="page54"/>
    <w:bookmarkEnd w:id="53"/>
    <w:p>
      <w:pPr>
        <w:jc w:val="both"/>
        <w:spacing w:after="0" w:line="289" w:lineRule="auto"/>
        <w:rPr>
          <w:sz w:val="20"/>
          <w:szCs w:val="20"/>
          <w:color w:val="auto"/>
        </w:rPr>
      </w:pPr>
      <w:r>
        <w:rPr>
          <w:rFonts w:ascii="Arial" w:cs="Arial" w:eastAsia="Arial" w:hAnsi="Arial"/>
          <w:sz w:val="19"/>
          <w:szCs w:val="19"/>
          <w:color w:val="auto"/>
        </w:rPr>
        <w:t>presented by such beneficiary in case of any drawing thereunder; (F) the full text of any certificate to be presented by such beneficiary in case of any drawing thereunder; (G) the applicable L/C Party for which such Letter of Credit is requested to be issued; (H) the purpose and nature of the requested Letter of Credit; and (I)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Toro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58" w:lineRule="exact"/>
        <w:rPr>
          <w:sz w:val="20"/>
          <w:szCs w:val="20"/>
          <w:color w:val="auto"/>
        </w:rPr>
      </w:pPr>
    </w:p>
    <w:p>
      <w:pPr>
        <w:jc w:val="both"/>
        <w:ind w:firstLine="645"/>
        <w:spacing w:after="0" w:line="288" w:lineRule="auto"/>
        <w:tabs>
          <w:tab w:leader="none" w:pos="1561"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Promptly after receipt of any Letter of Credit Application, the L/C Issuer will confirm with the Administrative Agent (by telephone or in writing) that the Administrative Agent has received a copy of such Letter of Credit Application from Toro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not then be satisfied, then, subject to the terms and conditions hereof, the L/C Issuer shall, on the requested date, issue a Letter of Credit for the account of the applicable L/C Party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Letter of Credit.</w:t>
      </w:r>
    </w:p>
    <w:p>
      <w:pPr>
        <w:spacing w:after="0" w:line="154" w:lineRule="exact"/>
        <w:rPr>
          <w:rFonts w:ascii="Arial" w:cs="Arial" w:eastAsia="Arial" w:hAnsi="Arial"/>
          <w:sz w:val="19"/>
          <w:szCs w:val="19"/>
          <w:color w:val="auto"/>
        </w:rPr>
      </w:pPr>
    </w:p>
    <w:p>
      <w:pPr>
        <w:jc w:val="both"/>
        <w:ind w:firstLine="645"/>
        <w:spacing w:after="0" w:line="287" w:lineRule="auto"/>
        <w:tabs>
          <w:tab w:leader="none" w:pos="1621"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Toro so requests in any applicable Letter of Credit Application, the L/C Issuer may, in its sole and absolute discretion, agree to issue a Letter of Credit that has automatic extension provisions (each, an “</w:t>
      </w:r>
      <w:r>
        <w:rPr>
          <w:rFonts w:ascii="Arial" w:cs="Arial" w:eastAsia="Arial" w:hAnsi="Arial"/>
          <w:sz w:val="19"/>
          <w:szCs w:val="19"/>
          <w:u w:val="single" w:color="auto"/>
          <w:color w:val="auto"/>
        </w:rPr>
        <w:t>Auto-Extension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at the time such Letter of Credit is issued. Unless otherwise directed by the L/C Issuer, neither Toro nor the applicable L/C Party shall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L/C Issuer shall not permit any such extension if (A) the L/C Issuer has determined that it would not be permitted, or would have no obligation, at such time to issue such Letter of Credit in its revised form (as extended) under the terms hereof (by reason of the</w:t>
      </w: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760"/>
          </w:cols>
          <w:pgMar w:left="900" w:top="631" w:right="239" w:bottom="1440" w:gutter="0" w:footer="0" w:header="0"/>
        </w:sectPr>
      </w:pPr>
    </w:p>
    <w:bookmarkStart w:id="54" w:name="page55"/>
    <w:bookmarkEnd w:id="54"/>
    <w:p>
      <w:pPr>
        <w:jc w:val="both"/>
        <w:ind w:left="4"/>
        <w:spacing w:after="0" w:line="263" w:lineRule="auto"/>
        <w:rPr>
          <w:sz w:val="20"/>
          <w:szCs w:val="20"/>
          <w:color w:val="auto"/>
        </w:rPr>
      </w:pPr>
      <w:r>
        <w:rPr>
          <w:rFonts w:ascii="Arial" w:cs="Arial" w:eastAsia="Arial" w:hAnsi="Arial"/>
          <w:sz w:val="21"/>
          <w:szCs w:val="21"/>
          <w:color w:val="auto"/>
        </w:rPr>
        <w:t xml:space="preserve">provisions of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2.03(a)</w:t>
      </w:r>
      <w:r>
        <w:rPr>
          <w:rFonts w:ascii="Arial" w:cs="Arial" w:eastAsia="Arial" w:hAnsi="Arial"/>
          <w:sz w:val="21"/>
          <w:szCs w:val="21"/>
          <w:color w:val="auto"/>
        </w:rPr>
        <w:t xml:space="preserve">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is not then satisfied, and in each such case directing the L/C Issuer not to permit such extension.</w:t>
      </w:r>
    </w:p>
    <w:p>
      <w:pPr>
        <w:spacing w:after="0" w:line="176" w:lineRule="exact"/>
        <w:rPr>
          <w:sz w:val="20"/>
          <w:szCs w:val="20"/>
          <w:color w:val="auto"/>
        </w:rPr>
      </w:pPr>
    </w:p>
    <w:p>
      <w:pPr>
        <w:jc w:val="both"/>
        <w:ind w:left="4" w:firstLine="645"/>
        <w:spacing w:after="0" w:line="271" w:lineRule="auto"/>
        <w:tabs>
          <w:tab w:leader="none" w:pos="1612" w:val="left"/>
        </w:tabs>
        <w:numPr>
          <w:ilvl w:val="1"/>
          <w:numId w:val="36"/>
        </w:numPr>
        <w:rPr>
          <w:rFonts w:ascii="Arial" w:cs="Arial" w:eastAsia="Arial" w:hAnsi="Arial"/>
          <w:sz w:val="21"/>
          <w:szCs w:val="21"/>
          <w:color w:val="auto"/>
        </w:rPr>
      </w:pPr>
      <w:r>
        <w:rPr>
          <w:rFonts w:ascii="Arial" w:cs="Arial" w:eastAsia="Arial" w:hAnsi="Arial"/>
          <w:sz w:val="21"/>
          <w:szCs w:val="21"/>
          <w:color w:val="auto"/>
        </w:rPr>
        <w:t>Promptly after its delivery of any Letter of Credit or any amendment to a Letter of Credit to an advising bank with respect thereto or to the beneficiary thereof, the L/C Issuer will also deliver to the applicable L/C Party and the Administrative Agent a true and complete copy of such Letter of Credit or amendment.</w:t>
      </w:r>
    </w:p>
    <w:p>
      <w:pPr>
        <w:spacing w:after="0" w:line="167" w:lineRule="exact"/>
        <w:rPr>
          <w:rFonts w:ascii="Arial" w:cs="Arial" w:eastAsia="Arial" w:hAnsi="Arial"/>
          <w:sz w:val="21"/>
          <w:szCs w:val="21"/>
          <w:color w:val="auto"/>
        </w:rPr>
      </w:pPr>
    </w:p>
    <w:p>
      <w:pPr>
        <w:ind w:left="884" w:hanging="884"/>
        <w:spacing w:after="0"/>
        <w:tabs>
          <w:tab w:leader="none" w:pos="88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Drawings and Reimbursements; Funding of Participations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5"/>
        <w:spacing w:after="0" w:line="286" w:lineRule="auto"/>
        <w:tabs>
          <w:tab w:leader="none" w:pos="1504" w:val="left"/>
        </w:tabs>
        <w:numPr>
          <w:ilvl w:val="1"/>
          <w:numId w:val="37"/>
        </w:numPr>
        <w:rPr>
          <w:rFonts w:ascii="Arial" w:cs="Arial" w:eastAsia="Arial" w:hAnsi="Arial"/>
          <w:sz w:val="19"/>
          <w:szCs w:val="19"/>
          <w:color w:val="auto"/>
        </w:rPr>
      </w:pPr>
      <w:r>
        <w:rPr>
          <w:rFonts w:ascii="Arial" w:cs="Arial" w:eastAsia="Arial" w:hAnsi="Arial"/>
          <w:sz w:val="19"/>
          <w:szCs w:val="19"/>
          <w:color w:val="auto"/>
        </w:rPr>
        <w:t>Upon receipt from the beneficiary of any Letter of Credit of any notice of a drawing under such Letter of Credit, the L/C Issuer shall notify the applicable L/C Party and the Administrative Agent thereof. In the case of a Letter of Credit denominated in an Alternative Currency, such L/C Party shall reimburse the L/C Issuer in such Alternative Currency, unless (A) the L/C Issuer (at its option) shall have specified in such notice that it will require reimbursement in Dollars, or</w:t>
      </w:r>
    </w:p>
    <w:p>
      <w:pPr>
        <w:spacing w:after="0" w:line="2" w:lineRule="exact"/>
        <w:rPr>
          <w:rFonts w:ascii="Arial" w:cs="Arial" w:eastAsia="Arial" w:hAnsi="Arial"/>
          <w:sz w:val="19"/>
          <w:szCs w:val="19"/>
          <w:color w:val="auto"/>
        </w:rPr>
      </w:pPr>
    </w:p>
    <w:p>
      <w:pPr>
        <w:jc w:val="both"/>
        <w:ind w:left="4"/>
        <w:spacing w:after="0" w:line="284" w:lineRule="auto"/>
        <w:rPr>
          <w:rFonts w:ascii="Arial" w:cs="Arial" w:eastAsia="Arial" w:hAnsi="Arial"/>
          <w:sz w:val="19"/>
          <w:szCs w:val="19"/>
          <w:color w:val="auto"/>
        </w:rPr>
      </w:pPr>
      <w:r>
        <w:rPr>
          <w:rFonts w:ascii="Arial" w:cs="Arial" w:eastAsia="Arial" w:hAnsi="Arial"/>
          <w:sz w:val="19"/>
          <w:szCs w:val="19"/>
          <w:color w:val="auto"/>
        </w:rPr>
        <w:t>(B) in the absence of any such requirement for reimbursement in Dollars, such L/C Party shall have notified the L/C Issuer promptly following receipt of the notice of drawing that the L/C Party will reimburse the L/C Issuer in Dollars. In the case of any such reimbursement in Dollars of a drawing under a Letter of Credit denominated in an Alternative Currency, the L/C Issuer shall notify the applicable L/C Party of the Dollar Equivalent of the amount of the drawing promptly following the determination thereof. Not later than 12:00 noon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Arial" w:cs="Arial" w:eastAsia="Arial" w:hAnsi="Arial"/>
          <w:sz w:val="19"/>
          <w:szCs w:val="19"/>
          <w:u w:val="single" w:color="auto"/>
          <w:color w:val="auto"/>
        </w:rPr>
        <w:t>Honor Date</w:t>
      </w:r>
      <w:r>
        <w:rPr>
          <w:rFonts w:ascii="Arial" w:cs="Arial" w:eastAsia="Arial" w:hAnsi="Arial"/>
          <w:sz w:val="19"/>
          <w:szCs w:val="19"/>
          <w:color w:val="auto"/>
        </w:rPr>
        <w:t xml:space="preserve">”), the applicable L/C Party shall reimburse the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and (B) the Dollar amount paid by applicable L/C Party, whether on or after the Honor Date, shall not be adequate on the date of that payment to purchase in accordance with normal banking procedures a sum denominated in the Alternative Currency equal to the drawing, the applicable L/C Party agrees, as a separate and independent obligation, to indemnify the L/C Issuer for the loss resulting from its inability on that date to purchase the Alternative Currency in the full amount of the drawing. If the applicable L/C Party fails to so reimburse the L/C Issuer by such time, the Administrative Agent or the L/C Issuer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and the amount of such Lender’s Applicable Percentage thereof. In such event, the applicable L/C Party shall be deemed to have requested a Committed Borrowing of Base Rate Loans to be disbursed on the Honor Date in an amount equal to the Unreimbursed</w:t>
      </w:r>
    </w:p>
    <w:p>
      <w:pPr>
        <w:spacing w:after="0" w:line="200" w:lineRule="exact"/>
        <w:rPr>
          <w:sz w:val="20"/>
          <w:szCs w:val="20"/>
          <w:color w:val="auto"/>
        </w:rPr>
      </w:pPr>
    </w:p>
    <w:p>
      <w:pPr>
        <w:spacing w:after="0" w:line="204"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764"/>
          </w:cols>
          <w:pgMar w:left="896" w:top="631" w:right="2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21"/>
          <w:szCs w:val="21"/>
          <w:color w:val="auto"/>
        </w:rPr>
        <w:t xml:space="preserve">Amount, without regard to the minimum and multiples specified in </w:t>
      </w:r>
      <w:r>
        <w:rPr>
          <w:rFonts w:ascii="Arial" w:cs="Arial" w:eastAsia="Arial" w:hAnsi="Arial"/>
          <w:sz w:val="21"/>
          <w:szCs w:val="21"/>
          <w:u w:val="single" w:color="auto"/>
          <w:color w:val="auto"/>
        </w:rPr>
        <w:t>Section 2.02</w:t>
      </w:r>
      <w:r>
        <w:rPr>
          <w:rFonts w:ascii="Arial" w:cs="Arial" w:eastAsia="Arial" w:hAnsi="Arial"/>
          <w:sz w:val="21"/>
          <w:szCs w:val="21"/>
          <w:color w:val="auto"/>
        </w:rPr>
        <w:t xml:space="preserve"> for the principal amount of Base Rate Loans, but subject to the amount of the unutilized portion of the Commitments and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(other than the delivery of a Loan Notice). Any notice given by the L/C Issuer or the Administrative Agent pursuant to this </w:t>
      </w:r>
      <w:r>
        <w:rPr>
          <w:rFonts w:ascii="Arial" w:cs="Arial" w:eastAsia="Arial" w:hAnsi="Arial"/>
          <w:sz w:val="21"/>
          <w:szCs w:val="21"/>
          <w:u w:val="single" w:color="auto"/>
          <w:color w:val="auto"/>
        </w:rPr>
        <w:t>Section 2.03(c)(i)</w:t>
      </w:r>
      <w:r>
        <w:rPr>
          <w:rFonts w:ascii="Arial" w:cs="Arial" w:eastAsia="Arial" w:hAnsi="Arial"/>
          <w:sz w:val="21"/>
          <w:szCs w:val="21"/>
          <w:color w:val="auto"/>
        </w:rPr>
        <w:t xml:space="preserve"> may be given by telephone if immediately confirmed in writing;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lack of such an immediate confirmation shall not affect the conclusiveness or binding effect of such notice.</w:t>
      </w:r>
    </w:p>
    <w:p>
      <w:pPr>
        <w:spacing w:after="0" w:line="176" w:lineRule="exact"/>
        <w:rPr>
          <w:sz w:val="20"/>
          <w:szCs w:val="20"/>
          <w:color w:val="auto"/>
        </w:rPr>
      </w:pPr>
    </w:p>
    <w:p>
      <w:pPr>
        <w:jc w:val="both"/>
        <w:ind w:firstLine="645"/>
        <w:spacing w:after="0" w:line="260" w:lineRule="auto"/>
        <w:tabs>
          <w:tab w:leader="none" w:pos="1561"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Each Lender shall upon any notice pursuant to </w:t>
      </w:r>
      <w:r>
        <w:rPr>
          <w:rFonts w:ascii="Arial" w:cs="Arial" w:eastAsia="Arial" w:hAnsi="Arial"/>
          <w:sz w:val="21"/>
          <w:szCs w:val="21"/>
          <w:u w:val="single" w:color="auto"/>
          <w:color w:val="auto"/>
        </w:rPr>
        <w:t>Section 2.03(c)(i)</w:t>
      </w:r>
      <w:r>
        <w:rPr>
          <w:rFonts w:ascii="Arial" w:cs="Arial" w:eastAsia="Arial" w:hAnsi="Arial"/>
          <w:sz w:val="21"/>
          <w:szCs w:val="21"/>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Applicable Percentage of the Unreimbursed Amount not later than 2:00 p.m. on the Business Day specified in such notice by the Administrative Agent, whereupon, subject to the provisions of </w:t>
      </w:r>
      <w:r>
        <w:rPr>
          <w:rFonts w:ascii="Arial" w:cs="Arial" w:eastAsia="Arial" w:hAnsi="Arial"/>
          <w:sz w:val="21"/>
          <w:szCs w:val="21"/>
          <w:u w:val="single" w:color="auto"/>
          <w:color w:val="auto"/>
        </w:rPr>
        <w:t>Section 2.03(c)(iii)</w:t>
      </w:r>
      <w:r>
        <w:rPr>
          <w:rFonts w:ascii="Arial" w:cs="Arial" w:eastAsia="Arial" w:hAnsi="Arial"/>
          <w:sz w:val="21"/>
          <w:szCs w:val="21"/>
          <w:color w:val="auto"/>
        </w:rPr>
        <w:t>, each Lender that so makes funds available shall be deemed to have made a Base Rate Committed Loan to the applicable L/C Party in such amount. The Administrative Agent shall remit the funds so received to the L/C Issuer in Dollars.</w:t>
      </w:r>
    </w:p>
    <w:p>
      <w:pPr>
        <w:spacing w:after="0" w:line="181" w:lineRule="exact"/>
        <w:rPr>
          <w:rFonts w:ascii="Arial" w:cs="Arial" w:eastAsia="Arial" w:hAnsi="Arial"/>
          <w:sz w:val="21"/>
          <w:szCs w:val="21"/>
          <w:color w:val="auto"/>
        </w:rPr>
      </w:pPr>
    </w:p>
    <w:p>
      <w:pPr>
        <w:jc w:val="both"/>
        <w:ind w:firstLine="645"/>
        <w:spacing w:after="0" w:line="292" w:lineRule="auto"/>
        <w:tabs>
          <w:tab w:leader="none" w:pos="1621"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Committed Borrowing of Base Rate Loans because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cannot be satisfied or for any other reason, the applicable L/C Party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firstLine="645"/>
        <w:spacing w:after="0" w:line="253" w:lineRule="auto"/>
        <w:tabs>
          <w:tab w:leader="none" w:pos="1608"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Until each Lender funds its Committed Loan or L/C Advance pursuant to this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to reimburse the L/C Issuer for any amount drawn under any Letter of Credit, interest in respect of such Lender’s Applicable Percentage of such amount shall be solely for the account of the L/C Issuer.</w:t>
      </w:r>
    </w:p>
    <w:p>
      <w:pPr>
        <w:spacing w:after="0" w:line="185" w:lineRule="exact"/>
        <w:rPr>
          <w:rFonts w:ascii="Arial" w:cs="Arial" w:eastAsia="Arial" w:hAnsi="Arial"/>
          <w:sz w:val="22"/>
          <w:szCs w:val="22"/>
          <w:color w:val="auto"/>
        </w:rPr>
      </w:pPr>
    </w:p>
    <w:p>
      <w:pPr>
        <w:jc w:val="both"/>
        <w:ind w:firstLine="645"/>
        <w:spacing w:after="0" w:line="258" w:lineRule="auto"/>
        <w:tabs>
          <w:tab w:leader="none" w:pos="1549"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Each Lender’s obligation to make Committed Loans or L/C Advances to reimburse the L/C Issuer for amounts drawn under Letters of Credit, as contemplated by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shall be absolute and unconditional and shall not be affected by any circumstance, including (A) any setoff, counterclaim, recoupment, defense or other right which such Lender may have against the L/C Issuer, the applicable L/C Party, any Subsidiary or any other Person for any reason whatsoever; (B) the occurrence or continuance of a Default, or (C) any other occurrence, event or condition, whether or not similar to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each Lender’s obligation to make Committed Loans pursuant to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is subject to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(other than delivery by an L/C Party of a Loan Notice). No such making of an L/C Advance shall relieve or otherwise impair the obligation of the applicable L/C Party to reimburse the L/C Issuer for the amount of any payment made by the L/C Issuer under any Letter of Credit, together with interest as provided herein.</w:t>
      </w:r>
    </w:p>
    <w:p>
      <w:pPr>
        <w:spacing w:after="0" w:line="200" w:lineRule="exact"/>
        <w:rPr>
          <w:sz w:val="20"/>
          <w:szCs w:val="20"/>
          <w:color w:val="auto"/>
        </w:rPr>
      </w:pPr>
    </w:p>
    <w:p>
      <w:pPr>
        <w:spacing w:after="0" w:line="2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760"/>
          </w:cols>
          <w:pgMar w:left="900" w:top="631" w:right="239" w:bottom="1440" w:gutter="0" w:footer="0" w:header="0"/>
        </w:sectPr>
      </w:pPr>
    </w:p>
    <w:bookmarkStart w:id="56" w:name="page57"/>
    <w:bookmarkEnd w:id="56"/>
    <w:p>
      <w:pPr>
        <w:jc w:val="both"/>
        <w:ind w:left="660" w:firstLine="645"/>
        <w:spacing w:after="0" w:line="288" w:lineRule="auto"/>
        <w:tabs>
          <w:tab w:leader="none" w:pos="2268"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Lender (through the Administrative Agent) with respect to any amounts owing under this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shall be conclusive absent manifest error.</w:t>
      </w:r>
    </w:p>
    <w:p>
      <w:pPr>
        <w:spacing w:after="0" w:line="154" w:lineRule="exact"/>
        <w:rPr>
          <w:rFonts w:ascii="Arial" w:cs="Arial" w:eastAsia="Arial" w:hAnsi="Arial"/>
          <w:sz w:val="19"/>
          <w:szCs w:val="19"/>
          <w:color w:val="auto"/>
        </w:rPr>
      </w:pPr>
    </w:p>
    <w:p>
      <w:pPr>
        <w:ind w:left="1560" w:hanging="904"/>
        <w:spacing w:after="0"/>
        <w:tabs>
          <w:tab w:leader="none" w:pos="15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Repayment of Participations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5"/>
        <w:spacing w:after="0" w:line="261" w:lineRule="auto"/>
        <w:tabs>
          <w:tab w:leader="none" w:pos="2160" w:val="left"/>
        </w:tabs>
        <w:numPr>
          <w:ilvl w:val="1"/>
          <w:numId w:val="40"/>
        </w:numPr>
        <w:rPr>
          <w:rFonts w:ascii="Arial" w:cs="Arial" w:eastAsia="Arial" w:hAnsi="Arial"/>
          <w:sz w:val="21"/>
          <w:szCs w:val="21"/>
          <w:color w:val="auto"/>
        </w:rPr>
      </w:pPr>
      <w:r>
        <w:rPr>
          <w:rFonts w:ascii="Arial" w:cs="Arial" w:eastAsia="Arial" w:hAnsi="Arial"/>
          <w:sz w:val="21"/>
          <w:szCs w:val="21"/>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21"/>
          <w:szCs w:val="21"/>
          <w:u w:val="single" w:color="auto"/>
          <w:color w:val="auto"/>
        </w:rPr>
        <w:t>Section 2.03(c)</w:t>
      </w:r>
      <w:r>
        <w:rPr>
          <w:rFonts w:ascii="Arial" w:cs="Arial" w:eastAsia="Arial" w:hAnsi="Arial"/>
          <w:sz w:val="21"/>
          <w:szCs w:val="21"/>
          <w:color w:val="auto"/>
        </w:rPr>
        <w:t>, if the Administrative Agent receives for the account of the L/C Issuer any payment in respect of the related Unreimbursed Amount or interest thereon (whether directly from the applicable L/C Party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180" w:lineRule="exact"/>
        <w:rPr>
          <w:rFonts w:ascii="Arial" w:cs="Arial" w:eastAsia="Arial" w:hAnsi="Arial"/>
          <w:sz w:val="21"/>
          <w:szCs w:val="21"/>
          <w:color w:val="auto"/>
        </w:rPr>
      </w:pPr>
    </w:p>
    <w:p>
      <w:pPr>
        <w:jc w:val="both"/>
        <w:ind w:left="660" w:firstLine="645"/>
        <w:spacing w:after="0" w:line="292" w:lineRule="auto"/>
        <w:tabs>
          <w:tab w:leader="none" w:pos="2221"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If any payment received by the Administrative Agent for the account of the L/C Issuer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2.03(c)(i)</w:t>
      </w:r>
      <w:r>
        <w:rPr>
          <w:rFonts w:ascii="Arial" w:cs="Arial" w:eastAsia="Arial" w:hAnsi="Arial"/>
          <w:sz w:val="19"/>
          <w:szCs w:val="19"/>
          <w:color w:val="auto"/>
        </w:rPr>
        <w:t xml:space="preserve"> is required to be returned under any of the circumstances described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51" w:lineRule="exact"/>
        <w:rPr>
          <w:rFonts w:ascii="Arial" w:cs="Arial" w:eastAsia="Arial" w:hAnsi="Arial"/>
          <w:sz w:val="19"/>
          <w:szCs w:val="19"/>
          <w:color w:val="auto"/>
        </w:rPr>
      </w:pPr>
    </w:p>
    <w:p>
      <w:pPr>
        <w:jc w:val="both"/>
        <w:ind w:firstLine="656"/>
        <w:spacing w:after="0" w:line="312" w:lineRule="auto"/>
        <w:tabs>
          <w:tab w:leader="none" w:pos="153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each L/C Party to reimburse the L/C Issuer for each drawing under each Letter of Credit issued for its account and to repay each related L/C Borrowing shall be absolute, unconditional and irrevocable, and shall be paid strictly in accordance with the terms of this Agreement under all circumstances, including the following:</w:t>
      </w:r>
    </w:p>
    <w:p>
      <w:pPr>
        <w:spacing w:after="0" w:line="133" w:lineRule="exact"/>
        <w:rPr>
          <w:rFonts w:ascii="Arial" w:cs="Arial" w:eastAsia="Arial" w:hAnsi="Arial"/>
          <w:sz w:val="19"/>
          <w:szCs w:val="19"/>
          <w:color w:val="auto"/>
        </w:rPr>
      </w:pPr>
    </w:p>
    <w:p>
      <w:pPr>
        <w:ind w:left="2160" w:hanging="855"/>
        <w:spacing w:after="0"/>
        <w:tabs>
          <w:tab w:leader="none" w:pos="21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any lack of validity or enforceability of such Letter of Credit, this Agreement, or any other Loan</w:t>
      </w:r>
    </w:p>
    <w:p>
      <w:pPr>
        <w:spacing w:after="0" w:line="2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Document;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631" w:right="239" w:bottom="1440" w:gutter="0" w:footer="0" w:header="0"/>
        </w:sectPr>
      </w:pPr>
    </w:p>
    <w:bookmarkStart w:id="57" w:name="page58"/>
    <w:bookmarkEnd w:id="57"/>
    <w:p>
      <w:pPr>
        <w:jc w:val="both"/>
        <w:ind w:left="660" w:firstLine="645"/>
        <w:spacing w:after="0" w:line="248" w:lineRule="auto"/>
        <w:tabs>
          <w:tab w:leader="none" w:pos="2221"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existence of any claim, counterclaim, setoff, defense or other right that any L/C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92" w:lineRule="exact"/>
        <w:rPr>
          <w:rFonts w:ascii="Arial" w:cs="Arial" w:eastAsia="Arial" w:hAnsi="Arial"/>
          <w:sz w:val="22"/>
          <w:szCs w:val="22"/>
          <w:color w:val="auto"/>
        </w:rPr>
      </w:pPr>
    </w:p>
    <w:p>
      <w:pPr>
        <w:jc w:val="both"/>
        <w:ind w:left="660" w:firstLine="645"/>
        <w:spacing w:after="0" w:line="250" w:lineRule="auto"/>
        <w:tabs>
          <w:tab w:leader="none" w:pos="2281"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8" w:lineRule="exact"/>
        <w:rPr>
          <w:rFonts w:ascii="Arial" w:cs="Arial" w:eastAsia="Arial" w:hAnsi="Arial"/>
          <w:sz w:val="22"/>
          <w:szCs w:val="22"/>
          <w:color w:val="auto"/>
        </w:rPr>
      </w:pPr>
    </w:p>
    <w:p>
      <w:pPr>
        <w:ind w:left="660" w:firstLine="645"/>
        <w:spacing w:after="0" w:line="343" w:lineRule="auto"/>
        <w:tabs>
          <w:tab w:leader="none" w:pos="2268" w:val="left"/>
        </w:tabs>
        <w:numPr>
          <w:ilvl w:val="0"/>
          <w:numId w:val="41"/>
        </w:numPr>
        <w:rPr>
          <w:rFonts w:ascii="Arial" w:cs="Arial" w:eastAsia="Arial" w:hAnsi="Arial"/>
          <w:sz w:val="19"/>
          <w:szCs w:val="19"/>
          <w:color w:val="auto"/>
        </w:rPr>
      </w:pPr>
      <w:r>
        <w:rPr>
          <w:rFonts w:ascii="Arial" w:cs="Arial" w:eastAsia="Arial" w:hAnsi="Arial"/>
          <w:sz w:val="19"/>
          <w:szCs w:val="19"/>
          <w:color w:val="auto"/>
        </w:rPr>
        <w:t>waiver by the L/C Issuer of any requirement that exists for the L/C Issuer’s protection and not the protection of any L/C Party or any waiver by the L/C Issuer which does not in fact materially prejudice any L/C Party;</w:t>
      </w:r>
    </w:p>
    <w:p>
      <w:pPr>
        <w:spacing w:after="0" w:line="104" w:lineRule="exact"/>
        <w:rPr>
          <w:rFonts w:ascii="Arial" w:cs="Arial" w:eastAsia="Arial" w:hAnsi="Arial"/>
          <w:sz w:val="19"/>
          <w:szCs w:val="19"/>
          <w:color w:val="auto"/>
        </w:rPr>
      </w:pPr>
    </w:p>
    <w:p>
      <w:pPr>
        <w:ind w:left="660" w:firstLine="645"/>
        <w:spacing w:after="0" w:line="263" w:lineRule="auto"/>
        <w:tabs>
          <w:tab w:leader="none" w:pos="2209" w:val="left"/>
        </w:tabs>
        <w:numPr>
          <w:ilvl w:val="0"/>
          <w:numId w:val="41"/>
        </w:numPr>
        <w:rPr>
          <w:rFonts w:ascii="Arial" w:cs="Arial" w:eastAsia="Arial" w:hAnsi="Arial"/>
          <w:sz w:val="22"/>
          <w:szCs w:val="22"/>
          <w:color w:val="auto"/>
        </w:rPr>
      </w:pPr>
      <w:r>
        <w:rPr>
          <w:rFonts w:ascii="Arial" w:cs="Arial" w:eastAsia="Arial" w:hAnsi="Arial"/>
          <w:sz w:val="22"/>
          <w:szCs w:val="22"/>
          <w:color w:val="auto"/>
        </w:rPr>
        <w:t>honor of a demand for payment presented electronically even if such Letter of Credit requires that demand be in the form of a draft;</w:t>
      </w:r>
    </w:p>
    <w:p>
      <w:pPr>
        <w:spacing w:after="0" w:line="174" w:lineRule="exact"/>
        <w:rPr>
          <w:rFonts w:ascii="Arial" w:cs="Arial" w:eastAsia="Arial" w:hAnsi="Arial"/>
          <w:sz w:val="22"/>
          <w:szCs w:val="22"/>
          <w:color w:val="auto"/>
        </w:rPr>
      </w:pPr>
    </w:p>
    <w:p>
      <w:pPr>
        <w:jc w:val="both"/>
        <w:ind w:left="660" w:firstLine="645"/>
        <w:spacing w:after="0" w:line="253" w:lineRule="auto"/>
        <w:tabs>
          <w:tab w:leader="none" w:pos="226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85" w:lineRule="exact"/>
        <w:rPr>
          <w:rFonts w:ascii="Arial" w:cs="Arial" w:eastAsia="Arial" w:hAnsi="Arial"/>
          <w:sz w:val="22"/>
          <w:szCs w:val="22"/>
          <w:color w:val="auto"/>
        </w:rPr>
      </w:pPr>
    </w:p>
    <w:p>
      <w:pPr>
        <w:jc w:val="both"/>
        <w:ind w:left="660" w:firstLine="645"/>
        <w:spacing w:after="0" w:line="297" w:lineRule="auto"/>
        <w:tabs>
          <w:tab w:leader="none" w:pos="2329"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47" w:lineRule="exact"/>
        <w:rPr>
          <w:rFonts w:ascii="Arial" w:cs="Arial" w:eastAsia="Arial" w:hAnsi="Arial"/>
          <w:sz w:val="19"/>
          <w:szCs w:val="19"/>
          <w:color w:val="auto"/>
        </w:rPr>
      </w:pPr>
    </w:p>
    <w:p>
      <w:pPr>
        <w:ind w:left="660" w:right="20" w:firstLine="645"/>
        <w:spacing w:after="0" w:line="287" w:lineRule="auto"/>
        <w:tabs>
          <w:tab w:leader="none" w:pos="2389" w:val="left"/>
        </w:tabs>
        <w:numPr>
          <w:ilvl w:val="0"/>
          <w:numId w:val="41"/>
        </w:numPr>
        <w:rPr>
          <w:rFonts w:ascii="Arial" w:cs="Arial" w:eastAsia="Arial" w:hAnsi="Arial"/>
          <w:sz w:val="21"/>
          <w:szCs w:val="21"/>
          <w:color w:val="auto"/>
        </w:rPr>
      </w:pPr>
      <w:r>
        <w:rPr>
          <w:rFonts w:ascii="Arial" w:cs="Arial" w:eastAsia="Arial" w:hAnsi="Arial"/>
          <w:sz w:val="21"/>
          <w:szCs w:val="21"/>
          <w:color w:val="auto"/>
        </w:rPr>
        <w:t>any adverse change in the relevant exchange rates or in the availability of the relevant Alternative Currency to the applicable L/C Party or any Subsidiary or in the relevant currency markets generally; or</w:t>
      </w:r>
    </w:p>
    <w:p>
      <w:pPr>
        <w:spacing w:after="0" w:line="151" w:lineRule="exact"/>
        <w:rPr>
          <w:rFonts w:ascii="Arial" w:cs="Arial" w:eastAsia="Arial" w:hAnsi="Arial"/>
          <w:sz w:val="21"/>
          <w:szCs w:val="21"/>
          <w:color w:val="auto"/>
        </w:rPr>
      </w:pPr>
    </w:p>
    <w:p>
      <w:pPr>
        <w:jc w:val="both"/>
        <w:ind w:left="660" w:firstLine="645"/>
        <w:spacing w:after="0" w:line="253" w:lineRule="auto"/>
        <w:tabs>
          <w:tab w:leader="none" w:pos="226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other circumstance or happening whatsoever, whether or not similar to any of the foregoing, including any other circumstance that might otherwise constitute a defense available to, or a discharge of, the L/C Parties or any Subsidiary.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applicable L/C Party shall promptly examine a copy of each Letter of Credit and each amendment thereto that is delivered to it and, in the event of any claim of noncompliance with Toro’s instructions or other irregularity, the applicable L/C Party will immediately notify the L/C Issuer. The applicable L/C Party shall be conclusively deemed to have waived any such claim against the L/C Issuer and its correspondents unless such notice is given as aforesaid.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58" w:name="page59"/>
    <w:bookmarkEnd w:id="58"/>
    <w:p>
      <w:pPr>
        <w:jc w:val="both"/>
        <w:ind w:left="660" w:firstLine="645"/>
        <w:spacing w:after="0" w:line="284" w:lineRule="auto"/>
        <w:tabs>
          <w:tab w:leader="none" w:pos="2172"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Role of L/C Issuer</w:t>
      </w:r>
      <w:r>
        <w:rPr>
          <w:rFonts w:ascii="Arial" w:cs="Arial" w:eastAsia="Arial" w:hAnsi="Arial"/>
          <w:sz w:val="19"/>
          <w:szCs w:val="19"/>
          <w:color w:val="auto"/>
        </w:rPr>
        <w:t xml:space="preserve">. Each Lender and each L/C Party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Each L/C Party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assumption is not intended to, and shall not, preclude the applicable L/C Party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in such clauses to the contrary notwithstanding, the applicable L/C Party may have a claim against the L/C Issuer, and the L/C Issuer may be liable to the applicable L/C Party, to the extent, but only to the extent, of any direct, as opposed to consequential or exemplary, damages suffered by the applicable L/C Party which such L/C Party proves were caused by the L/C Issuer’s willful misconduct or gross negligence or the L/C Issuer’s willful failure to pay under any Letter of Credit issued for the account of such L/C Party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Arial" w:cs="Arial" w:eastAsia="Arial" w:hAnsi="Arial"/>
          <w:sz w:val="19"/>
          <w:szCs w:val="19"/>
          <w:b w:val="1"/>
          <w:bCs w:val="1"/>
          <w:color w:val="auto"/>
        </w:rPr>
        <w:t>SWIFT</w:t>
      </w:r>
      <w:r>
        <w:rPr>
          <w:rFonts w:ascii="Arial" w:cs="Arial" w:eastAsia="Arial" w:hAnsi="Arial"/>
          <w:sz w:val="19"/>
          <w:szCs w:val="19"/>
          <w:color w:val="auto"/>
        </w:rPr>
        <w:t>”) message or overnight courier, or any other commercially reasonable means of communicating with a beneficiary.</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89" w:lineRule="auto"/>
        <w:tabs>
          <w:tab w:leader="none" w:pos="1549"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Applicability of ISP</w:t>
      </w:r>
      <w:r>
        <w:rPr>
          <w:rFonts w:ascii="Arial" w:cs="Arial" w:eastAsia="Arial" w:hAnsi="Arial"/>
          <w:sz w:val="19"/>
          <w:szCs w:val="19"/>
          <w:color w:val="auto"/>
        </w:rPr>
        <w:t>. Unless otherwise expressly agreed by the L/C Issuer and Toro or the applicable L/C Party when a Letter of Credit is issued (including any such agreement applicable to an Existing Letter of Credit), the rules of the ISP shall apply to each standby Letter of Credit. Notwithstanding the foregoing, the L/C Issuer shall not be responsible to any L/C Party for, and the L/C Issuer’s rights and remedies against such L/C Party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31" w:right="239" w:bottom="1440" w:gutter="0" w:footer="0" w:header="0"/>
        </w:sectPr>
      </w:pPr>
    </w:p>
    <w:bookmarkStart w:id="59" w:name="page60"/>
    <w:bookmarkEnd w:id="59"/>
    <w:p>
      <w:pPr>
        <w:jc w:val="both"/>
        <w:ind w:firstLine="656"/>
        <w:spacing w:after="0" w:line="288" w:lineRule="auto"/>
        <w:tabs>
          <w:tab w:leader="none" w:pos="1549"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L/C Parties shall pay to the Administrative Agent for the account of each Lender,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in accordance with its Applicable Percentage, in Dollars, a Letter of Credit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for each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1.08</w:t>
      </w:r>
      <w:r>
        <w:rPr>
          <w:rFonts w:ascii="Arial" w:cs="Arial" w:eastAsia="Arial" w:hAnsi="Arial"/>
          <w:sz w:val="19"/>
          <w:szCs w:val="19"/>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w:t>
      </w:r>
    </w:p>
    <w:p>
      <w:pPr>
        <w:spacing w:after="0" w:line="154" w:lineRule="exact"/>
        <w:rPr>
          <w:rFonts w:ascii="Arial" w:cs="Arial" w:eastAsia="Arial" w:hAnsi="Arial"/>
          <w:sz w:val="19"/>
          <w:szCs w:val="19"/>
          <w:color w:val="auto"/>
        </w:rPr>
      </w:pPr>
    </w:p>
    <w:p>
      <w:pPr>
        <w:jc w:val="both"/>
        <w:ind w:firstLine="656"/>
        <w:spacing w:after="0" w:line="288" w:lineRule="auto"/>
        <w:tabs>
          <w:tab w:leader="none" w:pos="150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L/C Issuer</w:t>
      </w:r>
      <w:r>
        <w:rPr>
          <w:rFonts w:ascii="Arial" w:cs="Arial" w:eastAsia="Arial" w:hAnsi="Arial"/>
          <w:sz w:val="19"/>
          <w:szCs w:val="19"/>
          <w:color w:val="auto"/>
        </w:rPr>
        <w:t xml:space="preserve">. The L/C Parties shall pay directly to the L/C Issuer for its own account, in Dollars, a fronting fee with respect to each Letter of Credit, at the rate per annum specified in the BofA Fee Letter, computed on the Dollar Equivalent of the daily amount available to be drawn under such Letter of Credit on a quarterly basis in arrears.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1.08</w:t>
      </w:r>
      <w:r>
        <w:rPr>
          <w:rFonts w:ascii="Arial" w:cs="Arial" w:eastAsia="Arial" w:hAnsi="Arial"/>
          <w:sz w:val="19"/>
          <w:szCs w:val="19"/>
          <w:color w:val="auto"/>
        </w:rPr>
        <w:t>. In addition, the L/C Parties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54" w:lineRule="exact"/>
        <w:rPr>
          <w:rFonts w:ascii="Arial" w:cs="Arial" w:eastAsia="Arial" w:hAnsi="Arial"/>
          <w:sz w:val="19"/>
          <w:szCs w:val="19"/>
          <w:color w:val="auto"/>
        </w:rPr>
      </w:pPr>
    </w:p>
    <w:p>
      <w:pPr>
        <w:ind w:firstLine="656"/>
        <w:spacing w:after="0" w:line="263" w:lineRule="auto"/>
        <w:tabs>
          <w:tab w:leader="none" w:pos="15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Conflict with Issuer Documents</w:t>
      </w:r>
      <w:r>
        <w:rPr>
          <w:rFonts w:ascii="Arial" w:cs="Arial" w:eastAsia="Arial" w:hAnsi="Arial"/>
          <w:sz w:val="22"/>
          <w:szCs w:val="22"/>
          <w:color w:val="auto"/>
        </w:rPr>
        <w:t>. In the event of any conflict between the terms hereof and the terms of any Issuer Document, the terms hereof shall control.</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2.04</w:t>
      </w:r>
      <w:r>
        <w:rPr>
          <w:sz w:val="20"/>
          <w:szCs w:val="20"/>
          <w:color w:val="auto"/>
        </w:rPr>
        <w:tab/>
      </w:r>
      <w:r>
        <w:rPr>
          <w:rFonts w:ascii="Arial" w:cs="Arial" w:eastAsia="Arial" w:hAnsi="Arial"/>
          <w:sz w:val="19"/>
          <w:szCs w:val="19"/>
          <w:b w:val="1"/>
          <w:bCs w:val="1"/>
          <w:color w:val="auto"/>
        </w:rPr>
        <w:t>Swing Line Loans.</w:t>
      </w:r>
    </w:p>
    <w:p>
      <w:pPr>
        <w:spacing w:after="0" w:line="226" w:lineRule="exact"/>
        <w:rPr>
          <w:sz w:val="20"/>
          <w:szCs w:val="20"/>
          <w:color w:val="auto"/>
        </w:rPr>
      </w:pPr>
    </w:p>
    <w:p>
      <w:pPr>
        <w:jc w:val="both"/>
        <w:ind w:firstLine="656"/>
        <w:spacing w:after="0" w:line="259" w:lineRule="auto"/>
        <w:tabs>
          <w:tab w:leader="none" w:pos="1536"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The Swing Line</w:t>
      </w:r>
      <w:r>
        <w:rPr>
          <w:rFonts w:ascii="Arial" w:cs="Arial" w:eastAsia="Arial" w:hAnsi="Arial"/>
          <w:sz w:val="21"/>
          <w:szCs w:val="21"/>
          <w:color w:val="auto"/>
        </w:rPr>
        <w:t xml:space="preserve">. Subject to the terms and conditions set forth herein, the Swing Line Lender, in reliance upon the agreements of the other Lenders set forth in this </w:t>
      </w:r>
      <w:r>
        <w:rPr>
          <w:rFonts w:ascii="Arial" w:cs="Arial" w:eastAsia="Arial" w:hAnsi="Arial"/>
          <w:sz w:val="21"/>
          <w:szCs w:val="21"/>
          <w:u w:val="single" w:color="auto"/>
          <w:color w:val="auto"/>
        </w:rPr>
        <w:t>Section 2.04</w:t>
      </w:r>
      <w:r>
        <w:rPr>
          <w:rFonts w:ascii="Arial" w:cs="Arial" w:eastAsia="Arial" w:hAnsi="Arial"/>
          <w:sz w:val="21"/>
          <w:szCs w:val="21"/>
          <w:color w:val="auto"/>
        </w:rPr>
        <w:t>, may in its sole discretion, make loans in Dollars (each such loan, a “</w:t>
      </w:r>
      <w:r>
        <w:rPr>
          <w:rFonts w:ascii="Arial" w:cs="Arial" w:eastAsia="Arial" w:hAnsi="Arial"/>
          <w:sz w:val="21"/>
          <w:szCs w:val="21"/>
          <w:u w:val="single" w:color="auto"/>
          <w:color w:val="auto"/>
        </w:rPr>
        <w:t>Swing Line Loan</w:t>
      </w:r>
      <w:r>
        <w:rPr>
          <w:rFonts w:ascii="Arial" w:cs="Arial" w:eastAsia="Arial" w:hAnsi="Arial"/>
          <w:sz w:val="21"/>
          <w:szCs w:val="21"/>
          <w:color w:val="auto"/>
        </w:rPr>
        <w:t xml:space="preserve">”) to Toro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 after giving effect to any Swing Line Loan, (i) the Total Outstandings shall not exceed the Aggregate Commitments, and (ii) the Revolving Credit Exposure of any Lender shall not exceed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21"/>
          <w:szCs w:val="21"/>
          <w:color w:val="auto"/>
        </w:rPr>
        <w:t xml:space="preserve">such Lender’s Commitment and (y) the Swing Line Lender shall not be under any obligation to make any Swing Line Loan if it shall determine (which determination shall be conclusive and binding absent manifest error) that is has, or by such Credit Extension may have, Fronting Exposure. Within the foregoing limits, and subject to the other terms and conditions hereof, Toro may borrow under this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prepay under </w:t>
      </w:r>
      <w:r>
        <w:rPr>
          <w:rFonts w:ascii="Arial" w:cs="Arial" w:eastAsia="Arial" w:hAnsi="Arial"/>
          <w:sz w:val="21"/>
          <w:szCs w:val="21"/>
          <w:u w:val="single" w:color="auto"/>
          <w:color w:val="auto"/>
        </w:rPr>
        <w:t>Section 2.05</w:t>
      </w:r>
      <w:r>
        <w:rPr>
          <w:rFonts w:ascii="Arial" w:cs="Arial" w:eastAsia="Arial" w:hAnsi="Arial"/>
          <w:sz w:val="21"/>
          <w:szCs w:val="21"/>
          <w:color w:val="auto"/>
        </w:rPr>
        <w:t xml:space="preserve">, and reborrow under this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Each Swing Line Loan shall bear interest at (x) the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 for Base Rate Loans or (y) such other rate quoted to Toro by the Swing Line Lender on the date any Swing Line Loan shall be requested.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21"/>
          <w:szCs w:val="21"/>
          <w:u w:val="single" w:color="auto"/>
          <w:color w:val="auto"/>
        </w:rPr>
        <w:t>times</w:t>
      </w:r>
      <w:r>
        <w:rPr>
          <w:rFonts w:ascii="Arial" w:cs="Arial" w:eastAsia="Arial" w:hAnsi="Arial"/>
          <w:sz w:val="21"/>
          <w:szCs w:val="21"/>
          <w:color w:val="auto"/>
        </w:rPr>
        <w:t xml:space="preserve"> the amount of such Swing Line Loan.</w:t>
      </w:r>
    </w:p>
    <w:p>
      <w:pPr>
        <w:spacing w:after="0" w:line="180" w:lineRule="exact"/>
        <w:rPr>
          <w:sz w:val="20"/>
          <w:szCs w:val="20"/>
          <w:color w:val="auto"/>
        </w:rPr>
      </w:pPr>
    </w:p>
    <w:p>
      <w:pPr>
        <w:jc w:val="both"/>
        <w:ind w:firstLine="656"/>
        <w:spacing w:after="0" w:line="257" w:lineRule="auto"/>
        <w:tabs>
          <w:tab w:leader="none" w:pos="1549"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Borrowing Procedures</w:t>
      </w:r>
      <w:r>
        <w:rPr>
          <w:rFonts w:ascii="Arial" w:cs="Arial" w:eastAsia="Arial" w:hAnsi="Arial"/>
          <w:sz w:val="21"/>
          <w:szCs w:val="21"/>
          <w:color w:val="auto"/>
        </w:rPr>
        <w:t xml:space="preserve">. Each Swing Line Borrowing shall be made upon the irrevocable notice by Toro to the Swing Line Lender and the Administrative Agent, which may be given by (A) telephone or (B) by a Swing Line Loan Notice;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telephonic notice must be confirmed promptly by delivery to the Swing Line Lender and the Administrative Agent of a Swing Line Loan Notice. Each such Swing Line Loan Notice must be received by the Swing Line Lender and the Administrative Agent not later than 2:00 p.m. on the requested borrowing date, and shall specify (i) the amount to be borrowed, which shall be a minimum of $500,000,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of the contents thereof. Unless the Swing Line Lender has received notice (by telephone or in writing) from the Administrative Agent (including at the request of any Lender) prior to 3:00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21"/>
          <w:szCs w:val="21"/>
          <w:u w:val="single" w:color="auto"/>
          <w:color w:val="auto"/>
        </w:rPr>
        <w:t>Section 2.04(a)</w:t>
      </w:r>
      <w:r>
        <w:rPr>
          <w:rFonts w:ascii="Arial" w:cs="Arial" w:eastAsia="Arial" w:hAnsi="Arial"/>
          <w:sz w:val="21"/>
          <w:szCs w:val="21"/>
          <w:color w:val="auto"/>
        </w:rPr>
        <w:t xml:space="preserve">, or (B) that one or more of the applicable conditions specified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is not then satisfied, then, subject to the terms and conditions hereof, the Swing Line Lender will, not later than 4:00 p.m. on the borrowing date specified in such Swing Line Loan Notice, make the amount of its Swing Line Loan available to Toro at its office by crediting the account of Toro on the books of the Swing Line Lender in Same Day Funds.</w:t>
      </w:r>
    </w:p>
    <w:p>
      <w:pPr>
        <w:spacing w:after="0" w:line="184" w:lineRule="exact"/>
        <w:rPr>
          <w:rFonts w:ascii="Arial" w:cs="Arial" w:eastAsia="Arial" w:hAnsi="Arial"/>
          <w:sz w:val="21"/>
          <w:szCs w:val="21"/>
          <w:color w:val="auto"/>
        </w:rPr>
      </w:pPr>
    </w:p>
    <w:p>
      <w:pPr>
        <w:ind w:left="1540" w:hanging="884"/>
        <w:spacing w:after="0"/>
        <w:tabs>
          <w:tab w:leader="none" w:pos="154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Refinancing of Swing Line Loans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5"/>
        <w:spacing w:after="0" w:line="259" w:lineRule="auto"/>
        <w:tabs>
          <w:tab w:leader="none" w:pos="2160" w:val="left"/>
        </w:tabs>
        <w:numPr>
          <w:ilvl w:val="1"/>
          <w:numId w:val="46"/>
        </w:numPr>
        <w:rPr>
          <w:rFonts w:ascii="Arial" w:cs="Arial" w:eastAsia="Arial" w:hAnsi="Arial"/>
          <w:sz w:val="21"/>
          <w:szCs w:val="21"/>
          <w:color w:val="auto"/>
        </w:rPr>
      </w:pPr>
      <w:r>
        <w:rPr>
          <w:rFonts w:ascii="Arial" w:cs="Arial" w:eastAsia="Arial" w:hAnsi="Arial"/>
          <w:sz w:val="21"/>
          <w:szCs w:val="21"/>
          <w:color w:val="auto"/>
        </w:rPr>
        <w:t xml:space="preserve">The Swing Line Lender at any time in its sole and absolute discretion may request, on behalf of Toro (which hereby irrevocably authorizes the Swing Line Lender to so request on its behalf), that each Lender make a Base Rate Committed Loan in an amount equal to such Lender’s Applicable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21"/>
          <w:szCs w:val="21"/>
          <w:u w:val="single" w:color="auto"/>
          <w:color w:val="auto"/>
        </w:rPr>
        <w:t>Section 2.02</w:t>
      </w:r>
      <w:r>
        <w:rPr>
          <w:rFonts w:ascii="Arial" w:cs="Arial" w:eastAsia="Arial" w:hAnsi="Arial"/>
          <w:sz w:val="21"/>
          <w:szCs w:val="21"/>
          <w:color w:val="auto"/>
        </w:rPr>
        <w:t xml:space="preserve">, without regard to the minimum and multiples specified therein for the principal amount of Base Rate Loans, but subject to the unutilized portion of the Aggregate Commitments and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The Swing Line Lender shall furnish Toro with a copy of the applicable Loan Notice promptly after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31" w:right="239" w:bottom="1440" w:gutter="0" w:footer="0" w:header="0"/>
        </w:sectPr>
      </w:pPr>
    </w:p>
    <w:bookmarkStart w:id="61" w:name="page62"/>
    <w:bookmarkEnd w:id="61"/>
    <w:p>
      <w:pPr>
        <w:jc w:val="both"/>
        <w:ind w:left="4"/>
        <w:spacing w:after="0" w:line="260" w:lineRule="auto"/>
        <w:rPr>
          <w:sz w:val="20"/>
          <w:szCs w:val="20"/>
          <w:color w:val="auto"/>
        </w:rPr>
      </w:pPr>
      <w:r>
        <w:rPr>
          <w:rFonts w:ascii="Arial" w:cs="Arial" w:eastAsia="Arial" w:hAnsi="Arial"/>
          <w:sz w:val="21"/>
          <w:szCs w:val="21"/>
          <w:color w:val="auto"/>
        </w:rPr>
        <w:t xml:space="preserve">delivering such notice to the Administrative Agent. Each Lender shall make an amount equal to its Applicable Percentage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Loan Notice, whereupon, subject to </w:t>
      </w:r>
      <w:r>
        <w:rPr>
          <w:rFonts w:ascii="Arial" w:cs="Arial" w:eastAsia="Arial" w:hAnsi="Arial"/>
          <w:sz w:val="21"/>
          <w:szCs w:val="21"/>
          <w:u w:val="single" w:color="auto"/>
          <w:color w:val="auto"/>
        </w:rPr>
        <w:t>Section 2.04(c)(ii)</w:t>
      </w:r>
      <w:r>
        <w:rPr>
          <w:rFonts w:ascii="Arial" w:cs="Arial" w:eastAsia="Arial" w:hAnsi="Arial"/>
          <w:sz w:val="21"/>
          <w:szCs w:val="21"/>
          <w:color w:val="auto"/>
        </w:rPr>
        <w:t>, each Lender that so makes funds available shall be deemed to have made a Base Rate Committed Loan to Toro in such amount. The Administrative Agent shall remit the funds so received to the Swing Line Lender.</w:t>
      </w:r>
    </w:p>
    <w:p>
      <w:pPr>
        <w:spacing w:after="0" w:line="181" w:lineRule="exact"/>
        <w:rPr>
          <w:sz w:val="20"/>
          <w:szCs w:val="20"/>
          <w:color w:val="auto"/>
        </w:rPr>
      </w:pPr>
    </w:p>
    <w:p>
      <w:pPr>
        <w:jc w:val="both"/>
        <w:ind w:left="4" w:firstLine="645"/>
        <w:spacing w:after="0" w:line="297" w:lineRule="auto"/>
        <w:tabs>
          <w:tab w:leader="none" w:pos="1564" w:val="left"/>
        </w:tabs>
        <w:numPr>
          <w:ilvl w:val="1"/>
          <w:numId w:val="47"/>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Committed Borrowing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Base Rate Committed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be deemed payment in respect of such participation.</w:t>
      </w:r>
    </w:p>
    <w:p>
      <w:pPr>
        <w:spacing w:after="0" w:line="147" w:lineRule="exact"/>
        <w:rPr>
          <w:rFonts w:ascii="Arial" w:cs="Arial" w:eastAsia="Arial" w:hAnsi="Arial"/>
          <w:sz w:val="19"/>
          <w:szCs w:val="19"/>
          <w:color w:val="auto"/>
        </w:rPr>
      </w:pPr>
    </w:p>
    <w:p>
      <w:pPr>
        <w:jc w:val="both"/>
        <w:ind w:left="4" w:firstLine="645"/>
        <w:spacing w:after="0" w:line="283" w:lineRule="auto"/>
        <w:tabs>
          <w:tab w:leader="none" w:pos="1624" w:val="left"/>
        </w:tabs>
        <w:numPr>
          <w:ilvl w:val="1"/>
          <w:numId w:val="47"/>
        </w:numPr>
        <w:rPr>
          <w:rFonts w:ascii="Arial" w:cs="Arial" w:eastAsia="Arial" w:hAnsi="Arial"/>
          <w:sz w:val="19"/>
          <w:szCs w:val="19"/>
          <w:color w:val="auto"/>
        </w:rPr>
      </w:pPr>
      <w:r>
        <w:rPr>
          <w:rFonts w:ascii="Arial" w:cs="Arial" w:eastAsia="Arial" w:hAnsi="Arial"/>
          <w:sz w:val="19"/>
          <w:szCs w:val="19"/>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9"/>
          <w:szCs w:val="19"/>
          <w:u w:val="single" w:color="auto"/>
          <w:color w:val="auto"/>
        </w:rPr>
        <w:t>clause</w:t>
      </w:r>
    </w:p>
    <w:p>
      <w:pPr>
        <w:spacing w:after="0" w:line="7" w:lineRule="exact"/>
        <w:rPr>
          <w:rFonts w:ascii="Arial" w:cs="Arial" w:eastAsia="Arial" w:hAnsi="Arial"/>
          <w:sz w:val="19"/>
          <w:szCs w:val="19"/>
          <w:color w:val="auto"/>
        </w:rPr>
      </w:pPr>
    </w:p>
    <w:p>
      <w:pPr>
        <w:ind w:left="384" w:hanging="384"/>
        <w:spacing w:after="0"/>
        <w:tabs>
          <w:tab w:leader="none" w:pos="384" w:val="left"/>
        </w:tabs>
        <w:numPr>
          <w:ilvl w:val="0"/>
          <w:numId w:val="48"/>
        </w:numPr>
        <w:rPr>
          <w:rFonts w:ascii="Arial" w:cs="Arial" w:eastAsia="Arial" w:hAnsi="Arial"/>
          <w:sz w:val="22"/>
          <w:szCs w:val="22"/>
          <w:u w:val="single" w:color="auto"/>
          <w:color w:val="auto"/>
        </w:rPr>
      </w:pPr>
      <w:r>
        <w:rPr>
          <w:rFonts w:ascii="Arial" w:cs="Arial" w:eastAsia="Arial" w:hAnsi="Arial"/>
          <w:sz w:val="22"/>
          <w:szCs w:val="22"/>
          <w:color w:val="auto"/>
        </w:rPr>
        <w:t>shall be conclusive absent manifest error.</w:t>
      </w:r>
    </w:p>
    <w:p>
      <w:pPr>
        <w:spacing w:after="0" w:line="201" w:lineRule="exact"/>
        <w:rPr>
          <w:rFonts w:ascii="Arial" w:cs="Arial" w:eastAsia="Arial" w:hAnsi="Arial"/>
          <w:sz w:val="22"/>
          <w:szCs w:val="22"/>
          <w:u w:val="single" w:color="auto"/>
          <w:color w:val="auto"/>
        </w:rPr>
      </w:pPr>
    </w:p>
    <w:p>
      <w:pPr>
        <w:jc w:val="both"/>
        <w:ind w:left="4" w:firstLine="645"/>
        <w:spacing w:after="0" w:line="259" w:lineRule="auto"/>
        <w:tabs>
          <w:tab w:leader="none" w:pos="1612" w:val="left"/>
        </w:tabs>
        <w:numPr>
          <w:ilvl w:val="1"/>
          <w:numId w:val="48"/>
        </w:numPr>
        <w:rPr>
          <w:rFonts w:ascii="Arial" w:cs="Arial" w:eastAsia="Arial" w:hAnsi="Arial"/>
          <w:sz w:val="21"/>
          <w:szCs w:val="21"/>
          <w:color w:val="auto"/>
        </w:rPr>
      </w:pPr>
      <w:r>
        <w:rPr>
          <w:rFonts w:ascii="Arial" w:cs="Arial" w:eastAsia="Arial" w:hAnsi="Arial"/>
          <w:sz w:val="21"/>
          <w:szCs w:val="21"/>
          <w:color w:val="auto"/>
        </w:rPr>
        <w:t xml:space="preserve">Each Lender’s obligation to make Committed Loans or to purchase and fund risk participations in Swing Line Loans pursuant to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shall be absolute and unconditional and shall not be affected by any circumstance, including (A) any setoff, counterclaim, recoupment, defense or other right which such Lender may have against the Swing Line Lender, Toro any other Person for any reason whatsoever, (B) the occurrence or continuance of a Default, or (C) any other occurrence, event or condition, whether or not similar to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each Lender’s obligation to make Committed Loans pursuant to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is subject to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No such funding of risk participations shall relieve or otherwise impair the obligation of Toro to repay Swing Line Loans, together with interest as provided herein.</w:t>
      </w:r>
    </w:p>
    <w:p>
      <w:pPr>
        <w:spacing w:after="0" w:line="200" w:lineRule="exact"/>
        <w:rPr>
          <w:sz w:val="20"/>
          <w:szCs w:val="20"/>
          <w:color w:val="auto"/>
        </w:rPr>
      </w:pPr>
    </w:p>
    <w:p>
      <w:pPr>
        <w:spacing w:after="0" w:line="227"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0764"/>
          </w:cols>
          <w:pgMar w:left="896" w:top="631" w:right="239" w:bottom="1440" w:gutter="0" w:footer="0" w:header="0"/>
        </w:sectPr>
      </w:pPr>
    </w:p>
    <w:bookmarkStart w:id="62" w:name="page63"/>
    <w:bookmarkEnd w:id="62"/>
    <w:p>
      <w:pPr>
        <w:ind w:left="1560" w:hanging="904"/>
        <w:spacing w:after="0"/>
        <w:tabs>
          <w:tab w:leader="none" w:pos="15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Repayment of Participations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5"/>
        <w:spacing w:after="0" w:line="312" w:lineRule="auto"/>
        <w:tabs>
          <w:tab w:leader="none" w:pos="2160" w:val="left"/>
        </w:tabs>
        <w:numPr>
          <w:ilvl w:val="1"/>
          <w:numId w:val="49"/>
        </w:numPr>
        <w:rPr>
          <w:rFonts w:ascii="Arial" w:cs="Arial" w:eastAsia="Arial" w:hAnsi="Arial"/>
          <w:sz w:val="19"/>
          <w:szCs w:val="19"/>
          <w:color w:val="auto"/>
        </w:rPr>
      </w:pPr>
      <w:r>
        <w:rPr>
          <w:rFonts w:ascii="Arial" w:cs="Arial" w:eastAsia="Arial" w:hAnsi="Arial"/>
          <w:sz w:val="19"/>
          <w:szCs w:val="19"/>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133" w:lineRule="exact"/>
        <w:rPr>
          <w:rFonts w:ascii="Arial" w:cs="Arial" w:eastAsia="Arial" w:hAnsi="Arial"/>
          <w:sz w:val="19"/>
          <w:szCs w:val="19"/>
          <w:color w:val="auto"/>
        </w:rPr>
      </w:pPr>
    </w:p>
    <w:p>
      <w:pPr>
        <w:jc w:val="both"/>
        <w:ind w:left="660" w:firstLine="645"/>
        <w:spacing w:after="0" w:line="292" w:lineRule="auto"/>
        <w:tabs>
          <w:tab w:leader="none" w:pos="2221"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51" w:lineRule="exact"/>
        <w:rPr>
          <w:rFonts w:ascii="Arial" w:cs="Arial" w:eastAsia="Arial" w:hAnsi="Arial"/>
          <w:sz w:val="19"/>
          <w:szCs w:val="19"/>
          <w:color w:val="auto"/>
        </w:rPr>
      </w:pPr>
    </w:p>
    <w:p>
      <w:pPr>
        <w:jc w:val="both"/>
        <w:ind w:firstLine="656"/>
        <w:spacing w:after="0" w:line="250" w:lineRule="auto"/>
        <w:tabs>
          <w:tab w:leader="none" w:pos="153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Interest for Account of Swing Line Lender</w:t>
      </w:r>
      <w:r>
        <w:rPr>
          <w:rFonts w:ascii="Arial" w:cs="Arial" w:eastAsia="Arial" w:hAnsi="Arial"/>
          <w:sz w:val="22"/>
          <w:szCs w:val="22"/>
          <w:color w:val="auto"/>
        </w:rPr>
        <w:t xml:space="preserve">. The Swing Line Lender shall be responsible for invoicing Toro for interest on the Swing Line Loans. Until each Lender funds its Base Rate Committed Loan or risk participation pursuant to this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to refinance such Lender’s Applicable Percentage of any Swing Line Loan, interest in respect of such Applicable Percentage shall be solely for the account of the Swing Line Lender.</w:t>
      </w:r>
    </w:p>
    <w:p>
      <w:pPr>
        <w:spacing w:after="0" w:line="188" w:lineRule="exact"/>
        <w:rPr>
          <w:rFonts w:ascii="Arial" w:cs="Arial" w:eastAsia="Arial" w:hAnsi="Arial"/>
          <w:sz w:val="22"/>
          <w:szCs w:val="22"/>
          <w:color w:val="auto"/>
        </w:rPr>
      </w:pPr>
    </w:p>
    <w:p>
      <w:pPr>
        <w:ind w:firstLine="656"/>
        <w:spacing w:after="0" w:line="263" w:lineRule="auto"/>
        <w:tabs>
          <w:tab w:leader="none" w:pos="151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Payments Directly to Swing Line Lender</w:t>
      </w:r>
      <w:r>
        <w:rPr>
          <w:rFonts w:ascii="Arial" w:cs="Arial" w:eastAsia="Arial" w:hAnsi="Arial"/>
          <w:sz w:val="22"/>
          <w:szCs w:val="22"/>
          <w:color w:val="auto"/>
        </w:rPr>
        <w:t>. Toro shall make all payments of principal and interest in respect of the Swing Line Loans directly to the Swing Line Lender.</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2.05 Prepayments. </w:t>
      </w:r>
      <w:r>
        <w:rPr>
          <w:rFonts w:ascii="Arial" w:cs="Arial" w:eastAsia="Arial" w:hAnsi="Arial"/>
          <w:sz w:val="19"/>
          <w:szCs w:val="19"/>
          <w:color w:val="auto"/>
        </w:rPr>
        <w:t>(a)</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Optional</w:t>
      </w:r>
      <w:r>
        <w:rPr>
          <w:rFonts w:ascii="Arial" w:cs="Arial" w:eastAsia="Arial" w:hAnsi="Arial"/>
          <w:sz w:val="19"/>
          <w:szCs w:val="19"/>
          <w:color w:val="auto"/>
        </w:rPr>
        <w:t>. (i) Each Borrower may, upon notice from Toro to the Administrative Agent, at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time or from time to time voluntarily prepay Committed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notice must be in a form acceptable to the Administrative Agent and be received by the Administrative Agent not later than 12:00 noon (A) three (3) Business Days prior to any date of prepayment of Eurocurrency Rate Loans denominated in Dollars,</w:t>
      </w:r>
    </w:p>
    <w:p>
      <w:pPr>
        <w:spacing w:after="0" w:line="2" w:lineRule="exact"/>
        <w:rPr>
          <w:sz w:val="20"/>
          <w:szCs w:val="20"/>
          <w:color w:val="auto"/>
        </w:rPr>
      </w:pPr>
    </w:p>
    <w:p>
      <w:pPr>
        <w:jc w:val="both"/>
        <w:ind w:firstLine="8"/>
        <w:spacing w:after="0" w:line="286" w:lineRule="auto"/>
        <w:tabs>
          <w:tab w:leader="none" w:pos="346" w:val="left"/>
        </w:tabs>
        <w:numPr>
          <w:ilvl w:val="0"/>
          <w:numId w:val="50"/>
        </w:numPr>
        <w:rPr>
          <w:rFonts w:ascii="Arial" w:cs="Arial" w:eastAsia="Arial" w:hAnsi="Arial"/>
          <w:sz w:val="19"/>
          <w:szCs w:val="19"/>
          <w:color w:val="auto"/>
        </w:rPr>
      </w:pPr>
      <w:r>
        <w:rPr>
          <w:rFonts w:ascii="Arial" w:cs="Arial" w:eastAsia="Arial" w:hAnsi="Arial"/>
          <w:sz w:val="19"/>
          <w:szCs w:val="19"/>
          <w:color w:val="auto"/>
        </w:rPr>
        <w:t>four (4) Business Days (or five (5), in the case of prepayment of Loans denominated in Special Notice Currencies) prior to any date of prepayment of Eurocurrency Rate Loans denominated in Alternative Currencies, and (C) on the date of prepayment of Base Rate Committed Loans; (ii) any prepayment of Eurocurrency Rate Loans denominated in Dollars shall be in a principal amount of $5,000,000 or a whole multiple of $1,000,000 in excess thereof; (iii) any prepayment of Eurocurrency Rate Loans denominated in Alternative Currencies shall be in a minimum principal Dollar Equivalent amount of $5,000,000 or a whole multiple of $1,000,000 in excess thereof; and (iv) any prepayment of Base Rate Committed Loans shall be in a principal amount of $500,000 or a whole multiple of $100,000 in excess thereof or, in each case, if less, the entire principal amount thereof then outstanding. Each such notice shall specify the date and amount of such prepayment and the Type(s) of Committed Loans to be prepaid and, if Eurocurrency Rate Loans are to be prepaid, the Interest Period(s) of such Loans. The Administrative Agent will promptly notify each Lender of its receipt of each such notice, and of the amount of such ratable portion of such prepayment (based on such Lender’s Applicable Percentage). Once such notice is given by Toro, the applicable Borrower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63" w:name="page64"/>
    <w:bookmarkEnd w:id="63"/>
    <w:p>
      <w:pPr>
        <w:jc w:val="both"/>
        <w:spacing w:after="0" w:line="302" w:lineRule="auto"/>
        <w:rPr>
          <w:sz w:val="20"/>
          <w:szCs w:val="20"/>
          <w:color w:val="auto"/>
        </w:rPr>
      </w:pPr>
      <w:r>
        <w:rPr>
          <w:rFonts w:ascii="Arial" w:cs="Arial" w:eastAsia="Arial" w:hAnsi="Arial"/>
          <w:sz w:val="19"/>
          <w:szCs w:val="19"/>
          <w:color w:val="auto"/>
        </w:rPr>
        <w:t xml:space="preserve">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2.16</w:t>
      </w:r>
      <w:r>
        <w:rPr>
          <w:rFonts w:ascii="Arial" w:cs="Arial" w:eastAsia="Arial" w:hAnsi="Arial"/>
          <w:sz w:val="19"/>
          <w:szCs w:val="19"/>
          <w:color w:val="auto"/>
        </w:rPr>
        <w:t>, each such prepayment shall be applied to the Committed Loans of the Lenders in accordance with their respective Applicable Percentages.</w:t>
      </w:r>
    </w:p>
    <w:p>
      <w:pPr>
        <w:spacing w:after="0" w:line="143" w:lineRule="exact"/>
        <w:rPr>
          <w:sz w:val="20"/>
          <w:szCs w:val="20"/>
          <w:color w:val="auto"/>
        </w:rPr>
      </w:pPr>
    </w:p>
    <w:p>
      <w:pPr>
        <w:jc w:val="both"/>
        <w:ind w:left="660" w:firstLine="645"/>
        <w:spacing w:after="0" w:line="294" w:lineRule="auto"/>
        <w:tabs>
          <w:tab w:leader="none" w:pos="2221"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Toro may, upon notice to the Swing Line Lender (with a copy to the Administrative Agent), at any time or from time to time, voluntarily prepay Swing Line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Once such notice is given by Toro, Toro shall make such prepayment and the payment amount specified in such notice shall be due and payable on the date specified therein.</w:t>
      </w:r>
    </w:p>
    <w:p>
      <w:pPr>
        <w:spacing w:after="0" w:line="149" w:lineRule="exact"/>
        <w:rPr>
          <w:rFonts w:ascii="Arial" w:cs="Arial" w:eastAsia="Arial" w:hAnsi="Arial"/>
          <w:sz w:val="19"/>
          <w:szCs w:val="19"/>
          <w:color w:val="auto"/>
        </w:rPr>
      </w:pPr>
    </w:p>
    <w:p>
      <w:pPr>
        <w:jc w:val="both"/>
        <w:ind w:firstLine="656"/>
        <w:spacing w:after="0" w:line="259" w:lineRule="auto"/>
        <w:tabs>
          <w:tab w:leader="none" w:pos="1549"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Mandatory</w:t>
      </w:r>
      <w:r>
        <w:rPr>
          <w:rFonts w:ascii="Arial" w:cs="Arial" w:eastAsia="Arial" w:hAnsi="Arial"/>
          <w:sz w:val="21"/>
          <w:szCs w:val="21"/>
          <w:color w:val="auto"/>
        </w:rPr>
        <w:t xml:space="preserve">. If the Administrative Agent notifies Toro at any time that the Total Outstandings at such time exceed an amount equal to 105% of the Aggregate Commitments then in effect, then, within two (2) Business Days after receipt of such notice, the Borrowers shall prepay Loans and/or Toro shall Cash Collateralize the L/C Obligations in an aggregate amount sufficient to reduce such Outstanding Amount as of such date of payment to an amount not to exceed the Aggregate Commitments then in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subject to the provisions of </w:t>
      </w:r>
      <w:r>
        <w:rPr>
          <w:rFonts w:ascii="Arial" w:cs="Arial" w:eastAsia="Arial" w:hAnsi="Arial"/>
          <w:sz w:val="21"/>
          <w:szCs w:val="21"/>
          <w:u w:val="single" w:color="auto"/>
          <w:color w:val="auto"/>
        </w:rPr>
        <w:t>Section 2.15(a)(ii)</w:t>
      </w:r>
      <w:r>
        <w:rPr>
          <w:rFonts w:ascii="Arial" w:cs="Arial" w:eastAsia="Arial" w:hAnsi="Arial"/>
          <w:sz w:val="21"/>
          <w:szCs w:val="21"/>
          <w:color w:val="auto"/>
        </w:rPr>
        <w:t xml:space="preserve">, Toro shall not be required to Cash Collateralize the L/C Obligations pursuant to this </w:t>
      </w:r>
      <w:r>
        <w:rPr>
          <w:rFonts w:ascii="Arial" w:cs="Arial" w:eastAsia="Arial" w:hAnsi="Arial"/>
          <w:sz w:val="21"/>
          <w:szCs w:val="21"/>
          <w:u w:val="single" w:color="auto"/>
          <w:color w:val="auto"/>
        </w:rPr>
        <w:t>Section 2.05(b)</w:t>
      </w:r>
      <w:r>
        <w:rPr>
          <w:rFonts w:ascii="Arial" w:cs="Arial" w:eastAsia="Arial" w:hAnsi="Arial"/>
          <w:sz w:val="21"/>
          <w:szCs w:val="21"/>
          <w:color w:val="auto"/>
        </w:rPr>
        <w:t xml:space="preserve"> unless after the prepayment in full of the Loans the Total Outstandings exceed the Aggregate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2.06 Termination or Reduction of Commitments. </w:t>
      </w:r>
      <w:r>
        <w:rPr>
          <w:rFonts w:ascii="Arial" w:cs="Arial" w:eastAsia="Arial" w:hAnsi="Arial"/>
          <w:sz w:val="19"/>
          <w:szCs w:val="19"/>
          <w:color w:val="auto"/>
        </w:rPr>
        <w:t>The Borrowers may, upon notice by Toro to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Agent, terminate the Aggregate Commitments, or from time to time permanently reduce the Aggregate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Administrative Agent not later than 12:00 noon five (5) Business Days prior to the date of termination or reduction, (ii) any such partial reduction shall be in an aggregate amount of $10,000,000 or any whole multiple of $1,000,000 in excess thereof, (iii) the Borrowers shall not terminate or reduce the Aggregate Commitments if, after giving effect thereto and to any concurrent prepayments hereunder, the Total Outstandings would exceed the Aggregate Commitments, and (iv) if, after giving effect to any reduction of the Aggregate Commitments, the Letter of Credit Sublimit or the Swing Line Sublimit exceeds the amount of the Aggregate Commitments, such Sublimit shall be automatically reduced by the amount of such excess. The Administrative Agent will promptly notify the Lenders of any such notice of termination or reduction of the Aggregate Commitments. The amount of any such Aggregate Commitment reduction shall not be applied to the Letter of Credit Sublimit unless otherwise specified by Toro. Any reduction of the Aggregate Commitments shall be applied to the Commitment of each Lender according to its Applicable Percentage. All fees accrued until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64" w:name="page65"/>
    <w:bookmarkEnd w:id="64"/>
    <w:p>
      <w:pPr>
        <w:spacing w:after="0"/>
        <w:rPr>
          <w:sz w:val="20"/>
          <w:szCs w:val="20"/>
          <w:color w:val="auto"/>
        </w:rPr>
      </w:pPr>
      <w:r>
        <w:rPr>
          <w:rFonts w:ascii="Arial" w:cs="Arial" w:eastAsia="Arial" w:hAnsi="Arial"/>
          <w:sz w:val="21"/>
          <w:szCs w:val="21"/>
          <w:color w:val="auto"/>
        </w:rPr>
        <w:t>effective date of any termination of the Aggregate Commitments shall be paid on the effective date of such termination.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2.07 Repayment of Loans. </w:t>
      </w:r>
      <w:r>
        <w:rPr>
          <w:rFonts w:ascii="Arial" w:cs="Arial" w:eastAsia="Arial" w:hAnsi="Arial"/>
          <w:sz w:val="22"/>
          <w:szCs w:val="22"/>
          <w:color w:val="auto"/>
        </w:rPr>
        <w:t>(a) Each Borrower shall repay to the Lenders on the Maturity Date the aggregate principal</w:t>
      </w:r>
      <w:r>
        <w:rPr>
          <w:rFonts w:ascii="Arial" w:cs="Arial" w:eastAsia="Arial" w:hAnsi="Arial"/>
          <w:sz w:val="22"/>
          <w:szCs w:val="22"/>
          <w:b w:val="1"/>
          <w:bCs w:val="1"/>
          <w:color w:val="auto"/>
        </w:rPr>
        <w:t xml:space="preserve"> </w:t>
      </w:r>
      <w:r>
        <w:rPr>
          <w:rFonts w:ascii="Arial" w:cs="Arial" w:eastAsia="Arial" w:hAnsi="Arial"/>
          <w:sz w:val="22"/>
          <w:szCs w:val="22"/>
          <w:color w:val="auto"/>
        </w:rPr>
        <w:t>amount of all Committed Loans outstanding on such date.</w:t>
      </w:r>
    </w:p>
    <w:p>
      <w:pPr>
        <w:spacing w:after="0" w:line="168" w:lineRule="exact"/>
        <w:rPr>
          <w:sz w:val="20"/>
          <w:szCs w:val="20"/>
          <w:color w:val="auto"/>
        </w:rPr>
      </w:pPr>
    </w:p>
    <w:p>
      <w:pPr>
        <w:ind w:firstLine="656"/>
        <w:spacing w:after="0" w:line="263" w:lineRule="auto"/>
        <w:tabs>
          <w:tab w:leader="none" w:pos="1549"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Swing Line Loans</w:t>
      </w:r>
      <w:r>
        <w:rPr>
          <w:rFonts w:ascii="Arial" w:cs="Arial" w:eastAsia="Arial" w:hAnsi="Arial"/>
          <w:sz w:val="22"/>
          <w:szCs w:val="22"/>
          <w:color w:val="auto"/>
        </w:rPr>
        <w:t>. Toro shall repay each Swing Line Loan on the earlier to occur of (i) the Maturity Date and (ii) the date of demand by the Swing Line Lender.</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2.08 Interest. </w:t>
      </w:r>
      <w:r>
        <w:rPr>
          <w:rFonts w:ascii="Arial" w:cs="Arial" w:eastAsia="Arial" w:hAnsi="Arial"/>
          <w:sz w:val="21"/>
          <w:szCs w:val="21"/>
          <w:color w:val="auto"/>
        </w:rPr>
        <w:t>(a) Subject to the provisions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subsection (b)</w:t>
      </w:r>
      <w:r>
        <w:rPr>
          <w:rFonts w:ascii="Arial" w:cs="Arial" w:eastAsia="Arial" w:hAnsi="Arial"/>
          <w:sz w:val="21"/>
          <w:szCs w:val="21"/>
          <w:b w:val="1"/>
          <w:bCs w:val="1"/>
          <w:color w:val="auto"/>
        </w:rPr>
        <w:t xml:space="preserve"> </w:t>
      </w:r>
      <w:r>
        <w:rPr>
          <w:rFonts w:ascii="Arial" w:cs="Arial" w:eastAsia="Arial" w:hAnsi="Arial"/>
          <w:sz w:val="21"/>
          <w:szCs w:val="21"/>
          <w:color w:val="auto"/>
        </w:rPr>
        <w:t>below, (i) each Eurocurrency Rate Loan shall bear interest 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outstanding principal amount thereof for each Interest Period at a rate per annum equal to the Eurocurrency Rate for such Interest Period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Rate; (ii) each Base Rate Committed Loan shall bear interest on the outstanding principal amount thereof from the applicable borrowing date at a rate per annum equal to the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Rate; and (iii) each Swing Line Loan shall bear interest on the outstanding principal amount thereof from the applicable borrowing date at a rate per annum equal to (x) the Base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Rate for Base Rate Loans or (y) the rate quoted to Toro by the Swing Line Lender on the date any Swing Line Loan shall be requested.</w:t>
      </w:r>
    </w:p>
    <w:p>
      <w:pPr>
        <w:spacing w:after="0" w:line="180" w:lineRule="exact"/>
        <w:rPr>
          <w:sz w:val="20"/>
          <w:szCs w:val="20"/>
          <w:color w:val="auto"/>
        </w:rPr>
      </w:pPr>
    </w:p>
    <w:p>
      <w:pPr>
        <w:jc w:val="both"/>
        <w:ind w:left="660" w:firstLine="50"/>
        <w:spacing w:after="0" w:line="312" w:lineRule="auto"/>
        <w:tabs>
          <w:tab w:leader="none" w:pos="1234" w:val="left"/>
        </w:tabs>
        <w:numPr>
          <w:ilvl w:val="1"/>
          <w:numId w:val="54"/>
        </w:numPr>
        <w:rPr>
          <w:rFonts w:ascii="Arial" w:cs="Arial" w:eastAsia="Arial" w:hAnsi="Arial"/>
          <w:sz w:val="19"/>
          <w:szCs w:val="19"/>
          <w:color w:val="auto"/>
        </w:rPr>
      </w:pPr>
      <w:r>
        <w:rPr>
          <w:rFonts w:ascii="Arial" w:cs="Arial" w:eastAsia="Arial" w:hAnsi="Arial"/>
          <w:sz w:val="19"/>
          <w:szCs w:val="19"/>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33" w:lineRule="exact"/>
        <w:rPr>
          <w:rFonts w:ascii="Arial" w:cs="Arial" w:eastAsia="Arial" w:hAnsi="Arial"/>
          <w:sz w:val="19"/>
          <w:szCs w:val="19"/>
          <w:color w:val="auto"/>
        </w:rPr>
      </w:pPr>
    </w:p>
    <w:p>
      <w:pPr>
        <w:jc w:val="both"/>
        <w:ind w:left="660" w:firstLine="645"/>
        <w:spacing w:after="0" w:line="302" w:lineRule="auto"/>
        <w:tabs>
          <w:tab w:leader="none" w:pos="2221" w:val="left"/>
        </w:tabs>
        <w:numPr>
          <w:ilvl w:val="2"/>
          <w:numId w:val="54"/>
        </w:numPr>
        <w:rPr>
          <w:rFonts w:ascii="Arial" w:cs="Arial" w:eastAsia="Arial" w:hAnsi="Arial"/>
          <w:sz w:val="19"/>
          <w:szCs w:val="19"/>
          <w:color w:val="auto"/>
        </w:rPr>
      </w:pPr>
      <w:r>
        <w:rPr>
          <w:rFonts w:ascii="Arial" w:cs="Arial" w:eastAsia="Arial" w:hAnsi="Arial"/>
          <w:sz w:val="19"/>
          <w:szCs w:val="19"/>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42" w:lineRule="exact"/>
        <w:rPr>
          <w:rFonts w:ascii="Arial" w:cs="Arial" w:eastAsia="Arial" w:hAnsi="Arial"/>
          <w:sz w:val="19"/>
          <w:szCs w:val="19"/>
          <w:color w:val="auto"/>
        </w:rPr>
      </w:pPr>
    </w:p>
    <w:p>
      <w:pPr>
        <w:jc w:val="both"/>
        <w:ind w:left="660" w:firstLine="645"/>
        <w:spacing w:after="0" w:line="249" w:lineRule="auto"/>
        <w:tabs>
          <w:tab w:leader="none" w:pos="2281" w:val="left"/>
        </w:tabs>
        <w:numPr>
          <w:ilvl w:val="2"/>
          <w:numId w:val="54"/>
        </w:numPr>
        <w:rPr>
          <w:rFonts w:ascii="Arial" w:cs="Arial" w:eastAsia="Arial" w:hAnsi="Arial"/>
          <w:sz w:val="22"/>
          <w:szCs w:val="22"/>
          <w:color w:val="auto"/>
        </w:rPr>
      </w:pPr>
      <w:r>
        <w:rPr>
          <w:rFonts w:ascii="Arial" w:cs="Arial" w:eastAsia="Arial" w:hAnsi="Arial"/>
          <w:sz w:val="22"/>
          <w:szCs w:val="22"/>
          <w:color w:val="auto"/>
        </w:rPr>
        <w:t>Upon the request of the Required Lenders, while any Event of Default exists, the Borrowers shall pay interest on the principal amount of all outstanding Obligations at a fluctuating interest rate per annum at all times equal to the Default Rate to the fullest extent permitted by applicable Laws.</w:t>
      </w:r>
    </w:p>
    <w:p>
      <w:pPr>
        <w:ind w:left="660" w:firstLine="645"/>
        <w:spacing w:after="0" w:line="246" w:lineRule="auto"/>
        <w:tabs>
          <w:tab w:leader="none" w:pos="2268" w:val="left"/>
        </w:tabs>
        <w:numPr>
          <w:ilvl w:val="2"/>
          <w:numId w:val="54"/>
        </w:numPr>
        <w:rPr>
          <w:rFonts w:ascii="Arial" w:cs="Arial" w:eastAsia="Arial" w:hAnsi="Arial"/>
          <w:sz w:val="22"/>
          <w:szCs w:val="22"/>
          <w:color w:val="auto"/>
        </w:rPr>
      </w:pPr>
      <w:r>
        <w:rPr>
          <w:rFonts w:ascii="Arial" w:cs="Arial" w:eastAsia="Arial" w:hAnsi="Arial"/>
          <w:sz w:val="22"/>
          <w:szCs w:val="22"/>
          <w:color w:val="auto"/>
        </w:rPr>
        <w:t>Accrued and unpaid interest on past due amounts (including interest on past due interest) shall be due and payable upon demand.</w:t>
      </w:r>
    </w:p>
    <w:p>
      <w:pPr>
        <w:spacing w:after="0" w:line="192" w:lineRule="exact"/>
        <w:rPr>
          <w:rFonts w:ascii="Arial" w:cs="Arial" w:eastAsia="Arial" w:hAnsi="Arial"/>
          <w:sz w:val="22"/>
          <w:szCs w:val="22"/>
          <w:color w:val="auto"/>
        </w:rPr>
      </w:pPr>
    </w:p>
    <w:p>
      <w:pPr>
        <w:jc w:val="both"/>
        <w:ind w:firstLine="656"/>
        <w:spacing w:after="0" w:line="312" w:lineRule="auto"/>
        <w:tabs>
          <w:tab w:leader="none" w:pos="1536"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33" w:lineRule="exact"/>
        <w:rPr>
          <w:rFonts w:ascii="Arial" w:cs="Arial" w:eastAsia="Arial" w:hAnsi="Arial"/>
          <w:sz w:val="19"/>
          <w:szCs w:val="19"/>
          <w:color w:val="auto"/>
        </w:rPr>
      </w:pPr>
    </w:p>
    <w:p>
      <w:pPr>
        <w:ind w:firstLine="656"/>
        <w:spacing w:after="0" w:line="263" w:lineRule="auto"/>
        <w:tabs>
          <w:tab w:leader="none" w:pos="1549"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For the purposes of the Interest Act (Canada) with respect to any credit extension denominated in Canadian Dollars, (i) whenever a rate of interest or fee rate hereunder is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31" w:right="2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21"/>
          <w:szCs w:val="21"/>
          <w:color w:val="auto"/>
        </w:rPr>
        <w:t>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7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2.09</w:t>
      </w:r>
      <w:r>
        <w:rPr>
          <w:sz w:val="20"/>
          <w:szCs w:val="20"/>
          <w:color w:val="auto"/>
        </w:rPr>
        <w:tab/>
      </w:r>
      <w:r>
        <w:rPr>
          <w:rFonts w:ascii="Arial" w:cs="Arial" w:eastAsia="Arial" w:hAnsi="Arial"/>
          <w:sz w:val="19"/>
          <w:szCs w:val="19"/>
          <w:b w:val="1"/>
          <w:bCs w:val="1"/>
          <w:color w:val="auto"/>
        </w:rPr>
        <w:t xml:space="preserve">Fees. </w:t>
      </w:r>
      <w:r>
        <w:rPr>
          <w:rFonts w:ascii="Arial" w:cs="Arial" w:eastAsia="Arial" w:hAnsi="Arial"/>
          <w:sz w:val="19"/>
          <w:szCs w:val="19"/>
          <w:color w:val="auto"/>
        </w:rPr>
        <w:t>In addition to certain fees described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subsections (h)</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b w:val="1"/>
          <w:bCs w:val="1"/>
          <w:color w:val="auto"/>
        </w:rPr>
        <w:t xml:space="preserve"> </w:t>
      </w:r>
      <w:r>
        <w:rPr>
          <w:rFonts w:ascii="Arial" w:cs="Arial" w:eastAsia="Arial" w:hAnsi="Arial"/>
          <w:sz w:val="19"/>
          <w:szCs w:val="19"/>
          <w:color w:val="auto"/>
        </w:rPr>
        <w:t>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26" w:lineRule="exact"/>
        <w:rPr>
          <w:sz w:val="20"/>
          <w:szCs w:val="20"/>
          <w:color w:val="auto"/>
        </w:rPr>
      </w:pPr>
    </w:p>
    <w:p>
      <w:pPr>
        <w:jc w:val="both"/>
        <w:ind w:firstLine="656"/>
        <w:spacing w:after="0" w:line="288" w:lineRule="auto"/>
        <w:tabs>
          <w:tab w:leader="none" w:pos="153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Facility Fee</w:t>
      </w:r>
      <w:r>
        <w:rPr>
          <w:rFonts w:ascii="Arial" w:cs="Arial" w:eastAsia="Arial" w:hAnsi="Arial"/>
          <w:sz w:val="19"/>
          <w:szCs w:val="19"/>
          <w:color w:val="auto"/>
        </w:rPr>
        <w:t xml:space="preserve">. The Borrowers shall pay to the Administrative Agent for the account of each Lender in accordance with its Applicable Percentage, a facility fee in Dollars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actual daily amount of the Aggregate Commitments (or, if the Aggregate Commitments have terminated, on the Outstanding Amount of all Committed Loans, Swing Line Loans and L/C Obligations), regardless of usage,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The facility fee shall accrue at all times during the Availability Period (and thereafter so long as any Committed Loans, Swing Line Loans or L/C Obligations remain outstanding),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54"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Other Fees</w:t>
      </w:r>
      <w:r>
        <w:rPr>
          <w:rFonts w:ascii="Arial" w:cs="Arial" w:eastAsia="Arial" w:hAnsi="Arial"/>
          <w:sz w:val="22"/>
          <w:szCs w:val="22"/>
          <w:color w:val="auto"/>
        </w:rPr>
        <w:t>. (i) Toro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186" w:lineRule="exact"/>
        <w:rPr>
          <w:sz w:val="20"/>
          <w:szCs w:val="20"/>
          <w:color w:val="auto"/>
        </w:rPr>
      </w:pPr>
    </w:p>
    <w:p>
      <w:pPr>
        <w:jc w:val="both"/>
        <w:ind w:firstLine="656"/>
        <w:spacing w:after="0" w:line="253" w:lineRule="auto"/>
        <w:tabs>
          <w:tab w:leader="none" w:pos="1255" w:val="left"/>
        </w:tabs>
        <w:numPr>
          <w:ilvl w:val="0"/>
          <w:numId w:val="57"/>
        </w:numPr>
        <w:rPr>
          <w:rFonts w:ascii="Arial" w:cs="Arial" w:eastAsia="Arial" w:hAnsi="Arial"/>
          <w:sz w:val="22"/>
          <w:szCs w:val="22"/>
          <w:color w:val="auto"/>
        </w:rPr>
      </w:pPr>
      <w:r>
        <w:rPr>
          <w:rFonts w:ascii="Arial" w:cs="Arial" w:eastAsia="Arial" w:hAnsi="Arial"/>
          <w:sz w:val="22"/>
          <w:szCs w:val="22"/>
          <w:color w:val="auto"/>
        </w:rPr>
        <w:t>Toro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2.10 Computation of Interest and Fees; Retroactive Adjustments of Applicable Rate. </w:t>
      </w:r>
      <w:r>
        <w:rPr>
          <w:rFonts w:ascii="Arial" w:cs="Arial" w:eastAsia="Arial" w:hAnsi="Arial"/>
          <w:sz w:val="21"/>
          <w:szCs w:val="21"/>
          <w:color w:val="auto"/>
        </w:rPr>
        <w:t>(a) All computations of interest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Committed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Loan that is repaid on the same day on which it is made shall, subject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2.12(a)</w:t>
      </w:r>
      <w:r>
        <w:rPr>
          <w:rFonts w:ascii="Arial" w:cs="Arial" w:eastAsia="Arial" w:hAnsi="Arial"/>
          <w:sz w:val="21"/>
          <w:szCs w:val="21"/>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66" w:name="page67"/>
    <w:bookmarkEnd w:id="66"/>
    <w:p>
      <w:pPr>
        <w:jc w:val="both"/>
        <w:spacing w:after="0" w:line="312" w:lineRule="auto"/>
        <w:rPr>
          <w:sz w:val="20"/>
          <w:szCs w:val="20"/>
          <w:color w:val="auto"/>
        </w:rPr>
      </w:pPr>
      <w:r>
        <w:rPr>
          <w:rFonts w:ascii="Arial" w:cs="Arial" w:eastAsia="Arial" w:hAnsi="Arial"/>
          <w:sz w:val="19"/>
          <w:szCs w:val="19"/>
          <w:color w:val="auto"/>
        </w:rPr>
        <w:t>bear interest for one day. Each determination by the Administrative Agent of an interest rate or fee hereunder shall be conclusive and binding for all purposes, absent manifest error. With respect to all Non-LIBOR Quoted Currencies, Australian Dollars and Canadian Dollars, the calculation of the applicable interest rate shall be determined in accordance with market practice.</w:t>
      </w:r>
    </w:p>
    <w:p>
      <w:pPr>
        <w:spacing w:after="0" w:line="134" w:lineRule="exact"/>
        <w:rPr>
          <w:sz w:val="20"/>
          <w:szCs w:val="20"/>
          <w:color w:val="auto"/>
        </w:rPr>
      </w:pPr>
    </w:p>
    <w:p>
      <w:pPr>
        <w:jc w:val="both"/>
        <w:ind w:firstLine="656"/>
        <w:spacing w:after="0" w:line="288" w:lineRule="auto"/>
        <w:tabs>
          <w:tab w:leader="none" w:pos="1549"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If, as a result of any restatement of or other adjustment to the financial statements of the Borrowers or for any other reason, the Borrowers or the Lenders determine that (i) the Consolidated Leverage Ratio as calculated by the Borrowers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9"/>
          <w:szCs w:val="19"/>
          <w:u w:val="single" w:color="auto"/>
          <w:color w:val="auto"/>
        </w:rPr>
        <w:t>Section 2.03(c)(iii)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2.08(b)</w:t>
      </w:r>
      <w:r>
        <w:rPr>
          <w:rFonts w:ascii="Arial" w:cs="Arial" w:eastAsia="Arial" w:hAnsi="Arial"/>
          <w:sz w:val="19"/>
          <w:szCs w:val="19"/>
          <w:color w:val="auto"/>
        </w:rPr>
        <w:t xml:space="preserve"> or under </w:t>
      </w:r>
      <w:r>
        <w:rPr>
          <w:rFonts w:ascii="Arial" w:cs="Arial" w:eastAsia="Arial" w:hAnsi="Arial"/>
          <w:sz w:val="19"/>
          <w:szCs w:val="19"/>
          <w:u w:val="single" w:color="auto"/>
          <w:color w:val="auto"/>
        </w:rPr>
        <w:t>Article VIII</w:t>
      </w:r>
      <w:r>
        <w:rPr>
          <w:rFonts w:ascii="Arial" w:cs="Arial" w:eastAsia="Arial" w:hAnsi="Arial"/>
          <w:sz w:val="19"/>
          <w:szCs w:val="19"/>
          <w:color w:val="auto"/>
        </w:rPr>
        <w:t>. The Borrower’s obligations under this paragraph shall survive the termination of the Aggregate Commitments and the repayment of all other Obligations hereunder.</w:t>
      </w:r>
    </w:p>
    <w:p>
      <w:pPr>
        <w:spacing w:after="0" w:line="1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2.11 Evidence of Debt. </w:t>
      </w:r>
      <w:r>
        <w:rPr>
          <w:rFonts w:ascii="Arial" w:cs="Arial" w:eastAsia="Arial" w:hAnsi="Arial"/>
          <w:sz w:val="19"/>
          <w:szCs w:val="19"/>
          <w:color w:val="auto"/>
        </w:rPr>
        <w:t>(a) The Credit Extensions made by each Lender shall be evidenced by one or more accounts or</w:t>
      </w:r>
      <w:r>
        <w:rPr>
          <w:rFonts w:ascii="Arial" w:cs="Arial" w:eastAsia="Arial" w:hAnsi="Arial"/>
          <w:sz w:val="19"/>
          <w:szCs w:val="19"/>
          <w:b w:val="1"/>
          <w:bCs w:val="1"/>
          <w:color w:val="auto"/>
        </w:rPr>
        <w:t xml:space="preserve"> </w:t>
      </w:r>
      <w:r>
        <w:rPr>
          <w:rFonts w:ascii="Arial" w:cs="Arial" w:eastAsia="Arial" w:hAnsi="Arial"/>
          <w:sz w:val="19"/>
          <w:szCs w:val="19"/>
          <w:color w:val="auto"/>
        </w:rPr>
        <w:t>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61" w:lineRule="exact"/>
        <w:rPr>
          <w:sz w:val="20"/>
          <w:szCs w:val="20"/>
          <w:color w:val="auto"/>
        </w:rPr>
      </w:pPr>
    </w:p>
    <w:p>
      <w:pPr>
        <w:jc w:val="both"/>
        <w:ind w:firstLine="656"/>
        <w:spacing w:after="0" w:line="263" w:lineRule="auto"/>
        <w:tabs>
          <w:tab w:leader="none" w:pos="1549"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In addition to the accounts and records referred to in </w:t>
      </w:r>
      <w:r>
        <w:rPr>
          <w:rFonts w:ascii="Arial" w:cs="Arial" w:eastAsia="Arial" w:hAnsi="Arial"/>
          <w:sz w:val="21"/>
          <w:szCs w:val="21"/>
          <w:u w:val="single" w:color="auto"/>
          <w:color w:val="auto"/>
        </w:rPr>
        <w:t>subsection (a)</w:t>
      </w:r>
      <w:r>
        <w:rPr>
          <w:rFonts w:ascii="Arial" w:cs="Arial" w:eastAsia="Arial" w:hAnsi="Arial"/>
          <w:sz w:val="21"/>
          <w:szCs w:val="21"/>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2.12 Payments Generally; Administrative Agent’s Clawback. </w:t>
      </w:r>
      <w:r>
        <w:rPr>
          <w:rFonts w:ascii="Arial" w:cs="Arial" w:eastAsia="Arial" w:hAnsi="Arial"/>
          <w:sz w:val="22"/>
          <w:szCs w:val="22"/>
          <w:color w:val="auto"/>
        </w:rPr>
        <w:t>(a)</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General</w:t>
      </w:r>
      <w:r>
        <w:rPr>
          <w:rFonts w:ascii="Arial" w:cs="Arial" w:eastAsia="Arial" w:hAnsi="Arial"/>
          <w:sz w:val="22"/>
          <w:szCs w:val="22"/>
          <w:color w:val="auto"/>
        </w:rPr>
        <w:t>. All payments to be made by the Borrowers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made without condition or deduction for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1" w:right="239" w:bottom="1440" w:gutter="0" w:footer="0" w:header="0"/>
        </w:sectPr>
      </w:pPr>
    </w:p>
    <w:bookmarkStart w:id="67" w:name="page68"/>
    <w:bookmarkEnd w:id="67"/>
    <w:p>
      <w:pPr>
        <w:jc w:val="both"/>
        <w:spacing w:after="0" w:line="285" w:lineRule="auto"/>
        <w:rPr>
          <w:sz w:val="20"/>
          <w:szCs w:val="20"/>
          <w:color w:val="auto"/>
        </w:rPr>
      </w:pPr>
      <w:r>
        <w:rPr>
          <w:rFonts w:ascii="Arial" w:cs="Arial" w:eastAsia="Arial" w:hAnsi="Arial"/>
          <w:sz w:val="19"/>
          <w:szCs w:val="19"/>
          <w:color w:val="auto"/>
        </w:rPr>
        <w:t>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3:00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(as determined by the Administrative Agent)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3:00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65" w:lineRule="exact"/>
        <w:rPr>
          <w:sz w:val="20"/>
          <w:szCs w:val="20"/>
          <w:color w:val="auto"/>
        </w:rPr>
      </w:pPr>
    </w:p>
    <w:p>
      <w:pPr>
        <w:jc w:val="both"/>
        <w:ind w:firstLine="656"/>
        <w:spacing w:after="0" w:line="286" w:lineRule="auto"/>
        <w:tabs>
          <w:tab w:leader="none" w:pos="1549"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Lenders; Presumption by Administrative Agent</w:t>
      </w:r>
      <w:r>
        <w:rPr>
          <w:rFonts w:ascii="Arial" w:cs="Arial" w:eastAsia="Arial" w:hAnsi="Arial"/>
          <w:sz w:val="19"/>
          <w:szCs w:val="19"/>
          <w:color w:val="auto"/>
        </w:rPr>
        <w:t xml:space="preserve">. Unless the Administrative Agent shall have received notice from a Lender prior to the proposed date of any Committed Borrowing of Eurocurrency Rate Loans (or, in the case of any Committed Borrowing of Base Rate Loans, prior to 1:00 p.m.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Committed Borrowing of Base Rate Loans, that such Lender has made such share available in accordance with and at the time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31" w:right="239" w:bottom="1440" w:gutter="0" w:footer="0" w:header="0"/>
        </w:sectPr>
      </w:pPr>
    </w:p>
    <w:bookmarkStart w:id="68" w:name="page69"/>
    <w:bookmarkEnd w:id="68"/>
    <w:p>
      <w:pPr>
        <w:jc w:val="both"/>
        <w:spacing w:after="0" w:line="250" w:lineRule="auto"/>
        <w:rPr>
          <w:sz w:val="20"/>
          <w:szCs w:val="20"/>
          <w:color w:val="auto"/>
        </w:rPr>
      </w:pPr>
      <w:r>
        <w:rPr>
          <w:rFonts w:ascii="Arial" w:cs="Arial" w:eastAsia="Arial" w:hAnsi="Arial"/>
          <w:sz w:val="22"/>
          <w:szCs w:val="22"/>
          <w:color w:val="auto"/>
        </w:rPr>
        <w:t>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188" w:lineRule="exact"/>
        <w:rPr>
          <w:sz w:val="20"/>
          <w:szCs w:val="20"/>
          <w:color w:val="auto"/>
        </w:rPr>
      </w:pPr>
    </w:p>
    <w:p>
      <w:pPr>
        <w:jc w:val="both"/>
        <w:ind w:firstLine="656"/>
        <w:spacing w:after="0" w:line="259" w:lineRule="auto"/>
        <w:tabs>
          <w:tab w:leader="none" w:pos="1142"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Payments by Borrowers; Presumptions by Administrative Agent</w:t>
      </w:r>
      <w:r>
        <w:rPr>
          <w:rFonts w:ascii="Arial" w:cs="Arial" w:eastAsia="Arial" w:hAnsi="Arial"/>
          <w:sz w:val="21"/>
          <w:szCs w:val="21"/>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8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A notice of the Administrative Agent to any Lender or any Borrower with respect to any amount owing under this </w:t>
      </w:r>
      <w:r>
        <w:rPr>
          <w:rFonts w:ascii="Arial" w:cs="Arial" w:eastAsia="Arial" w:hAnsi="Arial"/>
          <w:sz w:val="22"/>
          <w:szCs w:val="22"/>
          <w:u w:val="single" w:color="auto"/>
          <w:color w:val="auto"/>
        </w:rPr>
        <w:t>subsection (b)</w:t>
      </w:r>
      <w:r>
        <w:rPr>
          <w:rFonts w:ascii="Arial" w:cs="Arial" w:eastAsia="Arial" w:hAnsi="Arial"/>
          <w:sz w:val="22"/>
          <w:szCs w:val="22"/>
          <w:color w:val="auto"/>
        </w:rPr>
        <w:t xml:space="preserve"> shall be conclusive, absent manifest error.</w:t>
      </w:r>
    </w:p>
    <w:p>
      <w:pPr>
        <w:spacing w:after="0" w:line="175" w:lineRule="exact"/>
        <w:rPr>
          <w:sz w:val="20"/>
          <w:szCs w:val="20"/>
          <w:color w:val="auto"/>
        </w:rPr>
      </w:pPr>
    </w:p>
    <w:p>
      <w:pPr>
        <w:jc w:val="both"/>
        <w:ind w:firstLine="656"/>
        <w:spacing w:after="0" w:line="263" w:lineRule="auto"/>
        <w:tabs>
          <w:tab w:leader="none" w:pos="1536"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Failure to Satisfy Conditions Precedent</w:t>
      </w:r>
      <w:r>
        <w:rPr>
          <w:rFonts w:ascii="Arial" w:cs="Arial" w:eastAsia="Arial" w:hAnsi="Arial"/>
          <w:sz w:val="21"/>
          <w:szCs w:val="21"/>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such funds are not made available to such Borrower by the Administrative Agent because the conditions to the applicable Credit Extension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are not satisfied or waived in accordance with the terms hereof, the Administrative Agent shall return such funds (in like funds as received from such Lender) to such Lender, without interest.</w:t>
      </w:r>
    </w:p>
    <w:p>
      <w:pPr>
        <w:spacing w:after="0" w:line="175" w:lineRule="exact"/>
        <w:rPr>
          <w:rFonts w:ascii="Arial" w:cs="Arial" w:eastAsia="Arial" w:hAnsi="Arial"/>
          <w:sz w:val="21"/>
          <w:szCs w:val="21"/>
          <w:color w:val="auto"/>
        </w:rPr>
      </w:pPr>
    </w:p>
    <w:p>
      <w:pPr>
        <w:jc w:val="both"/>
        <w:ind w:firstLine="656"/>
        <w:spacing w:after="0" w:line="247" w:lineRule="auto"/>
        <w:tabs>
          <w:tab w:leader="none" w:pos="1549"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Obligations of Lenders Several</w:t>
      </w:r>
      <w:r>
        <w:rPr>
          <w:rFonts w:ascii="Arial" w:cs="Arial" w:eastAsia="Arial" w:hAnsi="Arial"/>
          <w:sz w:val="22"/>
          <w:szCs w:val="22"/>
          <w:color w:val="auto"/>
        </w:rPr>
        <w:t xml:space="preserve">. The obligations of the Lenders hereunder to make Committed Loans, to fund participations in Letters of Credit and Swing Line Loans and to make payments pursuant to </w:t>
      </w:r>
      <w:r>
        <w:rPr>
          <w:rFonts w:ascii="Arial" w:cs="Arial" w:eastAsia="Arial" w:hAnsi="Arial"/>
          <w:sz w:val="22"/>
          <w:szCs w:val="22"/>
          <w:u w:val="single" w:color="auto"/>
          <w:color w:val="auto"/>
        </w:rPr>
        <w:t>Section 11.04(c)</w:t>
      </w:r>
      <w:r>
        <w:rPr>
          <w:rFonts w:ascii="Arial" w:cs="Arial" w:eastAsia="Arial" w:hAnsi="Arial"/>
          <w:sz w:val="22"/>
          <w:szCs w:val="22"/>
          <w:color w:val="auto"/>
        </w:rPr>
        <w:t xml:space="preserve"> are several and not joint. The failure of any Lender to make any Committed Loan, to fund any such participation or to make any payment under </w:t>
      </w:r>
      <w:r>
        <w:rPr>
          <w:rFonts w:ascii="Arial" w:cs="Arial" w:eastAsia="Arial" w:hAnsi="Arial"/>
          <w:sz w:val="22"/>
          <w:szCs w:val="22"/>
          <w:u w:val="single" w:color="auto"/>
          <w:color w:val="auto"/>
        </w:rPr>
        <w:t>Section 11.04(c)</w:t>
      </w:r>
      <w:r>
        <w:rPr>
          <w:rFonts w:ascii="Arial" w:cs="Arial" w:eastAsia="Arial" w:hAnsi="Arial"/>
          <w:sz w:val="22"/>
          <w:szCs w:val="22"/>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Arial" w:cs="Arial" w:eastAsia="Arial" w:hAnsi="Arial"/>
          <w:sz w:val="22"/>
          <w:szCs w:val="22"/>
          <w:u w:val="single" w:color="auto"/>
          <w:color w:val="auto"/>
        </w:rPr>
        <w:t>Section 11.04(c)</w:t>
      </w:r>
      <w:r>
        <w:rPr>
          <w:rFonts w:ascii="Arial" w:cs="Arial" w:eastAsia="Arial" w:hAnsi="Arial"/>
          <w:sz w:val="22"/>
          <w:szCs w:val="22"/>
          <w:color w:val="auto"/>
        </w:rPr>
        <w:t>.</w:t>
      </w:r>
    </w:p>
    <w:p>
      <w:pPr>
        <w:spacing w:after="0" w:line="193"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Funding Source</w:t>
      </w:r>
      <w:r>
        <w:rPr>
          <w:rFonts w:ascii="Arial" w:cs="Arial" w:eastAsia="Arial" w:hAnsi="Arial"/>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2.13 Sharing of Payments by Lenders. </w:t>
      </w:r>
      <w:r>
        <w:rPr>
          <w:rFonts w:ascii="Arial" w:cs="Arial" w:eastAsia="Arial" w:hAnsi="Arial"/>
          <w:sz w:val="22"/>
          <w:szCs w:val="22"/>
          <w:color w:val="auto"/>
        </w:rPr>
        <w:t>If any Lender shall, by exercising any right of setoff or counterclaim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obtain payment in respect of any principal of or interest on any of the Committed Loans made by it, or the participations in L/C Obligations or in Swing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69" w:name="page70"/>
    <w:bookmarkEnd w:id="69"/>
    <w:p>
      <w:pPr>
        <w:jc w:val="both"/>
        <w:spacing w:after="0" w:line="246" w:lineRule="auto"/>
        <w:rPr>
          <w:sz w:val="20"/>
          <w:szCs w:val="20"/>
          <w:color w:val="auto"/>
        </w:rPr>
      </w:pPr>
      <w:r>
        <w:rPr>
          <w:rFonts w:ascii="Arial" w:cs="Arial" w:eastAsia="Arial" w:hAnsi="Arial"/>
          <w:sz w:val="22"/>
          <w:szCs w:val="22"/>
          <w:color w:val="auto"/>
        </w:rPr>
        <w:t xml:space="preserve">Line Loans held by it resulting in such Lender’s receiving payment of a proportion of the aggregate amount of such Committed Loans or participations and accrued interest thereon greater than its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97" w:lineRule="exact"/>
        <w:rPr>
          <w:sz w:val="20"/>
          <w:szCs w:val="20"/>
          <w:color w:val="auto"/>
        </w:rPr>
      </w:pPr>
    </w:p>
    <w:p>
      <w:pPr>
        <w:jc w:val="both"/>
        <w:ind w:left="660" w:firstLine="645"/>
        <w:spacing w:after="0" w:line="253" w:lineRule="auto"/>
        <w:tabs>
          <w:tab w:leader="none" w:pos="21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5" w:lineRule="exact"/>
        <w:rPr>
          <w:rFonts w:ascii="Arial" w:cs="Arial" w:eastAsia="Arial" w:hAnsi="Arial"/>
          <w:sz w:val="22"/>
          <w:szCs w:val="22"/>
          <w:color w:val="auto"/>
        </w:rPr>
      </w:pPr>
    </w:p>
    <w:p>
      <w:pPr>
        <w:jc w:val="both"/>
        <w:ind w:left="660" w:firstLine="645"/>
        <w:spacing w:after="0" w:line="294" w:lineRule="auto"/>
        <w:tabs>
          <w:tab w:leader="none" w:pos="2221"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9"/>
          <w:szCs w:val="19"/>
          <w:u w:val="single" w:color="auto"/>
          <w:color w:val="auto"/>
        </w:rPr>
        <w:t>Section 2.15</w:t>
      </w:r>
      <w:r>
        <w:rPr>
          <w:rFonts w:ascii="Arial" w:cs="Arial" w:eastAsia="Arial" w:hAnsi="Arial"/>
          <w:sz w:val="19"/>
          <w:szCs w:val="19"/>
          <w:color w:val="auto"/>
        </w:rPr>
        <w:t>, or (z) any payment obtained by a Lender as consideration for the assignment of or sale of a participation in any of its Committed Loans or subparticipations in L/C Obligations or Swing Line Loans to any assignee or participant, other than to Toro or any Subsidiary thereof (as to which the provisions of this Section shall apply).</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color w:val="auto"/>
        </w:rPr>
        <w:t>Increase in Commitments.</w:t>
      </w:r>
    </w:p>
    <w:p>
      <w:pPr>
        <w:spacing w:after="0" w:line="226" w:lineRule="exact"/>
        <w:rPr>
          <w:sz w:val="20"/>
          <w:szCs w:val="20"/>
          <w:color w:val="auto"/>
        </w:rPr>
      </w:pPr>
    </w:p>
    <w:p>
      <w:pPr>
        <w:jc w:val="both"/>
        <w:ind w:firstLine="656"/>
        <w:spacing w:after="0" w:line="246" w:lineRule="auto"/>
        <w:tabs>
          <w:tab w:leader="none" w:pos="153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Request for Increase</w:t>
      </w:r>
      <w:r>
        <w:rPr>
          <w:rFonts w:ascii="Arial" w:cs="Arial" w:eastAsia="Arial" w:hAnsi="Arial"/>
          <w:sz w:val="22"/>
          <w:szCs w:val="22"/>
          <w:color w:val="auto"/>
        </w:rPr>
        <w:t xml:space="preserve">. Provided there exists no Default, upon notice to the Administrative Agent (which shall promptly notify the Lenders), Toro may from time to time, request an increase in the Aggregate Commitments by an amount up to $300,000,000;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request for an increase shall be in a minimum amount of $25,000,000 or a whole multiple of $5,000,000 in excess thereof;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Toro may make a maximum of six (6) such requests. At the time of sending such notice, Toro (in consultation with the Administrative Agent) shall specify the time period within which each Lender is requested to respond (which shall in no event be less than ten (10) Business Days from the date of delivery of such notice to the Lenders).</w:t>
      </w:r>
    </w:p>
    <w:p>
      <w:pPr>
        <w:spacing w:after="0" w:line="197"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Lender Elections to Increase</w:t>
      </w:r>
      <w:r>
        <w:rPr>
          <w:rFonts w:ascii="Arial" w:cs="Arial" w:eastAsia="Arial" w:hAnsi="Arial"/>
          <w:sz w:val="22"/>
          <w:szCs w:val="22"/>
          <w:color w:val="auto"/>
        </w:rPr>
        <w:t>. Each Lender shall notify the Administrative Agent within such time period whether or not it agrees to increase its Commitment and, if so, whether by an amount equal to, greater than, or less than its Applicable Percentage of such requested increase. Any Lender not responding within such time period shall be deemed to have declined to increase its Commitment.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70" w:name="page71"/>
    <w:bookmarkEnd w:id="70"/>
    <w:p>
      <w:pPr>
        <w:jc w:val="both"/>
        <w:ind w:firstLine="656"/>
        <w:spacing w:after="0" w:line="263" w:lineRule="auto"/>
        <w:tabs>
          <w:tab w:leader="none" w:pos="1536" w:val="left"/>
        </w:tabs>
        <w:numPr>
          <w:ilvl w:val="1"/>
          <w:numId w:val="65"/>
        </w:numPr>
        <w:rPr>
          <w:rFonts w:ascii="Arial" w:cs="Arial" w:eastAsia="Arial" w:hAnsi="Arial"/>
          <w:sz w:val="21"/>
          <w:szCs w:val="21"/>
          <w:color w:val="auto"/>
        </w:rPr>
      </w:pPr>
      <w:r>
        <w:rPr>
          <w:rFonts w:ascii="Arial" w:cs="Arial" w:eastAsia="Arial" w:hAnsi="Arial"/>
          <w:sz w:val="21"/>
          <w:szCs w:val="21"/>
          <w:u w:val="single" w:color="auto"/>
          <w:color w:val="auto"/>
        </w:rPr>
        <w:t>Notification by Administrative Agent; Additional Lenders</w:t>
      </w:r>
      <w:r>
        <w:rPr>
          <w:rFonts w:ascii="Arial" w:cs="Arial" w:eastAsia="Arial" w:hAnsi="Arial"/>
          <w:sz w:val="21"/>
          <w:szCs w:val="21"/>
          <w:color w:val="auto"/>
        </w:rPr>
        <w:t>. The Administrative Agent shall notify Toro and each Lender of the Lenders’ responses to each request made hereunder. To achieve the full amount of a requested increase and subject to the approval of the Administrative Agent, the Swing Line Lender and the L/C Issuer (which approvals shall not be unreasonably withheld), Toro may also invite additional Eligible Assignees to become Lenders pursuant to a joinder agreement in form and substance satisfactory to the Administrative Agent and its counsel.</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549"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Effective Date and Allocations</w:t>
      </w:r>
      <w:r>
        <w:rPr>
          <w:rFonts w:ascii="Arial" w:cs="Arial" w:eastAsia="Arial" w:hAnsi="Arial"/>
          <w:sz w:val="22"/>
          <w:szCs w:val="22"/>
          <w:color w:val="auto"/>
        </w:rPr>
        <w:t>. If the Aggregate Commitments are increased in accordance with this Section, the Administrative Agent and Toro shall determine the effective date (the “</w:t>
      </w:r>
      <w:r>
        <w:rPr>
          <w:rFonts w:ascii="Arial" w:cs="Arial" w:eastAsia="Arial" w:hAnsi="Arial"/>
          <w:sz w:val="22"/>
          <w:szCs w:val="22"/>
          <w:u w:val="single" w:color="auto"/>
          <w:color w:val="auto"/>
        </w:rPr>
        <w:t>Increase Effective Date</w:t>
      </w:r>
      <w:r>
        <w:rPr>
          <w:rFonts w:ascii="Arial" w:cs="Arial" w:eastAsia="Arial" w:hAnsi="Arial"/>
          <w:sz w:val="22"/>
          <w:szCs w:val="22"/>
          <w:color w:val="auto"/>
        </w:rPr>
        <w:t>”) and the final allocation of such increase. The Administrative Agent shall promptly notify Toro and the Lenders of the final allocation of such increase and the Increase Effective Date.</w:t>
      </w:r>
    </w:p>
    <w:p>
      <w:pPr>
        <w:spacing w:after="0" w:line="188" w:lineRule="exact"/>
        <w:rPr>
          <w:rFonts w:ascii="Arial" w:cs="Arial" w:eastAsia="Arial" w:hAnsi="Arial"/>
          <w:sz w:val="22"/>
          <w:szCs w:val="22"/>
          <w:color w:val="auto"/>
        </w:rPr>
      </w:pPr>
    </w:p>
    <w:p>
      <w:pPr>
        <w:jc w:val="both"/>
        <w:ind w:firstLine="656"/>
        <w:spacing w:after="0" w:line="284" w:lineRule="auto"/>
        <w:tabs>
          <w:tab w:leader="none" w:pos="1536"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Conditions to Effectiveness of Increase</w:t>
      </w:r>
      <w:r>
        <w:rPr>
          <w:rFonts w:ascii="Arial" w:cs="Arial" w:eastAsia="Arial" w:hAnsi="Arial"/>
          <w:sz w:val="19"/>
          <w:szCs w:val="19"/>
          <w:color w:val="auto"/>
        </w:rPr>
        <w:t xml:space="preserve">. As a condition precedent to such increase, Toro shall deliver to the Administrative Agent and the Lenders such information as may be requested pursuant to </w:t>
      </w:r>
      <w:r>
        <w:rPr>
          <w:rFonts w:ascii="Arial" w:cs="Arial" w:eastAsia="Arial" w:hAnsi="Arial"/>
          <w:sz w:val="19"/>
          <w:szCs w:val="19"/>
          <w:u w:val="single" w:color="auto"/>
          <w:color w:val="auto"/>
        </w:rPr>
        <w:t>Section 4.01(a)(xi)</w:t>
      </w:r>
      <w:r>
        <w:rPr>
          <w:rFonts w:ascii="Arial" w:cs="Arial" w:eastAsia="Arial" w:hAnsi="Arial"/>
          <w:sz w:val="19"/>
          <w:szCs w:val="19"/>
          <w:color w:val="auto"/>
        </w:rPr>
        <w:t xml:space="preserve">, and a certificate of each Loan Party dated as of the Increase Effective Date signed by a Responsible Officer of such Loan Party (i) certifying and attaching the resolutions adopted by such Loan Party approving or consenting to such increase, and (ii) certifying that, before and after giving effect to such increase, (A) the representations and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the other Loan Documents are true and correct in all material respects on and as of the Increase Effective Date,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are true and correct as of such earlier date, and (y) that for purposes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w:t>
      </w:r>
    </w:p>
    <w:p>
      <w:pPr>
        <w:jc w:val="both"/>
        <w:ind w:firstLine="8"/>
        <w:spacing w:after="0" w:line="258" w:lineRule="auto"/>
        <w:tabs>
          <w:tab w:leader="none" w:pos="306" w:val="left"/>
        </w:tabs>
        <w:numPr>
          <w:ilvl w:val="0"/>
          <w:numId w:val="66"/>
        </w:numPr>
        <w:rPr>
          <w:rFonts w:ascii="Arial" w:cs="Arial" w:eastAsia="Arial" w:hAnsi="Arial"/>
          <w:sz w:val="21"/>
          <w:szCs w:val="21"/>
          <w:u w:val="single" w:color="auto"/>
          <w:color w:val="auto"/>
        </w:rPr>
      </w:pPr>
      <w:r>
        <w:rPr>
          <w:rFonts w:ascii="Arial" w:cs="Arial" w:eastAsia="Arial" w:hAnsi="Arial"/>
          <w:sz w:val="21"/>
          <w:szCs w:val="21"/>
          <w:color w:val="auto"/>
        </w:rPr>
        <w:t xml:space="preserve">of </w:t>
      </w:r>
      <w:r>
        <w:rPr>
          <w:rFonts w:ascii="Arial" w:cs="Arial" w:eastAsia="Arial" w:hAnsi="Arial"/>
          <w:sz w:val="21"/>
          <w:szCs w:val="21"/>
          <w:u w:val="single" w:color="auto"/>
          <w:color w:val="auto"/>
        </w:rPr>
        <w:t>Section 5.05</w:t>
      </w:r>
      <w:r>
        <w:rPr>
          <w:rFonts w:ascii="Arial" w:cs="Arial" w:eastAsia="Arial" w:hAnsi="Arial"/>
          <w:sz w:val="21"/>
          <w:szCs w:val="21"/>
          <w:color w:val="auto"/>
        </w:rPr>
        <w:t xml:space="preserve"> shall be deemed to refer to the most recent statements furnished pursuant to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respectively, of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(B) Toro is in compliance with the financial covenants set forth in </w:t>
      </w:r>
      <w:r>
        <w:rPr>
          <w:rFonts w:ascii="Arial" w:cs="Arial" w:eastAsia="Arial" w:hAnsi="Arial"/>
          <w:sz w:val="21"/>
          <w:szCs w:val="21"/>
          <w:u w:val="single" w:color="auto"/>
          <w:color w:val="auto"/>
        </w:rPr>
        <w:t>Sections 7.05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7.06</w:t>
      </w:r>
      <w:r>
        <w:rPr>
          <w:rFonts w:ascii="Arial" w:cs="Arial" w:eastAsia="Arial" w:hAnsi="Arial"/>
          <w:sz w:val="21"/>
          <w:szCs w:val="21"/>
          <w:color w:val="auto"/>
        </w:rPr>
        <w:t xml:space="preserve">, and (C) no Default exists. The Borrowers shall prepay any Loans outstanding on the Increase Effective Date (and pay any additional amounts required pursuant to </w:t>
      </w:r>
      <w:r>
        <w:rPr>
          <w:rFonts w:ascii="Arial" w:cs="Arial" w:eastAsia="Arial" w:hAnsi="Arial"/>
          <w:sz w:val="21"/>
          <w:szCs w:val="21"/>
          <w:u w:val="single" w:color="auto"/>
          <w:color w:val="auto"/>
        </w:rPr>
        <w:t>Section 3.05</w:t>
      </w:r>
      <w:r>
        <w:rPr>
          <w:rFonts w:ascii="Arial" w:cs="Arial" w:eastAsia="Arial" w:hAnsi="Arial"/>
          <w:sz w:val="21"/>
          <w:szCs w:val="21"/>
          <w:color w:val="auto"/>
        </w:rPr>
        <w:t>) to the extent necessary to keep the outstanding Loans ratable with any revised Applicable Percentages arising from any nonratable increase in the Commitments under this Section.</w:t>
      </w:r>
    </w:p>
    <w:p>
      <w:pPr>
        <w:spacing w:after="0" w:line="183" w:lineRule="exact"/>
        <w:rPr>
          <w:rFonts w:ascii="Arial" w:cs="Arial" w:eastAsia="Arial" w:hAnsi="Arial"/>
          <w:sz w:val="21"/>
          <w:szCs w:val="21"/>
          <w:u w:val="single" w:color="auto"/>
          <w:color w:val="auto"/>
        </w:rPr>
      </w:pPr>
    </w:p>
    <w:p>
      <w:pPr>
        <w:ind w:left="1520" w:hanging="864"/>
        <w:spacing w:after="0"/>
        <w:tabs>
          <w:tab w:leader="none" w:pos="1520"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Conflicting Provisions</w:t>
      </w:r>
      <w:r>
        <w:rPr>
          <w:rFonts w:ascii="Arial" w:cs="Arial" w:eastAsia="Arial" w:hAnsi="Arial"/>
          <w:sz w:val="19"/>
          <w:szCs w:val="19"/>
          <w:color w:val="auto"/>
        </w:rPr>
        <w:t xml:space="preserve">. This Section shall supersede any provisions in </w:t>
      </w:r>
      <w:r>
        <w:rPr>
          <w:rFonts w:ascii="Arial" w:cs="Arial" w:eastAsia="Arial" w:hAnsi="Arial"/>
          <w:sz w:val="19"/>
          <w:szCs w:val="19"/>
          <w:u w:val="single" w:color="auto"/>
          <w:color w:val="auto"/>
        </w:rPr>
        <w:t>Sections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11.01</w:t>
      </w:r>
      <w:r>
        <w:rPr>
          <w:rFonts w:ascii="Arial" w:cs="Arial" w:eastAsia="Arial" w:hAnsi="Arial"/>
          <w:sz w:val="19"/>
          <w:szCs w:val="19"/>
          <w:color w:val="auto"/>
        </w:rPr>
        <w:t xml:space="preserve"> to the contrary.</w:t>
      </w:r>
    </w:p>
    <w:p>
      <w:pPr>
        <w:spacing w:after="0" w:line="2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19"/>
          <w:szCs w:val="19"/>
          <w:b w:val="1"/>
          <w:bCs w:val="1"/>
          <w:color w:val="auto"/>
        </w:rPr>
        <w:t>Cash Collateral.</w:t>
      </w:r>
    </w:p>
    <w:p>
      <w:pPr>
        <w:spacing w:after="0" w:line="226" w:lineRule="exact"/>
        <w:rPr>
          <w:sz w:val="20"/>
          <w:szCs w:val="20"/>
          <w:color w:val="auto"/>
        </w:rPr>
      </w:pPr>
    </w:p>
    <w:p>
      <w:pPr>
        <w:jc w:val="both"/>
        <w:ind w:firstLine="656"/>
        <w:spacing w:after="0" w:line="294" w:lineRule="auto"/>
        <w:tabs>
          <w:tab w:leader="none" w:pos="153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Borrowers shall be required to provide Cash Collateral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8.02(c)</w:t>
      </w:r>
      <w:r>
        <w:rPr>
          <w:rFonts w:ascii="Arial" w:cs="Arial" w:eastAsia="Arial" w:hAnsi="Arial"/>
          <w:sz w:val="19"/>
          <w:szCs w:val="19"/>
          <w:color w:val="auto"/>
        </w:rPr>
        <w:t xml:space="preserve">, or (iv) there shall exist a Defaulting Lender, the Borrowers shall immediately (in the case of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above) or within one (1) Business Day (in all other cases), following any request by the Administrative Agent or the L/C Issuer, provide Cash Collateral in an amount not less than the applicable Minimum Collateral Amount (determined in the case of Cash Collateral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71" w:name="page72"/>
    <w:bookmarkEnd w:id="71"/>
    <w:p>
      <w:pPr>
        <w:jc w:val="both"/>
        <w:spacing w:after="0" w:line="297" w:lineRule="auto"/>
        <w:rPr>
          <w:sz w:val="20"/>
          <w:szCs w:val="20"/>
          <w:color w:val="auto"/>
        </w:rPr>
      </w:pPr>
      <w:r>
        <w:rPr>
          <w:rFonts w:ascii="Arial" w:cs="Arial" w:eastAsia="Arial" w:hAnsi="Arial"/>
          <w:sz w:val="19"/>
          <w:szCs w:val="19"/>
          <w:color w:val="auto"/>
        </w:rPr>
        <w:t xml:space="preserve">provided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 after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and any Cash Collateral provided by the Defaulting Lender). Additionally, if the Administrative Agent notifies the Borrowers at any time that the Outstanding Amount of all L/C Obligations at such time exceeds 105% of the Letter of Credit Sublimit then in effect, then, within two (2) Business Days after receipt of such notice, the Borrowers shall provide Cash Collateral for the Outstanding Amount of the L/C Obligations in an amount not less than the amount by which the Outstanding Amount of all L/C Obligations exceeds the Letter of Credit Sublimit.</w:t>
      </w:r>
    </w:p>
    <w:p>
      <w:pPr>
        <w:spacing w:after="0" w:line="147" w:lineRule="exact"/>
        <w:rPr>
          <w:sz w:val="20"/>
          <w:szCs w:val="20"/>
          <w:color w:val="auto"/>
        </w:rPr>
      </w:pPr>
    </w:p>
    <w:p>
      <w:pPr>
        <w:jc w:val="both"/>
        <w:ind w:firstLine="656"/>
        <w:spacing w:after="0" w:line="287" w:lineRule="auto"/>
        <w:tabs>
          <w:tab w:leader="none" w:pos="1549"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Each Borrower, and to the extent provided by any Defaulting Lender, such Defaulting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Borrowers shall pay on demand therefor from time to time all customary account opening, activity and other administrative fees and charges in connection with the maintenance and disbursement of Cash Collateral.</w:t>
      </w:r>
    </w:p>
    <w:p>
      <w:pPr>
        <w:spacing w:after="0" w:line="159" w:lineRule="exact"/>
        <w:rPr>
          <w:rFonts w:ascii="Arial" w:cs="Arial" w:eastAsia="Arial" w:hAnsi="Arial"/>
          <w:sz w:val="19"/>
          <w:szCs w:val="19"/>
          <w:color w:val="auto"/>
        </w:rPr>
      </w:pPr>
    </w:p>
    <w:p>
      <w:pPr>
        <w:jc w:val="both"/>
        <w:ind w:firstLine="656"/>
        <w:spacing w:after="0" w:line="297" w:lineRule="auto"/>
        <w:tabs>
          <w:tab w:leader="none" w:pos="153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any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Cash Collateral as may be provided for herein.</w:t>
      </w:r>
    </w:p>
    <w:p>
      <w:pPr>
        <w:spacing w:after="0" w:line="147" w:lineRule="exact"/>
        <w:rPr>
          <w:rFonts w:ascii="Arial" w:cs="Arial" w:eastAsia="Arial" w:hAnsi="Arial"/>
          <w:sz w:val="19"/>
          <w:szCs w:val="19"/>
          <w:color w:val="auto"/>
        </w:rPr>
      </w:pPr>
    </w:p>
    <w:p>
      <w:pPr>
        <w:jc w:val="both"/>
        <w:ind w:firstLine="656"/>
        <w:spacing w:after="0" w:line="246" w:lineRule="auto"/>
        <w:tabs>
          <w:tab w:leader="none" w:pos="1549"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22"/>
          <w:szCs w:val="22"/>
          <w:u w:val="single" w:color="auto"/>
          <w:color w:val="auto"/>
        </w:rPr>
        <w:t>Section 11.06(b)(vi)</w:t>
      </w:r>
      <w:r>
        <w:rPr>
          <w:rFonts w:ascii="Arial" w:cs="Arial" w:eastAsia="Arial" w:hAnsi="Arial"/>
          <w:sz w:val="22"/>
          <w:szCs w:val="22"/>
          <w:color w:val="auto"/>
        </w:rPr>
        <w:t xml:space="preserve">)) or (ii) the determination by the Administrative Agent and the L/C Issuer that there exists excess Cash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72" w:name="page73"/>
    <w:bookmarkEnd w:id="72"/>
    <w:p>
      <w:pPr>
        <w:ind w:left="660"/>
        <w:spacing w:after="0"/>
        <w:tabs>
          <w:tab w:leader="none" w:pos="124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19"/>
          <w:szCs w:val="19"/>
          <w:b w:val="1"/>
          <w:bCs w:val="1"/>
          <w:color w:val="auto"/>
        </w:rPr>
        <w:t>Defaulting Lenders.</w:t>
      </w:r>
    </w:p>
    <w:p>
      <w:pPr>
        <w:spacing w:after="0" w:line="226" w:lineRule="exact"/>
        <w:rPr>
          <w:sz w:val="20"/>
          <w:szCs w:val="20"/>
          <w:color w:val="auto"/>
        </w:rPr>
      </w:pPr>
    </w:p>
    <w:p>
      <w:pPr>
        <w:jc w:val="both"/>
        <w:ind w:firstLine="656"/>
        <w:spacing w:after="0" w:line="343" w:lineRule="auto"/>
        <w:tabs>
          <w:tab w:leader="none" w:pos="153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04" w:lineRule="exact"/>
        <w:rPr>
          <w:rFonts w:ascii="Arial" w:cs="Arial" w:eastAsia="Arial" w:hAnsi="Arial"/>
          <w:sz w:val="19"/>
          <w:szCs w:val="19"/>
          <w:color w:val="auto"/>
        </w:rPr>
      </w:pPr>
    </w:p>
    <w:p>
      <w:pPr>
        <w:jc w:val="both"/>
        <w:ind w:left="660" w:firstLine="645"/>
        <w:spacing w:after="0" w:line="253" w:lineRule="auto"/>
        <w:tabs>
          <w:tab w:leader="none" w:pos="2160"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Such Defaulting Lender’s right to approve or disapprove any amendment, waiver or consent with respect to this Agreement shall be restricted as set forth in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and in the definition of “Required Lenders”.</w:t>
      </w:r>
    </w:p>
    <w:p>
      <w:pPr>
        <w:spacing w:after="0" w:line="185" w:lineRule="exact"/>
        <w:rPr>
          <w:rFonts w:ascii="Arial" w:cs="Arial" w:eastAsia="Arial" w:hAnsi="Arial"/>
          <w:sz w:val="22"/>
          <w:szCs w:val="22"/>
          <w:color w:val="auto"/>
        </w:rPr>
      </w:pPr>
    </w:p>
    <w:p>
      <w:pPr>
        <w:jc w:val="both"/>
        <w:ind w:left="660" w:firstLine="645"/>
        <w:spacing w:after="0" w:line="284" w:lineRule="auto"/>
        <w:tabs>
          <w:tab w:leader="none" w:pos="2221"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otherwise) or received by the Administrative Agent from a Defaulting Lender pursuant to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if such Defaulting Lender is a Lender, to the payment on a pro rata basis of any amounts owing by such Defaulting Lender to the L/C Issuer or Swing 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such Defaulting Lender is a Lender, to Cash Collateralize the L/C Issuer’s Fronting Exposure with respect to such Defaulting Lender in accordance with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Toro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Toro, to be held in a deposit account and released pro rata in order to (x) satisfy such Defaulting Lender’s potential future funding obligations with respect to Loans under this Agreement and (y) if such Defaulting Lender is a Lender, Cash Collateralize the L/C Issuer’s future Fronting Exposure with respect to such Defaulting Lender with respect to future Letters of Credit issued under this Agreement, in accordance with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xml:space="preserve">, in the case of a Defaulting Lender, to the payment of any amounts owing to the other Lenders and the L/C Issuer or Swing Line Lender, in each case,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Obligations owed to, all Non-Defaulting Lenders on a pro rata basis (and ratably among all applicable Facilities computed in accordance with the Defaulting Lenders’ respective funding deficiencies) prior to being applied to the payment of any Loans of, or L/C Obligations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25" w:right="239" w:bottom="1440" w:gutter="0" w:footer="0" w:header="0"/>
        </w:sectPr>
      </w:pPr>
    </w:p>
    <w:bookmarkStart w:id="73" w:name="page74"/>
    <w:bookmarkEnd w:id="73"/>
    <w:p>
      <w:pPr>
        <w:jc w:val="both"/>
        <w:spacing w:after="0" w:line="297" w:lineRule="auto"/>
        <w:rPr>
          <w:sz w:val="20"/>
          <w:szCs w:val="20"/>
          <w:color w:val="auto"/>
        </w:rPr>
      </w:pPr>
      <w:r>
        <w:rPr>
          <w:rFonts w:ascii="Arial" w:cs="Arial" w:eastAsia="Arial" w:hAnsi="Arial"/>
          <w:sz w:val="19"/>
          <w:szCs w:val="19"/>
          <w:color w:val="auto"/>
        </w:rPr>
        <w:t xml:space="preserve">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2.16(a)(ii)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147" w:lineRule="exact"/>
        <w:rPr>
          <w:sz w:val="20"/>
          <w:szCs w:val="20"/>
          <w:color w:val="auto"/>
        </w:rPr>
      </w:pPr>
    </w:p>
    <w:p>
      <w:pPr>
        <w:ind w:left="1620" w:hanging="975"/>
        <w:spacing w:after="0"/>
        <w:tabs>
          <w:tab w:leader="none" w:pos="162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0" w:firstLine="653"/>
        <w:spacing w:after="0" w:line="265" w:lineRule="auto"/>
        <w:tabs>
          <w:tab w:leader="none" w:pos="2236" w:val="left"/>
        </w:tabs>
        <w:numPr>
          <w:ilvl w:val="1"/>
          <w:numId w:val="70"/>
        </w:numPr>
        <w:rPr>
          <w:rFonts w:ascii="Arial" w:cs="Arial" w:eastAsia="Arial" w:hAnsi="Arial"/>
          <w:sz w:val="21"/>
          <w:szCs w:val="21"/>
          <w:color w:val="auto"/>
        </w:rPr>
      </w:pPr>
      <w:r>
        <w:rPr>
          <w:rFonts w:ascii="Arial" w:cs="Arial" w:eastAsia="Arial" w:hAnsi="Arial"/>
          <w:sz w:val="21"/>
          <w:szCs w:val="21"/>
          <w:color w:val="auto"/>
        </w:rPr>
        <w:t xml:space="preserve">That Defaulting Lender (x) shall be entitled to receive any facility fee pursuant to </w:t>
      </w:r>
      <w:r>
        <w:rPr>
          <w:rFonts w:ascii="Arial" w:cs="Arial" w:eastAsia="Arial" w:hAnsi="Arial"/>
          <w:sz w:val="21"/>
          <w:szCs w:val="21"/>
          <w:u w:val="single" w:color="auto"/>
          <w:color w:val="auto"/>
        </w:rPr>
        <w:t>Section 2.09(a)</w:t>
      </w:r>
      <w:r>
        <w:rPr>
          <w:rFonts w:ascii="Arial" w:cs="Arial" w:eastAsia="Arial" w:hAnsi="Arial"/>
          <w:sz w:val="21"/>
          <w:szCs w:val="21"/>
          <w:color w:val="auto"/>
        </w:rPr>
        <w:t xml:space="preserve"> for any period during which that Lender is a Defaulting Lender only to extent allocable to the sum of (1) the Outstanding Amount of the Loans funded by it and (2) its Applicable Percentage of the stated amount of Letters of Credit for which it has provided Cash Collateral pursuant to </w:t>
      </w:r>
      <w:r>
        <w:rPr>
          <w:rFonts w:ascii="Arial" w:cs="Arial" w:eastAsia="Arial" w:hAnsi="Arial"/>
          <w:sz w:val="21"/>
          <w:szCs w:val="21"/>
          <w:u w:val="single" w:color="auto"/>
          <w:color w:val="auto"/>
        </w:rPr>
        <w:t>Section 2.16(a)(ii)</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640" w:firstLine="653"/>
        <w:spacing w:after="0" w:line="312" w:lineRule="auto"/>
        <w:tabs>
          <w:tab w:leader="none" w:pos="2224"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Each Defaulting Lender which is a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left="640" w:firstLine="653"/>
        <w:spacing w:after="0" w:line="259" w:lineRule="auto"/>
        <w:tabs>
          <w:tab w:leader="none" w:pos="2224" w:val="left"/>
        </w:tabs>
        <w:numPr>
          <w:ilvl w:val="1"/>
          <w:numId w:val="70"/>
        </w:numPr>
        <w:rPr>
          <w:rFonts w:ascii="Arial" w:cs="Arial" w:eastAsia="Arial" w:hAnsi="Arial"/>
          <w:sz w:val="21"/>
          <w:szCs w:val="21"/>
          <w:color w:val="auto"/>
        </w:rPr>
      </w:pPr>
      <w:r>
        <w:rPr>
          <w:rFonts w:ascii="Arial" w:cs="Arial" w:eastAsia="Arial" w:hAnsi="Arial"/>
          <w:sz w:val="21"/>
          <w:szCs w:val="21"/>
          <w:color w:val="auto"/>
        </w:rPr>
        <w:t xml:space="preserve">With respect to any fee payable under </w:t>
      </w:r>
      <w:r>
        <w:rPr>
          <w:rFonts w:ascii="Arial" w:cs="Arial" w:eastAsia="Arial" w:hAnsi="Arial"/>
          <w:sz w:val="21"/>
          <w:szCs w:val="21"/>
          <w:u w:val="single" w:color="auto"/>
          <w:color w:val="auto"/>
        </w:rPr>
        <w:t>Section 2.09(a)</w:t>
      </w:r>
      <w:r>
        <w:rPr>
          <w:rFonts w:ascii="Arial" w:cs="Arial" w:eastAsia="Arial" w:hAnsi="Arial"/>
          <w:sz w:val="21"/>
          <w:szCs w:val="21"/>
          <w:color w:val="auto"/>
        </w:rPr>
        <w:t xml:space="preserve"> or any Letter of Credit Fee not required to be paid to any Defaulting Lender pursuant to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the Borrowers shall (x) pay to each Non-Defaulting Lender which is a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21"/>
          <w:szCs w:val="21"/>
          <w:u w:val="single" w:color="auto"/>
          <w:color w:val="auto"/>
        </w:rPr>
        <w:t>clause (iv)</w:t>
      </w:r>
      <w:r>
        <w:rPr>
          <w:rFonts w:ascii="Arial" w:cs="Arial" w:eastAsia="Arial" w:hAnsi="Arial"/>
          <w:sz w:val="21"/>
          <w:szCs w:val="21"/>
          <w:color w:val="auto"/>
        </w:rPr>
        <w:t xml:space="preserve"> below, (y) pay to the L/C Issuer and Swing Line Lender, as applicable</w:t>
      </w:r>
      <w:r>
        <w:rPr>
          <w:rFonts w:ascii="Arial" w:cs="Arial" w:eastAsia="Arial" w:hAnsi="Arial"/>
          <w:sz w:val="21"/>
          <w:szCs w:val="21"/>
          <w:b w:val="1"/>
          <w:bCs w:val="1"/>
          <w:color w:val="auto"/>
        </w:rPr>
        <w:t>,</w:t>
      </w:r>
      <w:r>
        <w:rPr>
          <w:rFonts w:ascii="Arial" w:cs="Arial" w:eastAsia="Arial" w:hAnsi="Arial"/>
          <w:sz w:val="21"/>
          <w:szCs w:val="21"/>
          <w:color w:val="auto"/>
        </w:rPr>
        <w:t xml:space="preserv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84" w:lineRule="exact"/>
        <w:rPr>
          <w:rFonts w:ascii="Arial" w:cs="Arial" w:eastAsia="Arial" w:hAnsi="Arial"/>
          <w:sz w:val="21"/>
          <w:szCs w:val="21"/>
          <w:color w:val="auto"/>
        </w:rPr>
      </w:pPr>
    </w:p>
    <w:p>
      <w:pPr>
        <w:jc w:val="both"/>
        <w:ind w:firstLine="645"/>
        <w:spacing w:after="0" w:line="289" w:lineRule="auto"/>
        <w:tabs>
          <w:tab w:leader="none" w:pos="1608"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xml:space="preserve">. All or any part of such Defaulting Lender’s participation in L/C Obligations and Swing Line Loans shall be reallocated among the Non-Defaulting Lenders which are Lenders in accordance with their respective Applicable Percentages (calculated without regard to such Defaulting Lender’s Commitment)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Toro shall have otherwise notified the Administrative Agent at such time, Toro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19"/>
          <w:szCs w:val="19"/>
          <w:u w:val="single" w:color="auto"/>
          <w:color w:val="auto"/>
        </w:rPr>
        <w:t>Section 11.24</w:t>
      </w:r>
      <w:r>
        <w:rPr>
          <w:rFonts w:ascii="Arial" w:cs="Arial" w:eastAsia="Arial" w:hAnsi="Arial"/>
          <w:sz w:val="19"/>
          <w:szCs w:val="19"/>
          <w:color w:val="auto"/>
        </w:rPr>
        <w:t>, no reallocation hereunder shall constitute a waiver or release of any claim of any party hereunder against a Defaulting Lender arising from that Lender having</w:t>
      </w:r>
    </w:p>
    <w:p>
      <w:pPr>
        <w:spacing w:after="0" w:line="200" w:lineRule="exact"/>
        <w:rPr>
          <w:sz w:val="20"/>
          <w:szCs w:val="20"/>
          <w:color w:val="auto"/>
        </w:rPr>
      </w:pPr>
    </w:p>
    <w:p>
      <w:pPr>
        <w:spacing w:after="0" w:line="20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760"/>
          </w:cols>
          <w:pgMar w:left="900" w:top="631" w:right="239" w:bottom="1440" w:gutter="0" w:footer="0" w:header="0"/>
        </w:sectPr>
      </w:pPr>
    </w:p>
    <w:bookmarkStart w:id="74" w:name="page75"/>
    <w:bookmarkEnd w:id="74"/>
    <w:p>
      <w:pPr>
        <w:ind w:left="660"/>
        <w:spacing w:after="0" w:line="263" w:lineRule="auto"/>
        <w:rPr>
          <w:sz w:val="20"/>
          <w:szCs w:val="20"/>
          <w:color w:val="auto"/>
        </w:rPr>
      </w:pPr>
      <w:r>
        <w:rPr>
          <w:rFonts w:ascii="Arial" w:cs="Arial" w:eastAsia="Arial" w:hAnsi="Arial"/>
          <w:sz w:val="22"/>
          <w:szCs w:val="22"/>
          <w:color w:val="auto"/>
        </w:rPr>
        <w:t>become a Defaulting Lender, including any claim of a Non-Defaulting Lender as a result of such Non-Defaulting Lender’s increased exposure following such reallocation.</w:t>
      </w:r>
    </w:p>
    <w:p>
      <w:pPr>
        <w:spacing w:after="0" w:line="175" w:lineRule="exact"/>
        <w:rPr>
          <w:sz w:val="20"/>
          <w:szCs w:val="20"/>
          <w:color w:val="auto"/>
        </w:rPr>
      </w:pPr>
    </w:p>
    <w:p>
      <w:pPr>
        <w:jc w:val="both"/>
        <w:ind w:left="660" w:firstLine="645"/>
        <w:spacing w:after="0" w:line="248" w:lineRule="auto"/>
        <w:tabs>
          <w:tab w:leader="none" w:pos="2209"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Cash Collateral, Repayment of Swing Line Loans</w:t>
      </w:r>
      <w:r>
        <w:rPr>
          <w:rFonts w:ascii="Arial" w:cs="Arial" w:eastAsia="Arial" w:hAnsi="Arial"/>
          <w:sz w:val="22"/>
          <w:szCs w:val="22"/>
          <w:color w:val="auto"/>
        </w:rPr>
        <w:t xml:space="preserve">. If the reallocation described in </w:t>
      </w:r>
      <w:r>
        <w:rPr>
          <w:rFonts w:ascii="Arial" w:cs="Arial" w:eastAsia="Arial" w:hAnsi="Arial"/>
          <w:sz w:val="22"/>
          <w:szCs w:val="22"/>
          <w:u w:val="single" w:color="auto"/>
          <w:color w:val="auto"/>
        </w:rPr>
        <w:t>clause (a)(iv)</w:t>
      </w:r>
      <w:r>
        <w:rPr>
          <w:rFonts w:ascii="Arial" w:cs="Arial" w:eastAsia="Arial" w:hAnsi="Arial"/>
          <w:sz w:val="22"/>
          <w:szCs w:val="22"/>
          <w:color w:val="auto"/>
        </w:rPr>
        <w:t xml:space="preserve">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656"/>
        <w:spacing w:after="0" w:line="287" w:lineRule="auto"/>
        <w:tabs>
          <w:tab w:leader="none" w:pos="154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Toro, the Administrative Agent, and, in the case that a Defaulting Lender is a Lender, the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whereupon that Lender will cease to be a Defaulting Lender; provided that no adjustments will be made retroactively with respect to fees accrued or payments made by or on behalf of any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2.17 Designated Borrowers. </w:t>
      </w:r>
      <w:r>
        <w:rPr>
          <w:rFonts w:ascii="Arial" w:cs="Arial" w:eastAsia="Arial" w:hAnsi="Arial"/>
          <w:sz w:val="19"/>
          <w:szCs w:val="19"/>
          <w:color w:val="auto"/>
        </w:rPr>
        <w:t>(a) Toro may at any time, upon not less than 15 Business Days’ notice from Toro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(or such shorter period as may be agreed by the Administrative Agent in its sole discretion), designate any additional Subsidiary of Toro (an “</w:t>
      </w:r>
      <w:r>
        <w:rPr>
          <w:rFonts w:ascii="Arial" w:cs="Arial" w:eastAsia="Arial" w:hAnsi="Arial"/>
          <w:sz w:val="19"/>
          <w:szCs w:val="19"/>
          <w:u w:val="single" w:color="auto"/>
          <w:color w:val="auto"/>
        </w:rPr>
        <w:t>Applicant Borrower</w:t>
      </w:r>
      <w:r>
        <w:rPr>
          <w:rFonts w:ascii="Arial" w:cs="Arial" w:eastAsia="Arial" w:hAnsi="Arial"/>
          <w:sz w:val="19"/>
          <w:szCs w:val="19"/>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 “</w:t>
      </w:r>
      <w:r>
        <w:rPr>
          <w:rFonts w:ascii="Arial" w:cs="Arial" w:eastAsia="Arial" w:hAnsi="Arial"/>
          <w:sz w:val="19"/>
          <w:szCs w:val="19"/>
          <w:u w:val="single" w:color="auto"/>
          <w:color w:val="auto"/>
        </w:rPr>
        <w:t>Designated Borrower Request and Assumption Agreement</w:t>
      </w:r>
      <w:r>
        <w:rPr>
          <w:rFonts w:ascii="Arial" w:cs="Arial" w:eastAsia="Arial" w:hAnsi="Arial"/>
          <w:sz w:val="19"/>
          <w:szCs w:val="19"/>
          <w:color w:val="auto"/>
        </w:rPr>
        <w:t xml:space="preserve">”). The parties hereto acknowledge and agree that prior to any Applicant Borrower becoming entitled to utilize the credit facilities provided for herein the Administrative Agent and the Lenders shall have received such supporting resolutions, incumbency certificates, opinions of counsel, such information as may be requested pursuant to </w:t>
      </w:r>
      <w:r>
        <w:rPr>
          <w:rFonts w:ascii="Arial" w:cs="Arial" w:eastAsia="Arial" w:hAnsi="Arial"/>
          <w:sz w:val="19"/>
          <w:szCs w:val="19"/>
          <w:u w:val="single" w:color="auto"/>
          <w:color w:val="auto"/>
        </w:rPr>
        <w:t>Section 4.01(a)(xi)</w:t>
      </w:r>
      <w:r>
        <w:rPr>
          <w:rFonts w:ascii="Arial" w:cs="Arial" w:eastAsia="Arial" w:hAnsi="Arial"/>
          <w:sz w:val="19"/>
          <w:szCs w:val="19"/>
          <w:color w:val="auto"/>
        </w:rPr>
        <w:t xml:space="preserve"> and other documents or information, in form, content and scope reasonably satisfactory to the Administrative Agent, as may be required by the Administrative Agent or the Required Lenders in their sole discretion, and Notes signed by such new Subsidiary Borrowers to the extent any Lenders so require. If the Administrative Agent and each of the Lenders agree that an Applicant Borrower shall be entitled to receive Loans hereunder, then promptly following receipt of all such requested resolutions, incumbency certificates, opinions of counsel, such information as may be requested pursuant to </w:t>
      </w:r>
      <w:r>
        <w:rPr>
          <w:rFonts w:ascii="Arial" w:cs="Arial" w:eastAsia="Arial" w:hAnsi="Arial"/>
          <w:sz w:val="19"/>
          <w:szCs w:val="19"/>
          <w:u w:val="single" w:color="auto"/>
          <w:color w:val="auto"/>
        </w:rPr>
        <w:t>Section 4.01(a)(xi)</w:t>
      </w:r>
      <w:r>
        <w:rPr>
          <w:rFonts w:ascii="Arial" w:cs="Arial" w:eastAsia="Arial" w:hAnsi="Arial"/>
          <w:sz w:val="19"/>
          <w:szCs w:val="19"/>
          <w:color w:val="auto"/>
        </w:rPr>
        <w:t xml:space="preserve"> and other documents or information, the Administrative Agent shall send a notice in substantially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(a “</w:t>
      </w:r>
      <w:r>
        <w:rPr>
          <w:rFonts w:ascii="Arial" w:cs="Arial" w:eastAsia="Arial" w:hAnsi="Arial"/>
          <w:sz w:val="19"/>
          <w:szCs w:val="19"/>
          <w:u w:val="single" w:color="auto"/>
          <w:color w:val="auto"/>
        </w:rPr>
        <w:t>Designated Borrower Notice</w:t>
      </w:r>
      <w:r>
        <w:rPr>
          <w:rFonts w:ascii="Arial" w:cs="Arial" w:eastAsia="Arial" w:hAnsi="Arial"/>
          <w:sz w:val="19"/>
          <w:szCs w:val="19"/>
          <w:color w:val="auto"/>
        </w:rPr>
        <w:t>”) to Toro and the Lenders specifying the effective date upon which the Applicant Borrower shall constitute a Designated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75" w:name="page76"/>
    <w:bookmarkEnd w:id="75"/>
    <w:p>
      <w:pPr>
        <w:jc w:val="both"/>
        <w:spacing w:after="0" w:line="302" w:lineRule="auto"/>
        <w:rPr>
          <w:sz w:val="20"/>
          <w:szCs w:val="20"/>
          <w:color w:val="auto"/>
        </w:rPr>
      </w:pPr>
      <w:r>
        <w:rPr>
          <w:rFonts w:ascii="Arial" w:cs="Arial" w:eastAsia="Arial" w:hAnsi="Arial"/>
          <w:sz w:val="19"/>
          <w:szCs w:val="19"/>
          <w:color w:val="auto"/>
        </w:rPr>
        <w:t xml:space="preserve">Borrower for purposes hereof, whereupon each of the Lenders agrees to permit such Designated Borrower to receive Loans hereunder, on the terms and conditions set forth herein, and each of the parties agrees that such Designated Borrower otherwise shall be a Subsidiary Borrower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Loan Notice or Letter of Credit Application may be submitted by or on behalf of such Designated Borrower until the date five (5) Business Days after such effective date.</w:t>
      </w:r>
    </w:p>
    <w:p>
      <w:pPr>
        <w:spacing w:after="0" w:line="143" w:lineRule="exact"/>
        <w:rPr>
          <w:sz w:val="20"/>
          <w:szCs w:val="20"/>
          <w:color w:val="auto"/>
        </w:rPr>
      </w:pPr>
    </w:p>
    <w:p>
      <w:pPr>
        <w:ind w:firstLine="656"/>
        <w:spacing w:after="0" w:line="263" w:lineRule="auto"/>
        <w:tabs>
          <w:tab w:leader="none" w:pos="1549"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The Obligations of all Designated Borrowers shall be several in nature and shall be guaranteed by Toro pursuant to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hereof.</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536"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Toro may from time to time, upon not less than 15 Business Days’ notice from Toro to the Administrative Agent (or such shorter period as may be agreed by the Administrative Agent in its sole discretion), terminate a Designated Borrower’s status as such,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TAXES, YIELD PROTECTION AND ILLEGALITY</w:t>
      </w:r>
    </w:p>
    <w:p>
      <w:pPr>
        <w:spacing w:after="0" w:line="19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8"/>
          <w:szCs w:val="18"/>
          <w:b w:val="1"/>
          <w:bCs w:val="1"/>
          <w:color w:val="auto"/>
        </w:rPr>
        <w:t>Taxes.</w:t>
      </w:r>
    </w:p>
    <w:p>
      <w:pPr>
        <w:spacing w:after="0" w:line="226" w:lineRule="exact"/>
        <w:rPr>
          <w:sz w:val="20"/>
          <w:szCs w:val="20"/>
          <w:color w:val="auto"/>
        </w:rPr>
      </w:pPr>
    </w:p>
    <w:p>
      <w:pPr>
        <w:ind w:left="1540" w:hanging="884"/>
        <w:spacing w:after="0"/>
        <w:tabs>
          <w:tab w:leader="none" w:pos="154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Payments Free of Taxes; Obligation to Withhold; Payments on Account of Taxes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5"/>
        <w:spacing w:after="0" w:line="261" w:lineRule="auto"/>
        <w:tabs>
          <w:tab w:leader="none" w:pos="2160" w:val="left"/>
        </w:tabs>
        <w:numPr>
          <w:ilvl w:val="1"/>
          <w:numId w:val="74"/>
        </w:numPr>
        <w:rPr>
          <w:rFonts w:ascii="Arial" w:cs="Arial" w:eastAsia="Arial" w:hAnsi="Arial"/>
          <w:sz w:val="21"/>
          <w:szCs w:val="21"/>
          <w:color w:val="auto"/>
        </w:rPr>
      </w:pPr>
      <w:r>
        <w:rPr>
          <w:rFonts w:ascii="Arial" w:cs="Arial" w:eastAsia="Arial" w:hAnsi="Arial"/>
          <w:sz w:val="21"/>
          <w:szCs w:val="21"/>
          <w:color w:val="auto"/>
        </w:rPr>
        <w:t xml:space="preserve">Any and all payments by or on account of any obligation of the respective Borrowers hereunder or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Borrower, then the Administrative Agent or such Borrower shall be entitled to make such deduction or withholding, upon the basis of the information and documentation to be delivered pursuant to </w:t>
      </w:r>
      <w:r>
        <w:rPr>
          <w:rFonts w:ascii="Arial" w:cs="Arial" w:eastAsia="Arial" w:hAnsi="Arial"/>
          <w:sz w:val="21"/>
          <w:szCs w:val="21"/>
          <w:u w:val="single" w:color="auto"/>
          <w:color w:val="auto"/>
        </w:rPr>
        <w:t>subsection (e)</w:t>
      </w:r>
      <w:r>
        <w:rPr>
          <w:rFonts w:ascii="Arial" w:cs="Arial" w:eastAsia="Arial" w:hAnsi="Arial"/>
          <w:sz w:val="21"/>
          <w:szCs w:val="21"/>
          <w:color w:val="auto"/>
        </w:rPr>
        <w:t xml:space="preserve"> below.</w:t>
      </w:r>
    </w:p>
    <w:p>
      <w:pPr>
        <w:spacing w:after="0" w:line="180" w:lineRule="exact"/>
        <w:rPr>
          <w:rFonts w:ascii="Arial" w:cs="Arial" w:eastAsia="Arial" w:hAnsi="Arial"/>
          <w:sz w:val="21"/>
          <w:szCs w:val="21"/>
          <w:color w:val="auto"/>
        </w:rPr>
      </w:pPr>
    </w:p>
    <w:p>
      <w:pPr>
        <w:jc w:val="both"/>
        <w:ind w:left="660" w:firstLine="645"/>
        <w:spacing w:after="0" w:line="290" w:lineRule="auto"/>
        <w:tabs>
          <w:tab w:leader="none" w:pos="2221"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If any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the Administrative Agent shall timely pay the full amount so withheld or deducted by it to the relevant Governmental Authority in accordance with the Code,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31" w:right="239" w:bottom="1440" w:gutter="0" w:footer="0" w:header="0"/>
        </w:sectPr>
      </w:pPr>
    </w:p>
    <w:bookmarkStart w:id="76" w:name="page77"/>
    <w:bookmarkEnd w:id="76"/>
    <w:p>
      <w:pPr>
        <w:ind w:left="660"/>
        <w:spacing w:after="0" w:line="263" w:lineRule="auto"/>
        <w:rPr>
          <w:sz w:val="20"/>
          <w:szCs w:val="20"/>
          <w:color w:val="auto"/>
        </w:rPr>
      </w:pPr>
      <w:r>
        <w:rPr>
          <w:rFonts w:ascii="Arial" w:cs="Arial" w:eastAsia="Arial" w:hAnsi="Arial"/>
          <w:sz w:val="22"/>
          <w:szCs w:val="22"/>
          <w:u w:val="single" w:color="auto"/>
          <w:color w:val="auto"/>
        </w:rPr>
        <w:t>Section 3.01</w:t>
      </w:r>
      <w:r>
        <w:rPr>
          <w:rFonts w:ascii="Arial" w:cs="Arial" w:eastAsia="Arial" w:hAnsi="Arial"/>
          <w:sz w:val="22"/>
          <w:szCs w:val="22"/>
          <w:color w:val="auto"/>
        </w:rPr>
        <w:t>) the applicable Recipient receives an amount equal to the sum it would have received had no such withholding or deduction been made.</w:t>
      </w:r>
    </w:p>
    <w:p>
      <w:pPr>
        <w:spacing w:after="0" w:line="175" w:lineRule="exact"/>
        <w:rPr>
          <w:sz w:val="20"/>
          <w:szCs w:val="20"/>
          <w:color w:val="auto"/>
        </w:rPr>
      </w:pPr>
    </w:p>
    <w:p>
      <w:pPr>
        <w:jc w:val="both"/>
        <w:ind w:left="660" w:firstLine="645"/>
        <w:spacing w:after="0" w:line="288" w:lineRule="auto"/>
        <w:tabs>
          <w:tab w:leader="none" w:pos="2281"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If any Borrower or the Administrative Agent shall be required by any applicable Laws other than the Code to withhold or deduct any Taxes from any payment, then (A) such Borrower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such Borrower or the Administrative Agent, to the extent required by such Laws, shall make such deductions and shall timely pay the full amount so withheld or deducted by it to the relevant Governmental Authority in accordance with such Laws,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60"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Borrowers</w:t>
      </w:r>
      <w:r>
        <w:rPr>
          <w:rFonts w:ascii="Arial" w:cs="Arial" w:eastAsia="Arial" w:hAnsi="Arial"/>
          <w:sz w:val="22"/>
          <w:szCs w:val="22"/>
          <w:color w:val="auto"/>
        </w:rPr>
        <w:t xml:space="preserve">. Without limiting the provisions of </w:t>
      </w:r>
      <w:r>
        <w:rPr>
          <w:rFonts w:ascii="Arial" w:cs="Arial" w:eastAsia="Arial" w:hAnsi="Arial"/>
          <w:sz w:val="22"/>
          <w:szCs w:val="22"/>
          <w:u w:val="single" w:color="auto"/>
          <w:color w:val="auto"/>
        </w:rPr>
        <w:t>subsection (a)</w:t>
      </w:r>
      <w:r>
        <w:rPr>
          <w:rFonts w:ascii="Arial" w:cs="Arial" w:eastAsia="Arial" w:hAnsi="Arial"/>
          <w:sz w:val="22"/>
          <w:szCs w:val="22"/>
          <w:color w:val="auto"/>
        </w:rPr>
        <w:t xml:space="preserve"> above, each Borrower shall timely pay to the relevant Governmental Authority in accordance with applicable Laws, or at the option of the Administrative Agent timely reimburse it for the payment of, any Other Taxes.</w:t>
      </w:r>
    </w:p>
    <w:p>
      <w:pPr>
        <w:spacing w:after="0" w:line="185" w:lineRule="exact"/>
        <w:rPr>
          <w:rFonts w:ascii="Arial" w:cs="Arial" w:eastAsia="Arial" w:hAnsi="Arial"/>
          <w:sz w:val="22"/>
          <w:szCs w:val="22"/>
          <w:color w:val="auto"/>
        </w:rPr>
      </w:pPr>
    </w:p>
    <w:p>
      <w:pPr>
        <w:ind w:left="1540" w:hanging="884"/>
        <w:spacing w:after="0"/>
        <w:tabs>
          <w:tab w:leader="none" w:pos="154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Tax Indemnifications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5"/>
        <w:spacing w:after="0" w:line="288" w:lineRule="auto"/>
        <w:tabs>
          <w:tab w:leader="none" w:pos="21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Without limiting the provisions of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each Borrower shall, and does hereby, indemnify each Recipient, and shall make payment in respect thereof within 30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Each Borrower shall, and does hereby, indemnify the Administrative Agent, and shall make payment in respect thereof within 30 days after demand therefor, for any amount which a Lender or the L/C Issuer for any reason fails to pay indefeasibly to the Administrative Agent as required pursuant to </w:t>
      </w:r>
      <w:r>
        <w:rPr>
          <w:rFonts w:ascii="Arial" w:cs="Arial" w:eastAsia="Arial" w:hAnsi="Arial"/>
          <w:sz w:val="19"/>
          <w:szCs w:val="19"/>
          <w:u w:val="single" w:color="auto"/>
          <w:color w:val="auto"/>
        </w:rPr>
        <w:t>Section 3.01(c)(ii)</w:t>
      </w:r>
      <w:r>
        <w:rPr>
          <w:rFonts w:ascii="Arial" w:cs="Arial" w:eastAsia="Arial" w:hAnsi="Arial"/>
          <w:sz w:val="19"/>
          <w:szCs w:val="19"/>
          <w:color w:val="auto"/>
        </w:rPr>
        <w:t xml:space="preserve"> below. A certificate as to the amount of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155" w:lineRule="exact"/>
        <w:rPr>
          <w:sz w:val="20"/>
          <w:szCs w:val="20"/>
          <w:color w:val="auto"/>
        </w:rPr>
      </w:pPr>
    </w:p>
    <w:p>
      <w:pPr>
        <w:jc w:val="both"/>
        <w:ind w:left="660" w:firstLine="645"/>
        <w:spacing w:after="0" w:line="250" w:lineRule="auto"/>
        <w:tabs>
          <w:tab w:leader="none" w:pos="2221"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Without limiting the provisions of </w:t>
      </w:r>
      <w:r>
        <w:rPr>
          <w:rFonts w:ascii="Arial" w:cs="Arial" w:eastAsia="Arial" w:hAnsi="Arial"/>
          <w:sz w:val="22"/>
          <w:szCs w:val="22"/>
          <w:u w:val="single" w:color="auto"/>
          <w:color w:val="auto"/>
        </w:rPr>
        <w:t>subsection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each Lender and the L/C Issuer shall, and does hereby, severally indemnify, and shall make payment in respect thereof within 30 days after demand therefor, (x) the Administrative Agent against any Indemnified Taxes attributable to such Lender or the L/C Issuer (but only to the extent that any Borrower has not already indemnified the Administrative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31" w:right="239" w:bottom="1440" w:gutter="0" w:footer="0" w:header="0"/>
        </w:sectPr>
      </w:pPr>
    </w:p>
    <w:bookmarkStart w:id="77" w:name="page78"/>
    <w:bookmarkEnd w:id="77"/>
    <w:p>
      <w:pPr>
        <w:jc w:val="both"/>
        <w:ind w:left="660"/>
        <w:spacing w:after="0" w:line="258" w:lineRule="auto"/>
        <w:rPr>
          <w:sz w:val="20"/>
          <w:szCs w:val="20"/>
          <w:color w:val="auto"/>
        </w:rPr>
      </w:pPr>
      <w:r>
        <w:rPr>
          <w:rFonts w:ascii="Arial" w:cs="Arial" w:eastAsia="Arial" w:hAnsi="Arial"/>
          <w:sz w:val="21"/>
          <w:szCs w:val="21"/>
          <w:color w:val="auto"/>
        </w:rPr>
        <w:t xml:space="preserve">Agent for such Indemnified Taxes and without limiting the obligation of the Borrowers to do so), (y) the Administrative Agent and the Borrowers, as applicable, against any Taxes attributable to such Lender’s failure to comply with the provisions of </w:t>
      </w:r>
      <w:r>
        <w:rPr>
          <w:rFonts w:ascii="Arial" w:cs="Arial" w:eastAsia="Arial" w:hAnsi="Arial"/>
          <w:sz w:val="21"/>
          <w:szCs w:val="21"/>
          <w:u w:val="single" w:color="auto"/>
          <w:color w:val="auto"/>
        </w:rPr>
        <w:t>Section 10.06(d)</w:t>
      </w:r>
      <w:r>
        <w:rPr>
          <w:rFonts w:ascii="Arial" w:cs="Arial" w:eastAsia="Arial" w:hAnsi="Arial"/>
          <w:sz w:val="21"/>
          <w:szCs w:val="21"/>
          <w:color w:val="auto"/>
        </w:rPr>
        <w:t xml:space="preserve"> relating to the maintenance of a Participant Register and (z) the Administrative Agent and the Borrowers, as applicable, against any Excluded Taxes attributable to such Lender or the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21"/>
          <w:szCs w:val="21"/>
          <w:u w:val="single" w:color="auto"/>
          <w:color w:val="auto"/>
        </w:rPr>
        <w:t>clause (ii)</w:t>
      </w:r>
      <w:r>
        <w:rPr>
          <w:rFonts w:ascii="Arial" w:cs="Arial" w:eastAsia="Arial" w:hAnsi="Arial"/>
          <w:sz w:val="21"/>
          <w:szCs w:val="21"/>
          <w:color w:val="auto"/>
        </w:rPr>
        <w:t>.</w:t>
      </w:r>
    </w:p>
    <w:p>
      <w:pPr>
        <w:spacing w:after="0" w:line="183" w:lineRule="exact"/>
        <w:rPr>
          <w:sz w:val="20"/>
          <w:szCs w:val="20"/>
          <w:color w:val="auto"/>
        </w:rPr>
      </w:pPr>
    </w:p>
    <w:p>
      <w:pPr>
        <w:jc w:val="both"/>
        <w:ind w:firstLine="656"/>
        <w:spacing w:after="0" w:line="247" w:lineRule="auto"/>
        <w:tabs>
          <w:tab w:leader="none" w:pos="154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Evidence of Payments</w:t>
      </w:r>
      <w:r>
        <w:rPr>
          <w:rFonts w:ascii="Arial" w:cs="Arial" w:eastAsia="Arial" w:hAnsi="Arial"/>
          <w:sz w:val="22"/>
          <w:szCs w:val="22"/>
          <w:color w:val="auto"/>
        </w:rPr>
        <w:t xml:space="preserve">. As soon as practicable, after any payment of Taxes by such Borrower or by the Administrative Agent to a Governmental Authority as provided in this </w:t>
      </w:r>
      <w:r>
        <w:rPr>
          <w:rFonts w:ascii="Arial" w:cs="Arial" w:eastAsia="Arial" w:hAnsi="Arial"/>
          <w:sz w:val="22"/>
          <w:szCs w:val="22"/>
          <w:u w:val="single" w:color="auto"/>
          <w:color w:val="auto"/>
        </w:rPr>
        <w:t>Section 3.01</w:t>
      </w:r>
      <w:r>
        <w:rPr>
          <w:rFonts w:ascii="Arial" w:cs="Arial" w:eastAsia="Arial" w:hAnsi="Arial"/>
          <w:sz w:val="22"/>
          <w:szCs w:val="22"/>
          <w:color w:val="auto"/>
        </w:rPr>
        <w:t>, such Borrower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193" w:lineRule="exact"/>
        <w:rPr>
          <w:rFonts w:ascii="Arial" w:cs="Arial" w:eastAsia="Arial" w:hAnsi="Arial"/>
          <w:sz w:val="22"/>
          <w:szCs w:val="22"/>
          <w:color w:val="auto"/>
        </w:rPr>
      </w:pPr>
    </w:p>
    <w:p>
      <w:pPr>
        <w:ind w:left="1540" w:hanging="884"/>
        <w:spacing w:after="0"/>
        <w:tabs>
          <w:tab w:leader="none" w:pos="154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Status of Lenders; Tax Documentation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5"/>
        <w:spacing w:after="0" w:line="287" w:lineRule="auto"/>
        <w:tabs>
          <w:tab w:leader="none" w:pos="2160"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Toro and to the Administrative Agent, at the time or times reasonably requested by Toro or the Administrative Agent, such properly completed and executed documentation reasonably requested by Toro or the Administrative Agent as will permit such payments to be made without withholding or at a reduced rate of withholding. In addition, any Lender, if reasonably requested by Toro or the Administrative Agent, shall deliver such other documentation prescribed by applicable law or reasonably requested by Toro or the Administrative Agent as will enable Toro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9" w:lineRule="exact"/>
        <w:rPr>
          <w:rFonts w:ascii="Arial" w:cs="Arial" w:eastAsia="Arial" w:hAnsi="Arial"/>
          <w:sz w:val="19"/>
          <w:szCs w:val="19"/>
          <w:color w:val="auto"/>
        </w:rPr>
      </w:pPr>
    </w:p>
    <w:p>
      <w:pPr>
        <w:ind w:left="2220" w:hanging="915"/>
        <w:spacing w:after="0"/>
        <w:tabs>
          <w:tab w:leader="none" w:pos="2220" w:val="left"/>
        </w:tabs>
        <w:numPr>
          <w:ilvl w:val="1"/>
          <w:numId w:val="78"/>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in the event that a Borrower is a U.S. Person,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sectPr>
      </w:pPr>
    </w:p>
    <w:bookmarkStart w:id="78" w:name="page79"/>
    <w:bookmarkEnd w:id="78"/>
    <w:p>
      <w:pPr>
        <w:jc w:val="both"/>
        <w:ind w:left="100" w:firstLine="653"/>
        <w:spacing w:after="0" w:line="250" w:lineRule="auto"/>
        <w:tabs>
          <w:tab w:leader="none" w:pos="16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Lender that is a U.S. Person shall deliver to Toro and the Administrative Agent on or prior to the date on which such Lender becomes a Lender under this Agreement (and from time to time thereafter upon the reasonable request of Toro or the Administrative Agent), executed originals of IRS Form W-9 certifying that such Lender is exempt from U.S. federal backup withholding tax;</w:t>
      </w:r>
    </w:p>
    <w:p>
      <w:pPr>
        <w:spacing w:after="0" w:line="188" w:lineRule="exact"/>
        <w:rPr>
          <w:rFonts w:ascii="Arial" w:cs="Arial" w:eastAsia="Arial" w:hAnsi="Arial"/>
          <w:sz w:val="22"/>
          <w:szCs w:val="22"/>
          <w:color w:val="auto"/>
        </w:rPr>
      </w:pPr>
    </w:p>
    <w:p>
      <w:pPr>
        <w:jc w:val="both"/>
        <w:ind w:left="100" w:firstLine="653"/>
        <w:spacing w:after="0" w:line="248" w:lineRule="auto"/>
        <w:tabs>
          <w:tab w:leader="none" w:pos="1684"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Toro and the Administrative Agent (in such number of copies as shall be requested by the recipient) on or prior to the date on which such Foreign Lender becomes a Lender under this Agreement (and from time to time thereafter upon the reasonable request of Toro on behalf of such Borrower or the Administrative Agent), whichever of the following is applicable:</w:t>
      </w:r>
    </w:p>
    <w:p>
      <w:pPr>
        <w:spacing w:after="0" w:line="192" w:lineRule="exact"/>
        <w:rPr>
          <w:rFonts w:ascii="Arial" w:cs="Arial" w:eastAsia="Arial" w:hAnsi="Arial"/>
          <w:sz w:val="22"/>
          <w:szCs w:val="22"/>
          <w:color w:val="auto"/>
        </w:rPr>
      </w:pPr>
    </w:p>
    <w:p>
      <w:pPr>
        <w:jc w:val="both"/>
        <w:ind w:left="760" w:firstLine="655"/>
        <w:spacing w:after="0" w:line="260" w:lineRule="auto"/>
        <w:tabs>
          <w:tab w:leader="none" w:pos="1854" w:val="left"/>
        </w:tabs>
        <w:numPr>
          <w:ilvl w:val="1"/>
          <w:numId w:val="79"/>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1" w:lineRule="exact"/>
        <w:rPr>
          <w:sz w:val="20"/>
          <w:szCs w:val="20"/>
          <w:color w:val="auto"/>
        </w:rPr>
      </w:pPr>
    </w:p>
    <w:p>
      <w:pPr>
        <w:ind w:left="1900" w:hanging="499"/>
        <w:spacing w:after="0"/>
        <w:tabs>
          <w:tab w:leader="none" w:pos="19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executed originals of IRS Form W-8ECI,</w:t>
      </w:r>
    </w:p>
    <w:p>
      <w:pPr>
        <w:spacing w:after="0" w:line="220" w:lineRule="exact"/>
        <w:rPr>
          <w:sz w:val="20"/>
          <w:szCs w:val="20"/>
          <w:color w:val="auto"/>
        </w:rPr>
      </w:pPr>
    </w:p>
    <w:p>
      <w:pPr>
        <w:ind w:left="1980" w:hanging="579"/>
        <w:spacing w:after="0"/>
        <w:tabs>
          <w:tab w:leader="none" w:pos="19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executed originals of IRS Form W-8IMY and all required supporting documentation,</w:t>
      </w:r>
    </w:p>
    <w:p>
      <w:pPr>
        <w:spacing w:after="0" w:line="220" w:lineRule="exact"/>
        <w:rPr>
          <w:sz w:val="20"/>
          <w:szCs w:val="20"/>
          <w:color w:val="auto"/>
        </w:rPr>
      </w:pPr>
    </w:p>
    <w:p>
      <w:pPr>
        <w:jc w:val="both"/>
        <w:ind w:left="760" w:firstLine="648"/>
        <w:spacing w:after="0" w:line="294" w:lineRule="auto"/>
        <w:rPr>
          <w:sz w:val="20"/>
          <w:szCs w:val="20"/>
          <w:color w:val="auto"/>
        </w:rPr>
      </w:pPr>
      <w:r>
        <w:rPr>
          <w:rFonts w:ascii="Arial" w:cs="Arial" w:eastAsia="Arial" w:hAnsi="Arial"/>
          <w:sz w:val="19"/>
          <w:szCs w:val="19"/>
          <w:color w:val="auto"/>
        </w:rPr>
        <w:t xml:space="preserve">(IV) 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I-1</w:t>
      </w:r>
      <w:r>
        <w:rPr>
          <w:rFonts w:ascii="Arial" w:cs="Arial" w:eastAsia="Arial" w:hAnsi="Arial"/>
          <w:sz w:val="19"/>
          <w:szCs w:val="19"/>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originals of IRS Form W-8BEN or W-8BEN-E, as applicable, or</w:t>
      </w:r>
    </w:p>
    <w:p>
      <w:pPr>
        <w:spacing w:after="0" w:line="150" w:lineRule="exact"/>
        <w:rPr>
          <w:sz w:val="20"/>
          <w:szCs w:val="20"/>
          <w:color w:val="auto"/>
        </w:rPr>
      </w:pPr>
    </w:p>
    <w:p>
      <w:pPr>
        <w:jc w:val="both"/>
        <w:ind w:left="760" w:firstLine="641"/>
        <w:spacing w:after="0" w:line="263" w:lineRule="auto"/>
        <w:tabs>
          <w:tab w:leader="none" w:pos="1965"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21"/>
          <w:szCs w:val="21"/>
          <w:u w:val="single" w:color="auto"/>
          <w:color w:val="auto"/>
        </w:rPr>
        <w:t>Exhibit I-2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I-3</w:t>
      </w:r>
      <w:r>
        <w:rPr>
          <w:rFonts w:ascii="Arial" w:cs="Arial" w:eastAsia="Arial" w:hAnsi="Arial"/>
          <w:sz w:val="21"/>
          <w:szCs w:val="21"/>
          <w:color w:val="auto"/>
        </w:rPr>
        <w:t xml:space="preserve">, IRS Form W-9, and/or other certification documents from each beneficial owner,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Foreign Lender is a partnership and one or more direct or indirect partners of such Foreign</w:t>
      </w: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220"/>
          </w:cols>
          <w:pgMar w:left="1440" w:top="631" w:right="239" w:bottom="1440" w:gutter="0" w:footer="0" w:header="0"/>
        </w:sectPr>
      </w:pPr>
    </w:p>
    <w:bookmarkStart w:id="79" w:name="page80"/>
    <w:bookmarkEnd w:id="79"/>
    <w:p>
      <w:pPr>
        <w:jc w:val="both"/>
        <w:ind w:left="1960" w:right="20"/>
        <w:spacing w:after="0" w:line="253" w:lineRule="auto"/>
        <w:rPr>
          <w:sz w:val="20"/>
          <w:szCs w:val="20"/>
          <w:color w:val="auto"/>
        </w:rPr>
      </w:pPr>
      <w:r>
        <w:rPr>
          <w:rFonts w:ascii="Arial" w:cs="Arial" w:eastAsia="Arial" w:hAnsi="Arial"/>
          <w:sz w:val="22"/>
          <w:szCs w:val="22"/>
          <w:color w:val="auto"/>
        </w:rPr>
        <w:t xml:space="preserve">Lender are claiming the portfolio interest exemption, such Foreign Lender may provide a U.S. Tax Compliance Certificate substantially in the form of </w:t>
      </w:r>
      <w:r>
        <w:rPr>
          <w:rFonts w:ascii="Arial" w:cs="Arial" w:eastAsia="Arial" w:hAnsi="Arial"/>
          <w:sz w:val="22"/>
          <w:szCs w:val="22"/>
          <w:u w:val="single" w:color="auto"/>
          <w:color w:val="auto"/>
        </w:rPr>
        <w:t>Exhibit I-4</w:t>
      </w:r>
      <w:r>
        <w:rPr>
          <w:rFonts w:ascii="Arial" w:cs="Arial" w:eastAsia="Arial" w:hAnsi="Arial"/>
          <w:sz w:val="22"/>
          <w:szCs w:val="22"/>
          <w:color w:val="auto"/>
        </w:rPr>
        <w:t xml:space="preserve"> on behalf of each such direct and indirect partner.</w:t>
      </w:r>
    </w:p>
    <w:p>
      <w:pPr>
        <w:spacing w:after="0" w:line="186" w:lineRule="exact"/>
        <w:rPr>
          <w:sz w:val="20"/>
          <w:szCs w:val="20"/>
          <w:color w:val="auto"/>
        </w:rPr>
      </w:pPr>
    </w:p>
    <w:p>
      <w:pPr>
        <w:jc w:val="both"/>
        <w:ind w:left="1300" w:firstLine="653"/>
        <w:spacing w:after="0" w:line="292" w:lineRule="auto"/>
        <w:tabs>
          <w:tab w:leader="none" w:pos="2884" w:val="left"/>
        </w:tabs>
        <w:numPr>
          <w:ilvl w:val="2"/>
          <w:numId w:val="83"/>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Toro and the Administrative Agent (in such number of copies as shall be requested by the recipient) on or prior to the date on which such Foreign Lender becomes a Lender under this Agreement (and from time to time thereafter upon the reasonable request of Toro or the Administrative Agent), executed copies of any additional forms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51" w:lineRule="exact"/>
        <w:rPr>
          <w:rFonts w:ascii="Arial" w:cs="Arial" w:eastAsia="Arial" w:hAnsi="Arial"/>
          <w:sz w:val="19"/>
          <w:szCs w:val="19"/>
          <w:color w:val="auto"/>
        </w:rPr>
      </w:pPr>
    </w:p>
    <w:p>
      <w:pPr>
        <w:jc w:val="both"/>
        <w:ind w:left="1300" w:firstLine="653"/>
        <w:spacing w:after="0" w:line="258" w:lineRule="auto"/>
        <w:tabs>
          <w:tab w:leader="none" w:pos="2896" w:val="left"/>
        </w:tabs>
        <w:numPr>
          <w:ilvl w:val="2"/>
          <w:numId w:val="83"/>
        </w:numPr>
        <w:rPr>
          <w:rFonts w:ascii="Arial" w:cs="Arial" w:eastAsia="Arial" w:hAnsi="Arial"/>
          <w:sz w:val="21"/>
          <w:szCs w:val="21"/>
          <w:color w:val="auto"/>
        </w:rPr>
      </w:pPr>
      <w:r>
        <w:rPr>
          <w:rFonts w:ascii="Arial" w:cs="Arial" w:eastAsia="Arial" w:hAnsi="Arial"/>
          <w:sz w:val="21"/>
          <w:szCs w:val="21"/>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Toro and the Administrative Agent at the time or times prescribed by law and at such time or times reasonably requested by Toro or the Administrative Agent such documentation prescribed by applicable law (including as prescribed by Section 1471(b)(3)(C)(i) of the Code) and such additional documentation reasonably requested by Toro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21"/>
          <w:szCs w:val="21"/>
          <w:u w:val="single" w:color="auto"/>
          <w:color w:val="auto"/>
        </w:rPr>
        <w:t>clause (D)</w:t>
      </w:r>
      <w:r>
        <w:rPr>
          <w:rFonts w:ascii="Arial" w:cs="Arial" w:eastAsia="Arial" w:hAnsi="Arial"/>
          <w:sz w:val="21"/>
          <w:szCs w:val="21"/>
          <w:color w:val="auto"/>
        </w:rPr>
        <w:t>, “FATCA” shall include any amendments made to FATCA after the date of this Agreement.</w:t>
      </w:r>
    </w:p>
    <w:p>
      <w:pPr>
        <w:spacing w:after="0" w:line="183" w:lineRule="exact"/>
        <w:rPr>
          <w:rFonts w:ascii="Arial" w:cs="Arial" w:eastAsia="Arial" w:hAnsi="Arial"/>
          <w:sz w:val="21"/>
          <w:szCs w:val="21"/>
          <w:color w:val="auto"/>
        </w:rPr>
      </w:pPr>
    </w:p>
    <w:p>
      <w:pPr>
        <w:jc w:val="both"/>
        <w:ind w:left="660" w:firstLine="645"/>
        <w:spacing w:after="0" w:line="253" w:lineRule="auto"/>
        <w:tabs>
          <w:tab w:leader="none" w:pos="2281" w:val="left"/>
        </w:tabs>
        <w:numPr>
          <w:ilvl w:val="1"/>
          <w:numId w:val="84"/>
        </w:numPr>
        <w:rPr>
          <w:rFonts w:ascii="Arial" w:cs="Arial" w:eastAsia="Arial" w:hAnsi="Arial"/>
          <w:sz w:val="22"/>
          <w:szCs w:val="22"/>
          <w:color w:val="auto"/>
        </w:rPr>
      </w:pPr>
      <w:r>
        <w:rPr>
          <w:rFonts w:ascii="Arial" w:cs="Arial" w:eastAsia="Arial" w:hAnsi="Arial"/>
          <w:sz w:val="22"/>
          <w:szCs w:val="22"/>
          <w:color w:val="auto"/>
        </w:rPr>
        <w:t xml:space="preserve">Each Lender agrees that if any form or certification it previously delivered pursuant to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expires or becomes obsolete or inaccurate in any respect, it shall update such form or certification or promptly notify Toro and the Administrative Agent in writing of its legal inability to do so.</w:t>
      </w:r>
    </w:p>
    <w:p>
      <w:pPr>
        <w:spacing w:after="0" w:line="185" w:lineRule="exact"/>
        <w:rPr>
          <w:rFonts w:ascii="Arial" w:cs="Arial" w:eastAsia="Arial" w:hAnsi="Arial"/>
          <w:sz w:val="22"/>
          <w:szCs w:val="22"/>
          <w:color w:val="auto"/>
        </w:rPr>
      </w:pPr>
    </w:p>
    <w:p>
      <w:pPr>
        <w:jc w:val="both"/>
        <w:ind w:firstLine="656"/>
        <w:spacing w:after="0" w:line="246" w:lineRule="auto"/>
        <w:tabs>
          <w:tab w:leader="none" w:pos="1512"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(including by the payment of additional amounts pursuant to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22"/>
          <w:szCs w:val="22"/>
          <w:u w:val="single" w:color="auto"/>
          <w:color w:val="auto"/>
        </w:rPr>
        <w:t>paragraph (f)</w:t>
      </w:r>
      <w:r>
        <w:rPr>
          <w:rFonts w:ascii="Arial" w:cs="Arial" w:eastAsia="Arial" w:hAnsi="Arial"/>
          <w:sz w:val="22"/>
          <w:szCs w:val="22"/>
          <w:color w:val="auto"/>
        </w:rPr>
        <w:t xml:space="preserve"> (plus any penalties, interest or other charges imposed by the relevant Governmental Authority) in the event that such indemnified party is required to repay such refund to such Governmental Authority. Notwithstanding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31" w:right="239" w:bottom="1440" w:gutter="0" w:footer="0" w:header="0"/>
        </w:sectPr>
      </w:pPr>
    </w:p>
    <w:bookmarkStart w:id="80" w:name="page81"/>
    <w:bookmarkEnd w:id="80"/>
    <w:p>
      <w:pPr>
        <w:jc w:val="both"/>
        <w:spacing w:after="0" w:line="294" w:lineRule="auto"/>
        <w:rPr>
          <w:sz w:val="20"/>
          <w:szCs w:val="20"/>
          <w:color w:val="auto"/>
        </w:rPr>
      </w:pPr>
      <w:r>
        <w:rPr>
          <w:rFonts w:ascii="Arial" w:cs="Arial" w:eastAsia="Arial" w:hAnsi="Arial"/>
          <w:sz w:val="19"/>
          <w:szCs w:val="19"/>
          <w:color w:val="auto"/>
        </w:rPr>
        <w:t xml:space="preserve">anything to the contrary in this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in no event will the indemnified party be required to pay any amount to an indemnifying party pursuant to this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0" w:lineRule="exact"/>
        <w:rPr>
          <w:sz w:val="20"/>
          <w:szCs w:val="20"/>
          <w:color w:val="auto"/>
        </w:rPr>
      </w:pPr>
    </w:p>
    <w:p>
      <w:pPr>
        <w:jc w:val="both"/>
        <w:ind w:firstLine="656"/>
        <w:spacing w:after="0" w:line="253" w:lineRule="auto"/>
        <w:tabs>
          <w:tab w:leader="none" w:pos="1549"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Each party’s obligations under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3.02 Illegality. </w:t>
      </w:r>
      <w:r>
        <w:rPr>
          <w:rFonts w:ascii="Arial" w:cs="Arial" w:eastAsia="Arial" w:hAnsi="Arial"/>
          <w:sz w:val="19"/>
          <w:szCs w:val="19"/>
          <w:color w:val="auto"/>
        </w:rPr>
        <w:t>If any Lender determines that any Law has made it unlawful, or that any Governmental Authority has</w:t>
      </w:r>
      <w:r>
        <w:rPr>
          <w:rFonts w:ascii="Arial" w:cs="Arial" w:eastAsia="Arial" w:hAnsi="Arial"/>
          <w:sz w:val="19"/>
          <w:szCs w:val="19"/>
          <w:b w:val="1"/>
          <w:bCs w:val="1"/>
          <w:color w:val="auto"/>
        </w:rPr>
        <w:t xml:space="preserve"> </w:t>
      </w:r>
      <w:r>
        <w:rPr>
          <w:rFonts w:ascii="Arial" w:cs="Arial" w:eastAsia="Arial" w:hAnsi="Arial"/>
          <w:sz w:val="19"/>
          <w:szCs w:val="19"/>
          <w:color w:val="auto"/>
        </w:rPr>
        <w:t>asserted that it is unlawful, for any Lender or its applicable Lending Office to make, maintain or fund Loans whose interest is determined by reference to the Eurocurrency Rate (whether such Loans are denominated in Dollars or an Alternative Currency), or to determine or charge interest rates based upon the Eurocurrency Rate (including in regards to the Base Rate), or any Governmental Authority has imposed material restrictions on the authority of such Lender to purchase or sell, or to take deposits of, Dollars or any Alternative Currency in the applicable interbank market, then, on notice thereof by such Lender to Toro through the Administrative Agent, (i) any obligation of such Lender to make or continue Eurocurrency Rate Loans in the affected currency or currencies or, in the case of Eurocurrency Rate Loans in Dollars, to convert Base Rate Committed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Toro that the circumstances giving rise to such determination no longer exist. Upon receipt of such notice, (x) the Borrowers shall, upon demand from such Lender (with a copy to the Administrative Agent), prepay or, if applicable and such Loans are denominated in Dollars, convert all such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31" w:right="239" w:bottom="1440" w:gutter="0" w:footer="0" w:header="0"/>
        </w:sectPr>
      </w:pPr>
    </w:p>
    <w:bookmarkStart w:id="81" w:name="page82"/>
    <w:bookmarkEnd w:id="81"/>
    <w:p>
      <w:pPr>
        <w:ind w:left="4"/>
        <w:spacing w:after="0"/>
        <w:tabs>
          <w:tab w:leader="none" w:pos="583" w:val="left"/>
        </w:tabs>
        <w:rPr>
          <w:sz w:val="20"/>
          <w:szCs w:val="20"/>
          <w:color w:val="auto"/>
        </w:rPr>
      </w:pPr>
      <w:r>
        <w:rPr>
          <w:rFonts w:ascii="Arial" w:cs="Arial" w:eastAsia="Arial" w:hAnsi="Arial"/>
          <w:sz w:val="22"/>
          <w:szCs w:val="22"/>
          <w:b w:val="1"/>
          <w:bCs w:val="1"/>
          <w:color w:val="auto"/>
        </w:rPr>
        <w:t>3.03</w:t>
      </w:r>
      <w:r>
        <w:rPr>
          <w:sz w:val="20"/>
          <w:szCs w:val="20"/>
          <w:color w:val="auto"/>
        </w:rPr>
        <w:tab/>
      </w:r>
      <w:r>
        <w:rPr>
          <w:rFonts w:ascii="Arial" w:cs="Arial" w:eastAsia="Arial" w:hAnsi="Arial"/>
          <w:sz w:val="19"/>
          <w:szCs w:val="19"/>
          <w:b w:val="1"/>
          <w:bCs w:val="1"/>
          <w:color w:val="auto"/>
        </w:rPr>
        <w:t>Inability to Determine Rates.</w:t>
      </w:r>
    </w:p>
    <w:p>
      <w:pPr>
        <w:spacing w:after="0" w:line="226" w:lineRule="exact"/>
        <w:rPr>
          <w:sz w:val="20"/>
          <w:szCs w:val="20"/>
          <w:color w:val="auto"/>
        </w:rPr>
      </w:pPr>
    </w:p>
    <w:p>
      <w:pPr>
        <w:ind w:left="884" w:hanging="884"/>
        <w:spacing w:after="0"/>
        <w:tabs>
          <w:tab w:leader="none" w:pos="88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Temporary Inability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5"/>
        <w:spacing w:after="0" w:line="285" w:lineRule="auto"/>
        <w:tabs>
          <w:tab w:leader="none" w:pos="1504"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Except in the case of circumstances described in </w:t>
      </w:r>
      <w:r>
        <w:rPr>
          <w:rFonts w:ascii="Arial" w:cs="Arial" w:eastAsia="Arial" w:hAnsi="Arial"/>
          <w:sz w:val="19"/>
          <w:szCs w:val="19"/>
          <w:u w:val="single" w:color="auto"/>
          <w:color w:val="auto"/>
        </w:rPr>
        <w:t>Section 3.03(b)</w:t>
      </w:r>
      <w:r>
        <w:rPr>
          <w:rFonts w:ascii="Arial" w:cs="Arial" w:eastAsia="Arial" w:hAnsi="Arial"/>
          <w:sz w:val="19"/>
          <w:szCs w:val="19"/>
          <w:color w:val="auto"/>
        </w:rPr>
        <w:t xml:space="preserve">, if in connection with any request for a Eurocurrency Rate Loan or a conversion to or continuation thereof, (A) the Administrative Agent determines that (1) deposits (whether in Dollars or an Alternative Currency) are not being offered to banks in the applicable offshore interbank market for such currency for the applicable amount and Interest Period of such Eurocurrency Rate Loan, or (2) adequate and reasonable means do not exist for determining the Eurocurrency Rate for any requested Interest Period with respect to a proposed Eurocurrency Rate Loan (whether denominated in Dollars or an Alternative Currency) or in connection with an existing or proposed Base Rate Loan (in each case with respect to </w:t>
      </w:r>
      <w:r>
        <w:rPr>
          <w:rFonts w:ascii="Arial" w:cs="Arial" w:eastAsia="Arial" w:hAnsi="Arial"/>
          <w:sz w:val="19"/>
          <w:szCs w:val="19"/>
          <w:u w:val="single" w:color="auto"/>
          <w:color w:val="auto"/>
        </w:rPr>
        <w:t>clause (a)(i)(A)</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Impacted Loans</w:t>
      </w:r>
      <w:r>
        <w:rPr>
          <w:rFonts w:ascii="Arial" w:cs="Arial" w:eastAsia="Arial" w:hAnsi="Arial"/>
          <w:sz w:val="19"/>
          <w:szCs w:val="19"/>
          <w:color w:val="auto"/>
        </w:rPr>
        <w:t>”), or (B) the Administrative Agent or the Required Lenders determine that for any reason the Eurocurrency Rate for any requested Interest Period with respect to a proposed Eurocurrency Rate Loan does not adequately and fairly reflect the cost to such Lenders of funding such Eurocurrency Rate Loan, the Administrative Agent will promptly so notify Toro and each Lender. Thereafter, (x) the obligation of the Lenders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Toro may revoke any pending request for a Borrowing of, conversion to or continuation of Eurocurrency Rate Loans in the affected currency or currencies (to the extent of the affected Eurocurrency Rate Loans or Interest Periods) or, failing that, will be deemed to have converted such request into a request for a Committed Borrowing of Base Rate Loans in the amount specified therein.</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left="4" w:firstLine="645"/>
        <w:spacing w:after="0" w:line="288" w:lineRule="auto"/>
        <w:tabs>
          <w:tab w:leader="none" w:pos="1564"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the Administrative Agent has made the determination described in </w:t>
      </w:r>
      <w:r>
        <w:rPr>
          <w:rFonts w:ascii="Arial" w:cs="Arial" w:eastAsia="Arial" w:hAnsi="Arial"/>
          <w:sz w:val="19"/>
          <w:szCs w:val="19"/>
          <w:u w:val="single" w:color="auto"/>
          <w:color w:val="auto"/>
        </w:rPr>
        <w:t>clause (a)(i)(A)</w:t>
      </w:r>
      <w:r>
        <w:rPr>
          <w:rFonts w:ascii="Arial" w:cs="Arial" w:eastAsia="Arial" w:hAnsi="Arial"/>
          <w:sz w:val="19"/>
          <w:szCs w:val="19"/>
          <w:color w:val="auto"/>
        </w:rPr>
        <w:t xml:space="preserve"> of this Section, the Administrative Agent, in consultation with Toro and the Required Lenders, may establish an alternative interest rate for the Impacted Loans, in which case, such alternative rate of interest shall apply with respect to the Impacted Loans until (A) the Administrative Agent revokes the notice delivered with respect to the Impacted Loans under </w:t>
      </w:r>
      <w:r>
        <w:rPr>
          <w:rFonts w:ascii="Arial" w:cs="Arial" w:eastAsia="Arial" w:hAnsi="Arial"/>
          <w:sz w:val="19"/>
          <w:szCs w:val="19"/>
          <w:u w:val="single" w:color="auto"/>
          <w:color w:val="auto"/>
        </w:rPr>
        <w:t>clause (a)(i)(A)</w:t>
      </w:r>
      <w:r>
        <w:rPr>
          <w:rFonts w:ascii="Arial" w:cs="Arial" w:eastAsia="Arial" w:hAnsi="Arial"/>
          <w:sz w:val="19"/>
          <w:szCs w:val="19"/>
          <w:color w:val="auto"/>
        </w:rPr>
        <w:t xml:space="preserve"> of this Section, (B) the Required Lenders notify the Administrative Agent and Toro that such alternative interest rate does not adequately and fairly reflect the cost to such Lenders of funding the Impacted Loans, or (C)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Toro written notice thereof.</w:t>
      </w:r>
    </w:p>
    <w:p>
      <w:pPr>
        <w:spacing w:after="0" w:line="398"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0764"/>
          </w:cols>
          <w:pgMar w:left="896" w:top="625" w:right="239" w:bottom="1440" w:gutter="0" w:footer="0" w:header="0"/>
        </w:sectPr>
      </w:pPr>
    </w:p>
    <w:bookmarkStart w:id="82" w:name="page83"/>
    <w:bookmarkEnd w:id="82"/>
    <w:p>
      <w:pPr>
        <w:ind w:left="904" w:hanging="904"/>
        <w:spacing w:after="0"/>
        <w:tabs>
          <w:tab w:leader="none" w:pos="904"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Non-Temporary Inability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645"/>
        <w:spacing w:after="0" w:line="265" w:lineRule="auto"/>
        <w:tabs>
          <w:tab w:leader="none" w:pos="1504" w:val="left"/>
        </w:tabs>
        <w:numPr>
          <w:ilvl w:val="1"/>
          <w:numId w:val="88"/>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Agreement or any other Loan Documents, including </w:t>
      </w:r>
      <w:r>
        <w:rPr>
          <w:rFonts w:ascii="Arial" w:cs="Arial" w:eastAsia="Arial" w:hAnsi="Arial"/>
          <w:sz w:val="21"/>
          <w:szCs w:val="21"/>
          <w:u w:val="single" w:color="auto"/>
          <w:color w:val="auto"/>
        </w:rPr>
        <w:t>Section 3.03(a)</w:t>
      </w:r>
      <w:r>
        <w:rPr>
          <w:rFonts w:ascii="Arial" w:cs="Arial" w:eastAsia="Arial" w:hAnsi="Arial"/>
          <w:sz w:val="21"/>
          <w:szCs w:val="21"/>
          <w:color w:val="auto"/>
        </w:rPr>
        <w:t xml:space="preserve"> above, if the Administrative Agent determines (which determination shall be conclusive absent manifest error), or Toro or the Required Lenders notify the Administrative Agent (with, in the case of the Required Lenders, a copy to Toro) that Toro or the Required Lenders (as applicable) have determined, that:</w:t>
      </w:r>
    </w:p>
    <w:p>
      <w:pPr>
        <w:spacing w:after="0" w:line="175" w:lineRule="exact"/>
        <w:rPr>
          <w:rFonts w:ascii="Arial" w:cs="Arial" w:eastAsia="Arial" w:hAnsi="Arial"/>
          <w:sz w:val="21"/>
          <w:szCs w:val="21"/>
          <w:color w:val="auto"/>
        </w:rPr>
      </w:pPr>
    </w:p>
    <w:p>
      <w:pPr>
        <w:jc w:val="both"/>
        <w:ind w:left="644" w:right="20" w:firstLine="653"/>
        <w:spacing w:after="0" w:line="253" w:lineRule="auto"/>
        <w:tabs>
          <w:tab w:leader="none" w:pos="2240" w:val="left"/>
        </w:tabs>
        <w:numPr>
          <w:ilvl w:val="2"/>
          <w:numId w:val="88"/>
        </w:numPr>
        <w:rPr>
          <w:rFonts w:ascii="Arial" w:cs="Arial" w:eastAsia="Arial" w:hAnsi="Arial"/>
          <w:sz w:val="22"/>
          <w:szCs w:val="22"/>
          <w:color w:val="auto"/>
        </w:rPr>
      </w:pPr>
      <w:r>
        <w:rPr>
          <w:rFonts w:ascii="Arial" w:cs="Arial" w:eastAsia="Arial" w:hAnsi="Arial"/>
          <w:sz w:val="22"/>
          <w:szCs w:val="22"/>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85" w:lineRule="exact"/>
        <w:rPr>
          <w:rFonts w:ascii="Arial" w:cs="Arial" w:eastAsia="Arial" w:hAnsi="Arial"/>
          <w:sz w:val="22"/>
          <w:szCs w:val="22"/>
          <w:color w:val="auto"/>
        </w:rPr>
      </w:pPr>
    </w:p>
    <w:p>
      <w:pPr>
        <w:jc w:val="both"/>
        <w:ind w:left="644" w:firstLine="653"/>
        <w:spacing w:after="0" w:line="250" w:lineRule="auto"/>
        <w:tabs>
          <w:tab w:leader="none" w:pos="2228" w:val="left"/>
        </w:tabs>
        <w:numPr>
          <w:ilvl w:val="2"/>
          <w:numId w:val="88"/>
        </w:numPr>
        <w:rPr>
          <w:rFonts w:ascii="Arial" w:cs="Arial" w:eastAsia="Arial" w:hAnsi="Arial"/>
          <w:sz w:val="22"/>
          <w:szCs w:val="22"/>
          <w:color w:val="auto"/>
        </w:rPr>
      </w:pPr>
      <w:r>
        <w:rPr>
          <w:rFonts w:ascii="Arial" w:cs="Arial" w:eastAsia="Arial" w:hAnsi="Arial"/>
          <w:sz w:val="22"/>
          <w:szCs w:val="22"/>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22"/>
          <w:szCs w:val="22"/>
          <w:u w:val="single" w:color="auto"/>
          <w:color w:val="auto"/>
        </w:rPr>
        <w:t>Scheduled Unavailability Date</w:t>
      </w:r>
      <w:r>
        <w:rPr>
          <w:rFonts w:ascii="Arial" w:cs="Arial" w:eastAsia="Arial" w:hAnsi="Arial"/>
          <w:sz w:val="22"/>
          <w:szCs w:val="22"/>
          <w:color w:val="auto"/>
        </w:rPr>
        <w:t>”); or</w:t>
      </w:r>
    </w:p>
    <w:p>
      <w:pPr>
        <w:spacing w:after="0" w:line="188" w:lineRule="exact"/>
        <w:rPr>
          <w:rFonts w:ascii="Arial" w:cs="Arial" w:eastAsia="Arial" w:hAnsi="Arial"/>
          <w:sz w:val="22"/>
          <w:szCs w:val="22"/>
          <w:color w:val="auto"/>
        </w:rPr>
      </w:pPr>
    </w:p>
    <w:p>
      <w:pPr>
        <w:jc w:val="both"/>
        <w:ind w:left="644" w:firstLine="653"/>
        <w:spacing w:after="0" w:line="253" w:lineRule="auto"/>
        <w:tabs>
          <w:tab w:leader="none" w:pos="2228" w:val="left"/>
        </w:tabs>
        <w:numPr>
          <w:ilvl w:val="2"/>
          <w:numId w:val="88"/>
        </w:numPr>
        <w:rPr>
          <w:rFonts w:ascii="Arial" w:cs="Arial" w:eastAsia="Arial" w:hAnsi="Arial"/>
          <w:sz w:val="22"/>
          <w:szCs w:val="22"/>
          <w:color w:val="auto"/>
        </w:rPr>
      </w:pPr>
      <w:r>
        <w:rPr>
          <w:rFonts w:ascii="Arial" w:cs="Arial" w:eastAsia="Arial" w:hAnsi="Arial"/>
          <w:sz w:val="22"/>
          <w:szCs w:val="22"/>
          <w:color w:val="auto"/>
        </w:rPr>
        <w:t>syndicated loans currently being executed, or that include language similar to that contained in this Section, are being executed or amended (as applicable) on a general basis to incorporate or adopt a new benchmark interest rate to replace LIBOR;</w:t>
      </w:r>
    </w:p>
    <w:p>
      <w:pPr>
        <w:spacing w:after="0" w:line="186" w:lineRule="exact"/>
        <w:rPr>
          <w:sz w:val="20"/>
          <w:szCs w:val="20"/>
          <w:color w:val="auto"/>
        </w:rPr>
      </w:pPr>
    </w:p>
    <w:p>
      <w:pPr>
        <w:jc w:val="both"/>
        <w:ind w:left="4"/>
        <w:spacing w:after="0" w:line="289" w:lineRule="auto"/>
        <w:rPr>
          <w:sz w:val="20"/>
          <w:szCs w:val="20"/>
          <w:color w:val="auto"/>
        </w:rPr>
      </w:pPr>
      <w:r>
        <w:rPr>
          <w:rFonts w:ascii="Arial" w:cs="Arial" w:eastAsia="Arial" w:hAnsi="Arial"/>
          <w:sz w:val="19"/>
          <w:szCs w:val="19"/>
          <w:color w:val="auto"/>
        </w:rPr>
        <w:t>then, reasonably promptly after such determination by the Administrative Agent or receipt by the Administrative Agent of such notice, as applicable, the Administrative Agent and Toro may amend this Agreement to replace LIBOR with an alternate benchmark rate (including any mathematical or other adjustments to the benchmark (if any) incorporated therein), giving due consideration to any evolving or then existing convention for similar syndicated credit facilities (whether in Dollars or an Alternative Currency) for such alternative benchmarks (any such proposed rate, a “</w:t>
      </w:r>
      <w:r>
        <w:rPr>
          <w:rFonts w:ascii="Arial" w:cs="Arial" w:eastAsia="Arial" w:hAnsi="Arial"/>
          <w:sz w:val="19"/>
          <w:szCs w:val="19"/>
          <w:u w:val="single" w:color="auto"/>
          <w:color w:val="auto"/>
        </w:rPr>
        <w:t>LIBOR Successor Rate</w:t>
      </w:r>
      <w:r>
        <w:rPr>
          <w:rFonts w:ascii="Arial" w:cs="Arial" w:eastAsia="Arial" w:hAnsi="Arial"/>
          <w:sz w:val="19"/>
          <w:szCs w:val="19"/>
          <w:color w:val="auto"/>
        </w:rPr>
        <w:t>”), together with any proposed LIBOR Successor Rate Conforming Changes and any such amendment shall become effective at 5:00 p.m. (New York time) on the fifth Business Day after the Administrative Agent shall have posted such proposed amendment to all Lenders and Toro unless, prior to such time, Lenders comprising the Required Lenders have delivered to the Administrative Agent written notice that such Required Lenders do not accept such amendment.</w:t>
      </w:r>
    </w:p>
    <w:p>
      <w:pPr>
        <w:spacing w:after="0" w:line="158" w:lineRule="exact"/>
        <w:rPr>
          <w:sz w:val="20"/>
          <w:szCs w:val="20"/>
          <w:color w:val="auto"/>
        </w:rPr>
      </w:pPr>
    </w:p>
    <w:p>
      <w:pPr>
        <w:jc w:val="both"/>
        <w:ind w:left="4" w:firstLine="645"/>
        <w:spacing w:after="0" w:line="294" w:lineRule="auto"/>
        <w:tabs>
          <w:tab w:leader="none" w:pos="1159"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If no LIBOR Successor Rate has been determined and the circumstances under </w:t>
      </w:r>
      <w:r>
        <w:rPr>
          <w:rFonts w:ascii="Arial" w:cs="Arial" w:eastAsia="Arial" w:hAnsi="Arial"/>
          <w:sz w:val="19"/>
          <w:szCs w:val="19"/>
          <w:u w:val="single" w:color="auto"/>
          <w:color w:val="auto"/>
        </w:rPr>
        <w:t>clause (b)(i)(A)</w:t>
      </w:r>
      <w:r>
        <w:rPr>
          <w:rFonts w:ascii="Arial" w:cs="Arial" w:eastAsia="Arial" w:hAnsi="Arial"/>
          <w:sz w:val="19"/>
          <w:szCs w:val="19"/>
          <w:color w:val="auto"/>
        </w:rPr>
        <w:t xml:space="preserve"> above exist or the Scheduled Unavailability Date has occurred (as applicable), the Administrative Agent will promptly so notify Toro and each Lender. Thereafter, (x) the obligation of the Lenders to make or maintain Eurocurrency Rate Loans shall be suspended (to the extent of the affected Eurocurrency Rate Loans or Interest Periods), and (y) the Eurocurrency Rate component shall no longer be utilized in determining the Base Rate. Upon receipt of such notice, Toro may revoke any pending request for a Borrowing of, conversion to or continuation of Eurocurrency Rate Loans in</w:t>
      </w:r>
    </w:p>
    <w:p>
      <w:pPr>
        <w:spacing w:after="0" w:line="39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0764"/>
          </w:cols>
          <w:pgMar w:left="896" w:top="631" w:right="239" w:bottom="1440" w:gutter="0" w:footer="0" w:header="0"/>
        </w:sectPr>
      </w:pPr>
    </w:p>
    <w:bookmarkStart w:id="83" w:name="page84"/>
    <w:bookmarkEnd w:id="83"/>
    <w:p>
      <w:pPr>
        <w:jc w:val="both"/>
        <w:ind w:left="660"/>
        <w:spacing w:after="0" w:line="253" w:lineRule="auto"/>
        <w:rPr>
          <w:sz w:val="20"/>
          <w:szCs w:val="20"/>
          <w:color w:val="auto"/>
        </w:rPr>
      </w:pPr>
      <w:r>
        <w:rPr>
          <w:rFonts w:ascii="Arial" w:cs="Arial" w:eastAsia="Arial" w:hAnsi="Arial"/>
          <w:sz w:val="22"/>
          <w:szCs w:val="22"/>
          <w:color w:val="auto"/>
        </w:rPr>
        <w:t xml:space="preserve">the affected currency or currencies (to the extent of the affected Eurocurrency Rate Loans or Interest Periods) or, failing that, will be deemed to have converted such request into a request for a Committed Borrowing of Base Rate Loans (subject to the foregoing </w:t>
      </w:r>
      <w:r>
        <w:rPr>
          <w:rFonts w:ascii="Arial" w:cs="Arial" w:eastAsia="Arial" w:hAnsi="Arial"/>
          <w:sz w:val="22"/>
          <w:szCs w:val="22"/>
          <w:u w:val="single" w:color="auto"/>
          <w:color w:val="auto"/>
        </w:rPr>
        <w:t>clause (y)</w:t>
      </w:r>
      <w:r>
        <w:rPr>
          <w:rFonts w:ascii="Arial" w:cs="Arial" w:eastAsia="Arial" w:hAnsi="Arial"/>
          <w:sz w:val="22"/>
          <w:szCs w:val="22"/>
          <w:color w:val="auto"/>
        </w:rPr>
        <w:t>) in the amount specified therein.</w:t>
      </w:r>
    </w:p>
    <w:p>
      <w:pPr>
        <w:spacing w:after="0" w:line="186" w:lineRule="exact"/>
        <w:rPr>
          <w:sz w:val="20"/>
          <w:szCs w:val="20"/>
          <w:color w:val="auto"/>
        </w:rPr>
      </w:pPr>
    </w:p>
    <w:p>
      <w:pPr>
        <w:ind w:left="660" w:firstLine="645"/>
        <w:spacing w:after="0" w:line="263" w:lineRule="auto"/>
        <w:tabs>
          <w:tab w:leader="none" w:pos="18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Notwithstanding anything else herein, any definition of LIBOR Successor Rate shall provide that in no event shall such LIBOR Successor Rate be less than zero for purposes of this Agreement.</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3.04</w:t>
      </w:r>
      <w:r>
        <w:rPr>
          <w:sz w:val="20"/>
          <w:szCs w:val="20"/>
          <w:color w:val="auto"/>
        </w:rPr>
        <w:tab/>
      </w:r>
      <w:r>
        <w:rPr>
          <w:rFonts w:ascii="Arial" w:cs="Arial" w:eastAsia="Arial" w:hAnsi="Arial"/>
          <w:sz w:val="19"/>
          <w:szCs w:val="19"/>
          <w:b w:val="1"/>
          <w:bCs w:val="1"/>
          <w:color w:val="auto"/>
        </w:rPr>
        <w:t>Increased Costs; Reserves on Eurocurrency Rate Loans.</w:t>
      </w:r>
    </w:p>
    <w:p>
      <w:pPr>
        <w:spacing w:after="0" w:line="226" w:lineRule="exact"/>
        <w:rPr>
          <w:sz w:val="20"/>
          <w:szCs w:val="20"/>
          <w:color w:val="auto"/>
        </w:rPr>
      </w:pPr>
    </w:p>
    <w:p>
      <w:pPr>
        <w:ind w:left="1540" w:hanging="884"/>
        <w:spacing w:after="0"/>
        <w:tabs>
          <w:tab w:leader="none" w:pos="154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19" w:lineRule="exact"/>
        <w:rPr>
          <w:rFonts w:ascii="Arial" w:cs="Arial" w:eastAsia="Arial" w:hAnsi="Arial"/>
          <w:sz w:val="22"/>
          <w:szCs w:val="22"/>
          <w:color w:val="auto"/>
        </w:rPr>
      </w:pPr>
    </w:p>
    <w:p>
      <w:pPr>
        <w:jc w:val="both"/>
        <w:ind w:left="660" w:right="20" w:firstLine="645"/>
        <w:spacing w:after="0" w:line="271" w:lineRule="auto"/>
        <w:tabs>
          <w:tab w:leader="none" w:pos="2160" w:val="left"/>
        </w:tabs>
        <w:numPr>
          <w:ilvl w:val="1"/>
          <w:numId w:val="91"/>
        </w:numPr>
        <w:rPr>
          <w:rFonts w:ascii="Arial" w:cs="Arial" w:eastAsia="Arial" w:hAnsi="Arial"/>
          <w:sz w:val="21"/>
          <w:szCs w:val="21"/>
          <w:color w:val="auto"/>
        </w:rPr>
      </w:pPr>
      <w:r>
        <w:rPr>
          <w:rFonts w:ascii="Arial" w:cs="Arial" w:eastAsia="Arial" w:hAnsi="Arial"/>
          <w:sz w:val="21"/>
          <w:szCs w:val="21"/>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1"/>
          <w:szCs w:val="21"/>
          <w:u w:val="single" w:color="auto"/>
          <w:color w:val="auto"/>
        </w:rPr>
        <w:t>Section 3.04(e)</w:t>
      </w:r>
      <w:r>
        <w:rPr>
          <w:rFonts w:ascii="Arial" w:cs="Arial" w:eastAsia="Arial" w:hAnsi="Arial"/>
          <w:sz w:val="21"/>
          <w:szCs w:val="21"/>
          <w:color w:val="auto"/>
        </w:rPr>
        <w:t>) or the L/C Issuer;</w:t>
      </w:r>
    </w:p>
    <w:p>
      <w:pPr>
        <w:spacing w:after="0" w:line="167" w:lineRule="exact"/>
        <w:rPr>
          <w:rFonts w:ascii="Arial" w:cs="Arial" w:eastAsia="Arial" w:hAnsi="Arial"/>
          <w:sz w:val="21"/>
          <w:szCs w:val="21"/>
          <w:color w:val="auto"/>
        </w:rPr>
      </w:pPr>
    </w:p>
    <w:p>
      <w:pPr>
        <w:jc w:val="both"/>
        <w:ind w:left="660" w:firstLine="645"/>
        <w:spacing w:after="0" w:line="312" w:lineRule="auto"/>
        <w:tabs>
          <w:tab w:leader="none" w:pos="2221"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subject any Recipient to any Taxes (other than (A) Indemnified Taxes, (B) Taxes described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33" w:lineRule="exact"/>
        <w:rPr>
          <w:rFonts w:ascii="Arial" w:cs="Arial" w:eastAsia="Arial" w:hAnsi="Arial"/>
          <w:sz w:val="19"/>
          <w:szCs w:val="19"/>
          <w:color w:val="auto"/>
        </w:rPr>
      </w:pPr>
    </w:p>
    <w:p>
      <w:pPr>
        <w:jc w:val="both"/>
        <w:ind w:left="660" w:firstLine="645"/>
        <w:spacing w:after="0" w:line="253" w:lineRule="auto"/>
        <w:tabs>
          <w:tab w:leader="none" w:pos="2281" w:val="left"/>
        </w:tabs>
        <w:numPr>
          <w:ilvl w:val="1"/>
          <w:numId w:val="91"/>
        </w:numPr>
        <w:rPr>
          <w:rFonts w:ascii="Arial" w:cs="Arial" w:eastAsia="Arial" w:hAnsi="Arial"/>
          <w:sz w:val="22"/>
          <w:szCs w:val="22"/>
          <w:color w:val="auto"/>
        </w:rPr>
      </w:pPr>
      <w:r>
        <w:rPr>
          <w:rFonts w:ascii="Arial" w:cs="Arial" w:eastAsia="Arial" w:hAnsi="Arial"/>
          <w:sz w:val="22"/>
          <w:szCs w:val="22"/>
          <w:color w:val="auto"/>
        </w:rPr>
        <w:t>impose on any Lender or the L/C Issuer or the London interbank market any other condition, cost or expense affecting this Agreement or Eurocurrency Rate Loans made by such Lender or any Letter of Credit or participation therein;</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and the result of any of the foregoing shall be to increase the cost to such Lender of making, converting to, continuing or maintaining any Loan the interest on which is determined by reference to the Eurocurrency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Toro will pay (or cause the applicable Subsidiary Borrower to pay) to such Lender or the L/C Issuer, as the case may be, such additional amount or amounts as will compensate such Lender or the L/C Issuer, as the case may be, for such additional costs incurred or reduction suffered.</w:t>
      </w:r>
    </w:p>
    <w:p>
      <w:pPr>
        <w:spacing w:after="0" w:line="157" w:lineRule="exact"/>
        <w:rPr>
          <w:sz w:val="20"/>
          <w:szCs w:val="20"/>
          <w:color w:val="auto"/>
        </w:rPr>
      </w:pPr>
    </w:p>
    <w:p>
      <w:pPr>
        <w:jc w:val="both"/>
        <w:ind w:firstLine="656"/>
        <w:spacing w:after="0" w:line="294" w:lineRule="auto"/>
        <w:tabs>
          <w:tab w:leader="none" w:pos="1549"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31" w:right="239" w:bottom="1440" w:gutter="0" w:footer="0" w:header="0"/>
        </w:sectPr>
      </w:pPr>
    </w:p>
    <w:bookmarkStart w:id="84" w:name="page85"/>
    <w:bookmarkEnd w:id="84"/>
    <w:p>
      <w:pPr>
        <w:jc w:val="both"/>
        <w:spacing w:after="0" w:line="297" w:lineRule="auto"/>
        <w:rPr>
          <w:sz w:val="20"/>
          <w:szCs w:val="20"/>
          <w:color w:val="auto"/>
        </w:rPr>
      </w:pPr>
      <w:r>
        <w:rPr>
          <w:rFonts w:ascii="Arial" w:cs="Arial" w:eastAsia="Arial" w:hAnsi="Arial"/>
          <w:sz w:val="19"/>
          <w:szCs w:val="19"/>
          <w:color w:val="auto"/>
        </w:rPr>
        <w:t>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Toro will pay (or cause the applicable Subsidiary Borrower to pay) to such Lender or the L/C Issuer, as the case may be, such additional amount or amounts as will compensate such Lender or the L/C Issuer or such Lender’s or the L/C Issuer’s holding company for any such reduction suffered.</w:t>
      </w:r>
    </w:p>
    <w:p>
      <w:pPr>
        <w:spacing w:after="0" w:line="147" w:lineRule="exact"/>
        <w:rPr>
          <w:sz w:val="20"/>
          <w:szCs w:val="20"/>
          <w:color w:val="auto"/>
        </w:rPr>
      </w:pPr>
    </w:p>
    <w:p>
      <w:pPr>
        <w:jc w:val="both"/>
        <w:ind w:firstLine="656"/>
        <w:spacing w:after="0" w:line="263" w:lineRule="auto"/>
        <w:tabs>
          <w:tab w:leader="none" w:pos="1536"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Certificates for Reimbursement</w:t>
      </w:r>
      <w:r>
        <w:rPr>
          <w:rFonts w:ascii="Arial" w:cs="Arial" w:eastAsia="Arial" w:hAnsi="Arial"/>
          <w:sz w:val="21"/>
          <w:szCs w:val="21"/>
          <w:color w:val="auto"/>
        </w:rPr>
        <w:t xml:space="preserve">. A certificate of a Lender or the L/C Issuer setting forth the amount or amounts necessary to compensate such Lender or the L/C Issuer or its holding company as the case may be, and setting forth the basis for the determination thereof, as specified in </w:t>
      </w:r>
      <w:r>
        <w:rPr>
          <w:rFonts w:ascii="Arial" w:cs="Arial" w:eastAsia="Arial" w:hAnsi="Arial"/>
          <w:sz w:val="21"/>
          <w:szCs w:val="21"/>
          <w:u w:val="single" w:color="auto"/>
          <w:color w:val="auto"/>
        </w:rPr>
        <w:t>subsection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Section and delivered to Toro shall be conclusive absent manifest error. Toro shall pay (or cause the applicable Subsidiary Borrower to pay) such Lender or the L/C Issuer, as the case may be, the amount shown as due on any such certificate within 30 days after receipt thereof.</w:t>
      </w:r>
    </w:p>
    <w:p>
      <w:pPr>
        <w:spacing w:after="0" w:line="175" w:lineRule="exact"/>
        <w:rPr>
          <w:rFonts w:ascii="Arial" w:cs="Arial" w:eastAsia="Arial" w:hAnsi="Arial"/>
          <w:sz w:val="21"/>
          <w:szCs w:val="21"/>
          <w:color w:val="auto"/>
        </w:rPr>
      </w:pPr>
    </w:p>
    <w:p>
      <w:pPr>
        <w:jc w:val="both"/>
        <w:ind w:firstLine="656"/>
        <w:spacing w:after="0" w:line="259" w:lineRule="auto"/>
        <w:tabs>
          <w:tab w:leader="none" w:pos="1549"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Delay in Requests</w:t>
      </w:r>
      <w:r>
        <w:rPr>
          <w:rFonts w:ascii="Arial" w:cs="Arial" w:eastAsia="Arial" w:hAnsi="Arial"/>
          <w:sz w:val="21"/>
          <w:szCs w:val="21"/>
          <w:color w:val="auto"/>
        </w:rPr>
        <w:t xml:space="preserve">. Failure or delay on the part of any Lender or the L/C Issuer to demand compensation pursuant to the foregoing provisions of this </w:t>
      </w:r>
      <w:r>
        <w:rPr>
          <w:rFonts w:ascii="Arial" w:cs="Arial" w:eastAsia="Arial" w:hAnsi="Arial"/>
          <w:sz w:val="21"/>
          <w:szCs w:val="21"/>
          <w:u w:val="single" w:color="auto"/>
          <w:color w:val="auto"/>
        </w:rPr>
        <w:t>Section 3.04</w:t>
      </w:r>
      <w:r>
        <w:rPr>
          <w:rFonts w:ascii="Arial" w:cs="Arial" w:eastAsia="Arial" w:hAnsi="Arial"/>
          <w:sz w:val="21"/>
          <w:szCs w:val="21"/>
          <w:color w:val="auto"/>
        </w:rPr>
        <w:t xml:space="preserve"> shall not constitute a waiver of such Lender’s or the L/C Issuer’s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Toro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4" w:lineRule="exact"/>
        <w:rPr>
          <w:rFonts w:ascii="Arial" w:cs="Arial" w:eastAsia="Arial" w:hAnsi="Arial"/>
          <w:sz w:val="21"/>
          <w:szCs w:val="21"/>
          <w:color w:val="auto"/>
        </w:rPr>
      </w:pPr>
    </w:p>
    <w:p>
      <w:pPr>
        <w:jc w:val="both"/>
        <w:ind w:firstLine="656"/>
        <w:spacing w:after="0" w:line="286" w:lineRule="auto"/>
        <w:tabs>
          <w:tab w:leader="none" w:pos="153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Additional Reserve Requirements</w:t>
      </w:r>
      <w:r>
        <w:rPr>
          <w:rFonts w:ascii="Arial" w:cs="Arial" w:eastAsia="Arial" w:hAnsi="Arial"/>
          <w:sz w:val="19"/>
          <w:szCs w:val="19"/>
          <w:color w:val="auto"/>
        </w:rPr>
        <w:t xml:space="preserve">. Toro shall pay (or cause the applicable Subsidiary Borrower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Toro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631" w:right="239" w:bottom="1440" w:gutter="0" w:footer="0" w:header="0"/>
        </w:sectPr>
      </w:pPr>
    </w:p>
    <w:bookmarkStart w:id="85" w:name="page86"/>
    <w:bookmarkEnd w:id="85"/>
    <w:p>
      <w:pPr>
        <w:jc w:val="both"/>
        <w:ind w:firstLine="656"/>
        <w:spacing w:after="0" w:line="250" w:lineRule="auto"/>
        <w:tabs>
          <w:tab w:leader="none" w:pos="1512"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Consistent Treatment</w:t>
      </w:r>
      <w:r>
        <w:rPr>
          <w:rFonts w:ascii="Arial" w:cs="Arial" w:eastAsia="Arial" w:hAnsi="Arial"/>
          <w:sz w:val="22"/>
          <w:szCs w:val="22"/>
          <w:color w:val="auto"/>
        </w:rPr>
        <w:t xml:space="preserve">. Notwithstanding anything in this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to the contrary, no Lender shall receive compensation pursuant to this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unless such Lender certifies that it is generally seeking compensation from other borrowers in the United States loan market with respect to similarly affected loans under agreements with such borrowers having provisions similar to this </w:t>
      </w:r>
      <w:r>
        <w:rPr>
          <w:rFonts w:ascii="Arial" w:cs="Arial" w:eastAsia="Arial" w:hAnsi="Arial"/>
          <w:sz w:val="22"/>
          <w:szCs w:val="22"/>
          <w:u w:val="single" w:color="auto"/>
          <w:color w:val="auto"/>
        </w:rPr>
        <w:t>Section 3.04</w:t>
      </w:r>
      <w:r>
        <w:rPr>
          <w:rFonts w:ascii="Arial" w:cs="Arial" w:eastAsia="Arial" w:hAnsi="Arial"/>
          <w:sz w:val="22"/>
          <w:szCs w:val="22"/>
          <w:color w:val="auto"/>
        </w:rPr>
        <w:t>.</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3.05 Compensation for Losses. </w:t>
      </w:r>
      <w:r>
        <w:rPr>
          <w:rFonts w:ascii="Arial" w:cs="Arial" w:eastAsia="Arial" w:hAnsi="Arial"/>
          <w:sz w:val="22"/>
          <w:szCs w:val="22"/>
          <w:color w:val="auto"/>
        </w:rPr>
        <w:t>Upon demand of any Lender (with a copy to the Administrative Agent)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Toro shall promptly compensate (or cause the applicable Subsidiary Borrower to compensate) such Lender for and hold such Lender harmless from any loss, cost or expense incurred by it as a result of:</w:t>
      </w:r>
    </w:p>
    <w:p>
      <w:pPr>
        <w:spacing w:after="0" w:line="182" w:lineRule="exact"/>
        <w:rPr>
          <w:sz w:val="20"/>
          <w:szCs w:val="20"/>
          <w:color w:val="auto"/>
        </w:rPr>
      </w:pPr>
    </w:p>
    <w:p>
      <w:pPr>
        <w:jc w:val="both"/>
        <w:ind w:right="20" w:firstLine="656"/>
        <w:spacing w:after="0" w:line="253" w:lineRule="auto"/>
        <w:tabs>
          <w:tab w:leader="none" w:pos="1536"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85" w:lineRule="exact"/>
        <w:rPr>
          <w:rFonts w:ascii="Arial" w:cs="Arial" w:eastAsia="Arial" w:hAnsi="Arial"/>
          <w:sz w:val="22"/>
          <w:szCs w:val="22"/>
          <w:color w:val="auto"/>
        </w:rPr>
      </w:pPr>
    </w:p>
    <w:p>
      <w:pPr>
        <w:ind w:firstLine="656"/>
        <w:spacing w:after="0" w:line="287" w:lineRule="auto"/>
        <w:tabs>
          <w:tab w:leader="none" w:pos="1549" w:val="left"/>
        </w:tabs>
        <w:numPr>
          <w:ilvl w:val="0"/>
          <w:numId w:val="95"/>
        </w:numPr>
        <w:rPr>
          <w:rFonts w:ascii="Arial" w:cs="Arial" w:eastAsia="Arial" w:hAnsi="Arial"/>
          <w:sz w:val="21"/>
          <w:szCs w:val="21"/>
          <w:color w:val="auto"/>
        </w:rPr>
      </w:pPr>
      <w:r>
        <w:rPr>
          <w:rFonts w:ascii="Arial" w:cs="Arial" w:eastAsia="Arial" w:hAnsi="Arial"/>
          <w:sz w:val="21"/>
          <w:szCs w:val="21"/>
          <w:color w:val="auto"/>
        </w:rPr>
        <w:t>any failure by any Borrower (for a reason other than the failure of such Lender to make a Loan) to prepay, borrow, continue or convert any Loan other than a Base Rate Loan on the date or in the amount notified by Toro;</w:t>
      </w:r>
    </w:p>
    <w:p>
      <w:pPr>
        <w:spacing w:after="0" w:line="151" w:lineRule="exact"/>
        <w:rPr>
          <w:rFonts w:ascii="Arial" w:cs="Arial" w:eastAsia="Arial" w:hAnsi="Arial"/>
          <w:sz w:val="21"/>
          <w:szCs w:val="21"/>
          <w:color w:val="auto"/>
        </w:rPr>
      </w:pPr>
    </w:p>
    <w:p>
      <w:pPr>
        <w:ind w:right="20" w:firstLine="656"/>
        <w:spacing w:after="0" w:line="343" w:lineRule="auto"/>
        <w:tabs>
          <w:tab w:leader="none" w:pos="1536"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04" w:lineRule="exact"/>
        <w:rPr>
          <w:rFonts w:ascii="Arial" w:cs="Arial" w:eastAsia="Arial" w:hAnsi="Arial"/>
          <w:sz w:val="19"/>
          <w:szCs w:val="19"/>
          <w:color w:val="auto"/>
        </w:rPr>
      </w:pPr>
    </w:p>
    <w:p>
      <w:pPr>
        <w:ind w:firstLine="656"/>
        <w:spacing w:after="0" w:line="263" w:lineRule="auto"/>
        <w:tabs>
          <w:tab w:leader="none" w:pos="1549"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any assignment of a Eurocurrency Rate Loan on a day other than the last day of the Interest Period therefor as a result of a request by Toro pursuant to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Toro shall also pay (or cause the applicable Subsidiary Borrower to pay) any customary administrative fees charged by such Lender in connection with the foregoing.</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 purposes of calculating amounts payable by the Borrowers to the Lenders under this </w:t>
      </w:r>
      <w:r>
        <w:rPr>
          <w:rFonts w:ascii="Arial" w:cs="Arial" w:eastAsia="Arial" w:hAnsi="Arial"/>
          <w:sz w:val="22"/>
          <w:szCs w:val="22"/>
          <w:u w:val="single" w:color="auto"/>
          <w:color w:val="auto"/>
        </w:rPr>
        <w:t>Section 3.05</w:t>
      </w:r>
      <w:r>
        <w:rPr>
          <w:rFonts w:ascii="Arial" w:cs="Arial" w:eastAsia="Arial" w:hAnsi="Arial"/>
          <w:sz w:val="22"/>
          <w:szCs w:val="22"/>
          <w:color w:val="auto"/>
        </w:rPr>
        <w:t>, each Lender shall be deemed to have funded each Eurocurrency Rate Loan made by it at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8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3.06</w:t>
      </w:r>
      <w:r>
        <w:rPr>
          <w:sz w:val="20"/>
          <w:szCs w:val="20"/>
          <w:color w:val="auto"/>
        </w:rPr>
        <w:tab/>
      </w:r>
      <w:r>
        <w:rPr>
          <w:rFonts w:ascii="Arial" w:cs="Arial" w:eastAsia="Arial" w:hAnsi="Arial"/>
          <w:sz w:val="19"/>
          <w:szCs w:val="19"/>
          <w:b w:val="1"/>
          <w:bCs w:val="1"/>
          <w:color w:val="auto"/>
        </w:rPr>
        <w:t>Mitigation Obligations; Replacement of Lenders.</w:t>
      </w:r>
    </w:p>
    <w:p>
      <w:pPr>
        <w:spacing w:after="0" w:line="226" w:lineRule="exact"/>
        <w:rPr>
          <w:sz w:val="20"/>
          <w:szCs w:val="20"/>
          <w:color w:val="auto"/>
        </w:rPr>
      </w:pPr>
    </w:p>
    <w:p>
      <w:pPr>
        <w:jc w:val="both"/>
        <w:ind w:firstLine="656"/>
        <w:spacing w:after="0" w:line="247" w:lineRule="auto"/>
        <w:tabs>
          <w:tab w:leader="none" w:pos="1536"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Designation of a Different Lending Office</w:t>
      </w:r>
      <w:r>
        <w:rPr>
          <w:rFonts w:ascii="Arial" w:cs="Arial" w:eastAsia="Arial" w:hAnsi="Arial"/>
          <w:sz w:val="22"/>
          <w:szCs w:val="22"/>
          <w:color w:val="auto"/>
        </w:rPr>
        <w:t xml:space="preserve">. Each Lender may make any Credit Extension to a Borrower through any Lending Office,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exercise of this option shall not affect the obligation of such Borrower to repay the Credit Extension in accordance with the terms of this Agreement. If any Lender requests compensation under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or any Borrower is required to pay any Indemnified Taxes or additional amount to any Lender, the L/C Issuer or any Governmental Authority for the account of any Lender or the L/C Issuer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if any Lender gives a notice pursuant to </w:t>
      </w:r>
      <w:r>
        <w:rPr>
          <w:rFonts w:ascii="Arial" w:cs="Arial" w:eastAsia="Arial" w:hAnsi="Arial"/>
          <w:sz w:val="22"/>
          <w:szCs w:val="22"/>
          <w:u w:val="single" w:color="auto"/>
          <w:color w:val="auto"/>
        </w:rPr>
        <w:t>Section 3.02</w:t>
      </w:r>
      <w:r>
        <w:rPr>
          <w:rFonts w:ascii="Arial" w:cs="Arial" w:eastAsia="Arial" w:hAnsi="Arial"/>
          <w:sz w:val="22"/>
          <w:szCs w:val="22"/>
          <w:color w:val="auto"/>
        </w:rPr>
        <w:t>, then at the request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631" w:right="239" w:bottom="1440" w:gutter="0" w:footer="0" w:header="0"/>
        </w:sectPr>
      </w:pPr>
    </w:p>
    <w:bookmarkStart w:id="86" w:name="page87"/>
    <w:bookmarkEnd w:id="86"/>
    <w:p>
      <w:pPr>
        <w:jc w:val="both"/>
        <w:spacing w:after="0" w:line="259" w:lineRule="auto"/>
        <w:rPr>
          <w:sz w:val="20"/>
          <w:szCs w:val="20"/>
          <w:color w:val="auto"/>
        </w:rPr>
      </w:pPr>
      <w:r>
        <w:rPr>
          <w:rFonts w:ascii="Arial" w:cs="Arial" w:eastAsia="Arial" w:hAnsi="Arial"/>
          <w:sz w:val="21"/>
          <w:szCs w:val="21"/>
          <w:color w:val="auto"/>
        </w:rPr>
        <w:t xml:space="preserve">Toro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as the case may be, in the future, or eliminate the need for the notice pursuant to </w:t>
      </w:r>
      <w:r>
        <w:rPr>
          <w:rFonts w:ascii="Arial" w:cs="Arial" w:eastAsia="Arial" w:hAnsi="Arial"/>
          <w:sz w:val="21"/>
          <w:szCs w:val="21"/>
          <w:u w:val="single" w:color="auto"/>
          <w:color w:val="auto"/>
        </w:rPr>
        <w:t>Section 3.02</w:t>
      </w:r>
      <w:r>
        <w:rPr>
          <w:rFonts w:ascii="Arial" w:cs="Arial" w:eastAsia="Arial" w:hAnsi="Arial"/>
          <w:sz w:val="21"/>
          <w:szCs w:val="21"/>
          <w:color w:val="auto"/>
        </w:rPr>
        <w:t>, as applicable, and (ii) in each case, would not subject such Lender or the L/C Issuer, as the case may be, to any unreimbursed cost or expense and would not otherwise be disadvantageous to such Lender or the L/C Issuer, as the case may be. Toro hereby agrees to pay (or cause the applicable Borrower to pay) all reasonable costs and expenses incurred by any Lender or the L/C Issuer in connection with any such designation or assignment.</w:t>
      </w:r>
    </w:p>
    <w:p>
      <w:pPr>
        <w:spacing w:after="0" w:line="184" w:lineRule="exact"/>
        <w:rPr>
          <w:sz w:val="20"/>
          <w:szCs w:val="20"/>
          <w:color w:val="auto"/>
        </w:rPr>
      </w:pPr>
    </w:p>
    <w:p>
      <w:pPr>
        <w:jc w:val="both"/>
        <w:ind w:firstLine="656"/>
        <w:spacing w:after="0" w:line="265" w:lineRule="auto"/>
        <w:tabs>
          <w:tab w:leader="none" w:pos="1549"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Replacement of Lenders</w:t>
      </w:r>
      <w:r>
        <w:rPr>
          <w:rFonts w:ascii="Arial" w:cs="Arial" w:eastAsia="Arial" w:hAnsi="Arial"/>
          <w:sz w:val="21"/>
          <w:szCs w:val="21"/>
          <w:color w:val="auto"/>
        </w:rPr>
        <w:t xml:space="preserve">. If any Lender requests compensation under </w:t>
      </w:r>
      <w:r>
        <w:rPr>
          <w:rFonts w:ascii="Arial" w:cs="Arial" w:eastAsia="Arial" w:hAnsi="Arial"/>
          <w:sz w:val="21"/>
          <w:szCs w:val="21"/>
          <w:u w:val="single" w:color="auto"/>
          <w:color w:val="auto"/>
        </w:rPr>
        <w:t>Section 3.04</w:t>
      </w:r>
      <w:r>
        <w:rPr>
          <w:rFonts w:ascii="Arial" w:cs="Arial" w:eastAsia="Arial" w:hAnsi="Arial"/>
          <w:sz w:val="21"/>
          <w:szCs w:val="21"/>
          <w:color w:val="auto"/>
        </w:rPr>
        <w:t xml:space="preserve">, or if any Borrower is required to pay any Indemnified Taxes or additional amount to any Lender or any Governmental Authority for the account of any Lender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and, in each case, such Lender has declined or is unable to designate a different lending office in accordance with </w:t>
      </w:r>
      <w:r>
        <w:rPr>
          <w:rFonts w:ascii="Arial" w:cs="Arial" w:eastAsia="Arial" w:hAnsi="Arial"/>
          <w:sz w:val="21"/>
          <w:szCs w:val="21"/>
          <w:u w:val="single" w:color="auto"/>
          <w:color w:val="auto"/>
        </w:rPr>
        <w:t>Section 3.06(a)</w:t>
      </w:r>
      <w:r>
        <w:rPr>
          <w:rFonts w:ascii="Arial" w:cs="Arial" w:eastAsia="Arial" w:hAnsi="Arial"/>
          <w:sz w:val="21"/>
          <w:szCs w:val="21"/>
          <w:color w:val="auto"/>
        </w:rPr>
        <w:t xml:space="preserve">, Toro may replace such Lender in accordance with </w:t>
      </w:r>
      <w:r>
        <w:rPr>
          <w:rFonts w:ascii="Arial" w:cs="Arial" w:eastAsia="Arial" w:hAnsi="Arial"/>
          <w:sz w:val="21"/>
          <w:szCs w:val="21"/>
          <w:u w:val="single" w:color="auto"/>
          <w:color w:val="auto"/>
        </w:rPr>
        <w:t>Section 11.13</w:t>
      </w:r>
      <w:r>
        <w:rPr>
          <w:rFonts w:ascii="Arial" w:cs="Arial" w:eastAsia="Arial" w:hAnsi="Arial"/>
          <w:sz w:val="21"/>
          <w:szCs w:val="21"/>
          <w:color w:val="auto"/>
        </w:rPr>
        <w:t>.</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3.07 Survival. </w:t>
      </w:r>
      <w:r>
        <w:rPr>
          <w:rFonts w:ascii="Arial" w:cs="Arial" w:eastAsia="Arial" w:hAnsi="Arial"/>
          <w:sz w:val="22"/>
          <w:szCs w:val="22"/>
          <w:color w:val="auto"/>
        </w:rPr>
        <w:t>All of the Borrowers’ obligations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III</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termination of the Aggregate</w:t>
      </w:r>
      <w:r>
        <w:rPr>
          <w:rFonts w:ascii="Arial" w:cs="Arial" w:eastAsia="Arial" w:hAnsi="Arial"/>
          <w:sz w:val="22"/>
          <w:szCs w:val="22"/>
          <w:b w:val="1"/>
          <w:bCs w:val="1"/>
          <w:color w:val="auto"/>
        </w:rPr>
        <w:t xml:space="preserve"> </w:t>
      </w:r>
      <w:r>
        <w:rPr>
          <w:rFonts w:ascii="Arial" w:cs="Arial" w:eastAsia="Arial" w:hAnsi="Arial"/>
          <w:sz w:val="22"/>
          <w:szCs w:val="22"/>
          <w:color w:val="auto"/>
        </w:rPr>
        <w:t>Commitments, repayment of all other Obligations hereunder and resignation of the Administrative Agent.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CREDIT EXTENSIONS</w:t>
      </w:r>
    </w:p>
    <w:p>
      <w:pPr>
        <w:spacing w:after="0" w:line="19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4.01 Conditions of Initial Credit Extension. </w:t>
      </w:r>
      <w:r>
        <w:rPr>
          <w:rFonts w:ascii="Arial" w:cs="Arial" w:eastAsia="Arial" w:hAnsi="Arial"/>
          <w:sz w:val="22"/>
          <w:szCs w:val="22"/>
          <w:color w:val="auto"/>
        </w:rPr>
        <w:t>The obligation of the L/C Issuer and each Lender to make its initial Credit</w:t>
      </w:r>
      <w:r>
        <w:rPr>
          <w:rFonts w:ascii="Arial" w:cs="Arial" w:eastAsia="Arial" w:hAnsi="Arial"/>
          <w:sz w:val="22"/>
          <w:szCs w:val="22"/>
          <w:b w:val="1"/>
          <w:bCs w:val="1"/>
          <w:color w:val="auto"/>
        </w:rPr>
        <w:t xml:space="preserve"> </w:t>
      </w:r>
      <w:r>
        <w:rPr>
          <w:rFonts w:ascii="Arial" w:cs="Arial" w:eastAsia="Arial" w:hAnsi="Arial"/>
          <w:sz w:val="22"/>
          <w:szCs w:val="22"/>
          <w:color w:val="auto"/>
        </w:rPr>
        <w:t>Extension hereunder is subject to satisfaction of the following conditions precedent:</w:t>
      </w:r>
    </w:p>
    <w:p>
      <w:pPr>
        <w:spacing w:after="0" w:line="168" w:lineRule="exact"/>
        <w:rPr>
          <w:sz w:val="20"/>
          <w:szCs w:val="20"/>
          <w:color w:val="auto"/>
        </w:rPr>
      </w:pPr>
    </w:p>
    <w:p>
      <w:pPr>
        <w:jc w:val="both"/>
        <w:ind w:firstLine="656"/>
        <w:spacing w:after="0" w:line="265" w:lineRule="auto"/>
        <w:tabs>
          <w:tab w:leader="none" w:pos="1536"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Administrative Agent’s receipt of the following, each of which shall be originals, telecopies or .pdf 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75" w:lineRule="exact"/>
        <w:rPr>
          <w:rFonts w:ascii="Arial" w:cs="Arial" w:eastAsia="Arial" w:hAnsi="Arial"/>
          <w:sz w:val="21"/>
          <w:szCs w:val="21"/>
          <w:color w:val="auto"/>
        </w:rPr>
      </w:pPr>
    </w:p>
    <w:p>
      <w:pPr>
        <w:ind w:left="2160" w:hanging="855"/>
        <w:spacing w:after="0"/>
        <w:tabs>
          <w:tab w:leader="none" w:pos="21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executed counterparts of this Agreement;</w:t>
      </w:r>
    </w:p>
    <w:p>
      <w:pPr>
        <w:spacing w:after="0" w:line="219" w:lineRule="exact"/>
        <w:rPr>
          <w:rFonts w:ascii="Arial" w:cs="Arial" w:eastAsia="Arial" w:hAnsi="Arial"/>
          <w:sz w:val="22"/>
          <w:szCs w:val="22"/>
          <w:color w:val="auto"/>
        </w:rPr>
      </w:pPr>
    </w:p>
    <w:p>
      <w:pPr>
        <w:ind w:left="2220" w:hanging="915"/>
        <w:spacing w:after="0"/>
        <w:tabs>
          <w:tab w:leader="none" w:pos="2220" w:val="left"/>
        </w:tabs>
        <w:numPr>
          <w:ilvl w:val="1"/>
          <w:numId w:val="98"/>
        </w:numPr>
        <w:rPr>
          <w:rFonts w:ascii="Arial" w:cs="Arial" w:eastAsia="Arial" w:hAnsi="Arial"/>
          <w:sz w:val="22"/>
          <w:szCs w:val="22"/>
          <w:color w:val="auto"/>
        </w:rPr>
      </w:pPr>
      <w:r>
        <w:rPr>
          <w:rFonts w:ascii="Arial" w:cs="Arial" w:eastAsia="Arial" w:hAnsi="Arial"/>
          <w:sz w:val="22"/>
          <w:szCs w:val="22"/>
          <w:color w:val="auto"/>
        </w:rPr>
        <w:t>Notes executed by the Borrowers in favor of each Lender requesting Notes;</w:t>
      </w:r>
    </w:p>
    <w:p>
      <w:pPr>
        <w:spacing w:after="0" w:line="219" w:lineRule="exact"/>
        <w:rPr>
          <w:rFonts w:ascii="Arial" w:cs="Arial" w:eastAsia="Arial" w:hAnsi="Arial"/>
          <w:sz w:val="22"/>
          <w:szCs w:val="22"/>
          <w:color w:val="auto"/>
        </w:rPr>
      </w:pPr>
    </w:p>
    <w:p>
      <w:pPr>
        <w:jc w:val="both"/>
        <w:ind w:left="660" w:firstLine="645"/>
        <w:spacing w:after="0" w:line="253" w:lineRule="auto"/>
        <w:tabs>
          <w:tab w:leader="none" w:pos="2281" w:val="left"/>
        </w:tabs>
        <w:numPr>
          <w:ilvl w:val="1"/>
          <w:numId w:val="98"/>
        </w:numPr>
        <w:rPr>
          <w:rFonts w:ascii="Arial" w:cs="Arial" w:eastAsia="Arial" w:hAnsi="Arial"/>
          <w:sz w:val="22"/>
          <w:szCs w:val="22"/>
          <w:color w:val="auto"/>
        </w:rPr>
      </w:pPr>
      <w:r>
        <w:rPr>
          <w:rFonts w:ascii="Arial" w:cs="Arial" w:eastAsia="Arial" w:hAnsi="Arial"/>
          <w:sz w:val="22"/>
          <w:szCs w:val="22"/>
          <w:color w:val="auto"/>
        </w:rPr>
        <w:t>such certificates of resolutions or other action, incumbency certificates and/or other certificates of Responsible Officers of each Loan Party as the Administrative Agent may require evidencing the identity, authority and capacity of each Responsible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631" w:right="239" w:bottom="1440" w:gutter="0" w:footer="0" w:header="0"/>
        </w:sectPr>
      </w:pPr>
    </w:p>
    <w:bookmarkStart w:id="87" w:name="page88"/>
    <w:bookmarkEnd w:id="87"/>
    <w:p>
      <w:pPr>
        <w:spacing w:after="0" w:line="263" w:lineRule="auto"/>
        <w:rPr>
          <w:sz w:val="20"/>
          <w:szCs w:val="20"/>
          <w:color w:val="auto"/>
        </w:rPr>
      </w:pPr>
      <w:r>
        <w:rPr>
          <w:rFonts w:ascii="Arial" w:cs="Arial" w:eastAsia="Arial" w:hAnsi="Arial"/>
          <w:sz w:val="22"/>
          <w:szCs w:val="22"/>
          <w:color w:val="auto"/>
        </w:rPr>
        <w:t>Officer thereof authorized to act as a Responsible Officer in connection with this Agreement and the other Loan Documents to which such Loan Party is a party;</w:t>
      </w:r>
    </w:p>
    <w:p>
      <w:pPr>
        <w:spacing w:after="0" w:line="175" w:lineRule="exact"/>
        <w:rPr>
          <w:sz w:val="20"/>
          <w:szCs w:val="20"/>
          <w:color w:val="auto"/>
        </w:rPr>
      </w:pPr>
    </w:p>
    <w:p>
      <w:pPr>
        <w:jc w:val="both"/>
        <w:ind w:firstLine="645"/>
        <w:spacing w:after="0" w:line="248" w:lineRule="auto"/>
        <w:tabs>
          <w:tab w:leader="none" w:pos="1608"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such documents and certifications as the Administrative Agent may reasonably require to evidence that each Loan Party is duly organized or formed, and that each of the Borrowers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92" w:lineRule="exact"/>
        <w:rPr>
          <w:rFonts w:ascii="Arial" w:cs="Arial" w:eastAsia="Arial" w:hAnsi="Arial"/>
          <w:sz w:val="22"/>
          <w:szCs w:val="22"/>
          <w:color w:val="auto"/>
        </w:rPr>
      </w:pPr>
    </w:p>
    <w:p>
      <w:pPr>
        <w:ind w:left="1540" w:hanging="895"/>
        <w:spacing w:after="0"/>
        <w:tabs>
          <w:tab w:leader="none" w:pos="15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such financial information relating to the Borrowers and their Subsidiaries as the Administrative Agent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may request;</w:t>
      </w:r>
    </w:p>
    <w:p>
      <w:pPr>
        <w:spacing w:after="0" w:line="201" w:lineRule="exact"/>
        <w:rPr>
          <w:rFonts w:ascii="Arial" w:cs="Arial" w:eastAsia="Arial" w:hAnsi="Arial"/>
          <w:sz w:val="19"/>
          <w:szCs w:val="19"/>
          <w:color w:val="auto"/>
        </w:rPr>
      </w:pPr>
    </w:p>
    <w:p>
      <w:pPr>
        <w:jc w:val="both"/>
        <w:ind w:firstLine="645"/>
        <w:spacing w:after="0" w:line="253" w:lineRule="auto"/>
        <w:tabs>
          <w:tab w:leader="none" w:pos="1608"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a favorable opinion of Fox Rothschild LLP, counsel to the Loan Parties, and counsel to Toro Luxembourg, addressed to the Administrative Agent and each Lender, substantially in the form attached at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or as otherwise reasonably satisfactory to the Administrative Agent;</w:t>
      </w:r>
    </w:p>
    <w:p>
      <w:pPr>
        <w:spacing w:after="0" w:line="185" w:lineRule="exact"/>
        <w:rPr>
          <w:rFonts w:ascii="Arial" w:cs="Arial" w:eastAsia="Arial" w:hAnsi="Arial"/>
          <w:sz w:val="22"/>
          <w:szCs w:val="22"/>
          <w:color w:val="auto"/>
        </w:rPr>
      </w:pPr>
    </w:p>
    <w:p>
      <w:pPr>
        <w:jc w:val="both"/>
        <w:ind w:firstLine="645"/>
        <w:spacing w:after="0" w:line="302" w:lineRule="auto"/>
        <w:tabs>
          <w:tab w:leader="none" w:pos="1669" w:val="left"/>
        </w:tabs>
        <w:numPr>
          <w:ilvl w:val="0"/>
          <w:numId w:val="99"/>
        </w:numPr>
        <w:rPr>
          <w:rFonts w:ascii="Arial" w:cs="Arial" w:eastAsia="Arial" w:hAnsi="Arial"/>
          <w:sz w:val="19"/>
          <w:szCs w:val="19"/>
          <w:color w:val="auto"/>
        </w:rPr>
      </w:pPr>
      <w:r>
        <w:rPr>
          <w:rFonts w:ascii="Arial" w:cs="Arial" w:eastAsia="Arial" w:hAnsi="Arial"/>
          <w:sz w:val="19"/>
          <w:szCs w:val="19"/>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42" w:lineRule="exact"/>
        <w:rPr>
          <w:rFonts w:ascii="Arial" w:cs="Arial" w:eastAsia="Arial" w:hAnsi="Arial"/>
          <w:sz w:val="19"/>
          <w:szCs w:val="19"/>
          <w:color w:val="auto"/>
        </w:rPr>
      </w:pPr>
    </w:p>
    <w:p>
      <w:pPr>
        <w:jc w:val="both"/>
        <w:ind w:firstLine="645"/>
        <w:spacing w:after="0" w:line="290" w:lineRule="auto"/>
        <w:tabs>
          <w:tab w:leader="none" w:pos="1729"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 certificate signed by a Responsible Officer of Toro certifying (A)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and (B) that there has been no event or circumstance since the date of the Audited Financial Statements that has resulted or could reasonably be expected to result in, either individually or in the aggregate, a Material Adverse Effect; (C) there does not exist any pending or threatened action, suit, investigation or proceeding in any court or before any arbitrator or Governmental Authority that (x) would, if determined adversely to Toro or any Subsidiary, materially and adversely affect Toro or Toro and its Subsidiaries, taken as a whole, or (y) purports to affect any transaction contemplated under this Agreement or any Loan Document or the ability of any Borrower to perform its respective obligations under this Agreement or any Loan Document; and (D) the current Debt Ratings;</w:t>
      </w:r>
    </w:p>
    <w:p>
      <w:pPr>
        <w:spacing w:after="0" w:line="156" w:lineRule="exact"/>
        <w:rPr>
          <w:rFonts w:ascii="Arial" w:cs="Arial" w:eastAsia="Arial" w:hAnsi="Arial"/>
          <w:sz w:val="19"/>
          <w:szCs w:val="19"/>
          <w:color w:val="auto"/>
        </w:rPr>
      </w:pPr>
    </w:p>
    <w:p>
      <w:pPr>
        <w:ind w:firstLine="645"/>
        <w:spacing w:after="0" w:line="263" w:lineRule="auto"/>
        <w:tabs>
          <w:tab w:leader="none" w:pos="1608" w:val="left"/>
        </w:tabs>
        <w:numPr>
          <w:ilvl w:val="0"/>
          <w:numId w:val="99"/>
        </w:numPr>
        <w:rPr>
          <w:rFonts w:ascii="Arial" w:cs="Arial" w:eastAsia="Arial" w:hAnsi="Arial"/>
          <w:sz w:val="22"/>
          <w:szCs w:val="22"/>
          <w:color w:val="auto"/>
        </w:rPr>
      </w:pPr>
      <w:r>
        <w:rPr>
          <w:rFonts w:ascii="Arial" w:cs="Arial" w:eastAsia="Arial" w:hAnsi="Arial"/>
          <w:sz w:val="22"/>
          <w:szCs w:val="22"/>
          <w:color w:val="auto"/>
        </w:rPr>
        <w:t>a duly completed Compliance Certificate as of the last day of the fiscal quarter of Toro most recently ended prior to the Closing Date, signed by a Responsible Officer of Toro;</w:t>
      </w:r>
    </w:p>
    <w:p>
      <w:pPr>
        <w:spacing w:after="0" w:line="174" w:lineRule="exact"/>
        <w:rPr>
          <w:rFonts w:ascii="Arial" w:cs="Arial" w:eastAsia="Arial" w:hAnsi="Arial"/>
          <w:sz w:val="22"/>
          <w:szCs w:val="22"/>
          <w:color w:val="auto"/>
        </w:rPr>
      </w:pPr>
    </w:p>
    <w:p>
      <w:pPr>
        <w:jc w:val="both"/>
        <w:ind w:firstLine="645"/>
        <w:spacing w:after="0" w:line="312" w:lineRule="auto"/>
        <w:tabs>
          <w:tab w:leader="none" w:pos="1549" w:val="left"/>
        </w:tabs>
        <w:numPr>
          <w:ilvl w:val="0"/>
          <w:numId w:val="99"/>
        </w:numPr>
        <w:rPr>
          <w:rFonts w:ascii="Arial" w:cs="Arial" w:eastAsia="Arial" w:hAnsi="Arial"/>
          <w:sz w:val="19"/>
          <w:szCs w:val="19"/>
          <w:color w:val="auto"/>
        </w:rPr>
      </w:pPr>
      <w:r>
        <w:rPr>
          <w:rFonts w:ascii="Arial" w:cs="Arial" w:eastAsia="Arial" w:hAnsi="Arial"/>
          <w:sz w:val="19"/>
          <w:szCs w:val="19"/>
          <w:color w:val="auto"/>
        </w:rPr>
        <w:t>evidence that the Existing Credit Agreement has been or concurrently with the Closing Date is being terminated, all indebtedness thereunder has been paid and satisfied in full and all Liens if any securing obligations under the Existing Credit Agreement have been or concurrently with the Closing Date are being released;</w:t>
      </w:r>
    </w:p>
    <w:p>
      <w:pPr>
        <w:spacing w:after="0" w:line="133" w:lineRule="exact"/>
        <w:rPr>
          <w:rFonts w:ascii="Arial" w:cs="Arial" w:eastAsia="Arial" w:hAnsi="Arial"/>
          <w:sz w:val="19"/>
          <w:szCs w:val="19"/>
          <w:color w:val="auto"/>
        </w:rPr>
      </w:pPr>
    </w:p>
    <w:p>
      <w:pPr>
        <w:ind w:left="640" w:right="20" w:firstLine="5"/>
        <w:spacing w:after="0" w:line="263" w:lineRule="auto"/>
        <w:tabs>
          <w:tab w:leader="none" w:pos="16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 upon the reasonable request of any Lender made at least seven days prior to the Closing Date, the Borrowers shall have provided to such Lender</w:t>
      </w:r>
    </w:p>
    <w:p>
      <w:pPr>
        <w:spacing w:after="0" w:line="200" w:lineRule="exact"/>
        <w:rPr>
          <w:sz w:val="20"/>
          <w:szCs w:val="20"/>
          <w:color w:val="auto"/>
        </w:rPr>
      </w:pPr>
    </w:p>
    <w:p>
      <w:pPr>
        <w:spacing w:after="0" w:line="21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0760"/>
          </w:cols>
          <w:pgMar w:left="900" w:top="631" w:right="239" w:bottom="1440" w:gutter="0" w:footer="0" w:header="0"/>
        </w:sectPr>
      </w:pPr>
    </w:p>
    <w:bookmarkStart w:id="88" w:name="page89"/>
    <w:bookmarkEnd w:id="88"/>
    <w:p>
      <w:pPr>
        <w:jc w:val="both"/>
        <w:ind w:left="1300"/>
        <w:spacing w:after="0" w:line="253" w:lineRule="auto"/>
        <w:rPr>
          <w:sz w:val="20"/>
          <w:szCs w:val="20"/>
          <w:color w:val="auto"/>
        </w:rPr>
      </w:pPr>
      <w:r>
        <w:rPr>
          <w:rFonts w:ascii="Arial" w:cs="Arial" w:eastAsia="Arial" w:hAnsi="Arial"/>
          <w:sz w:val="22"/>
          <w:szCs w:val="22"/>
          <w:color w:val="auto"/>
        </w:rPr>
        <w:t>the documentation and other information so requested in connection with applicable “know your customer” and anti-money-laundering rules and regulations, including the Act, in each case at least two days prior to the Closing Date; and</w:t>
      </w:r>
    </w:p>
    <w:p>
      <w:pPr>
        <w:spacing w:after="0" w:line="186" w:lineRule="exact"/>
        <w:rPr>
          <w:sz w:val="20"/>
          <w:szCs w:val="20"/>
          <w:color w:val="auto"/>
        </w:rPr>
      </w:pPr>
    </w:p>
    <w:p>
      <w:pPr>
        <w:jc w:val="both"/>
        <w:ind w:left="1300" w:firstLine="653"/>
        <w:spacing w:after="0" w:line="253" w:lineRule="auto"/>
        <w:tabs>
          <w:tab w:leader="none" w:pos="2529"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at least two days prior to the Closing Date, any Borrower that qualifies as a “legal entity customer” under the Beneficial Ownership Regulation shall deliver a Beneficial Ownership Certification in relation to such Borrower; and</w:t>
      </w:r>
    </w:p>
    <w:p>
      <w:pPr>
        <w:spacing w:after="0" w:line="185" w:lineRule="exact"/>
        <w:rPr>
          <w:rFonts w:ascii="Arial" w:cs="Arial" w:eastAsia="Arial" w:hAnsi="Arial"/>
          <w:sz w:val="22"/>
          <w:szCs w:val="22"/>
          <w:color w:val="auto"/>
        </w:rPr>
      </w:pPr>
    </w:p>
    <w:p>
      <w:pPr>
        <w:ind w:left="660" w:firstLine="645"/>
        <w:spacing w:after="0" w:line="263" w:lineRule="auto"/>
        <w:tabs>
          <w:tab w:leader="none" w:pos="232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such other assurances, certificates, documents, consents or opinions as the Administrative Agent, the L/C Issuer, the Swing Line Lender or the Required Lenders reasonably may require.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Notwithstanding the foregoing, with respect to Toro Luxembourg, the receipt of such items referred to above in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w:t>
      </w:r>
    </w:p>
    <w:p>
      <w:pPr>
        <w:spacing w:after="0" w:line="56" w:lineRule="exact"/>
        <w:rPr>
          <w:sz w:val="20"/>
          <w:szCs w:val="20"/>
          <w:color w:val="auto"/>
        </w:rPr>
      </w:pPr>
    </w:p>
    <w:p>
      <w:pPr>
        <w:jc w:val="both"/>
        <w:ind w:firstLine="8"/>
        <w:spacing w:after="0" w:line="245" w:lineRule="auto"/>
        <w:tabs>
          <w:tab w:leader="none" w:pos="373" w:val="left"/>
        </w:tabs>
        <w:numPr>
          <w:ilvl w:val="0"/>
          <w:numId w:val="102"/>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are not required to be delivered on the Closing Date, but instead need only be delivered in advance of a request for a Borrowing by Toro Luxembourg under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(and, for the avoidance of doubt, Toro Luxembourg may not request a Committed Borrowing until such items have been received by the Administrative Agent).</w:t>
      </w:r>
    </w:p>
    <w:p>
      <w:pPr>
        <w:spacing w:after="0" w:line="193" w:lineRule="exact"/>
        <w:rPr>
          <w:rFonts w:ascii="Arial" w:cs="Arial" w:eastAsia="Arial" w:hAnsi="Arial"/>
          <w:sz w:val="22"/>
          <w:szCs w:val="22"/>
          <w:u w:val="single" w:color="auto"/>
          <w:color w:val="auto"/>
        </w:rPr>
      </w:pPr>
    </w:p>
    <w:p>
      <w:pPr>
        <w:ind w:left="1560" w:hanging="904"/>
        <w:spacing w:after="0"/>
        <w:tabs>
          <w:tab w:leader="none" w:pos="15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Any fees required to be paid on or before the Closing Date shall have been paid.</w:t>
      </w:r>
    </w:p>
    <w:p>
      <w:pPr>
        <w:spacing w:after="0" w:line="219" w:lineRule="exact"/>
        <w:rPr>
          <w:rFonts w:ascii="Arial" w:cs="Arial" w:eastAsia="Arial" w:hAnsi="Arial"/>
          <w:sz w:val="22"/>
          <w:szCs w:val="22"/>
          <w:color w:val="auto"/>
        </w:rPr>
      </w:pPr>
    </w:p>
    <w:p>
      <w:pPr>
        <w:jc w:val="both"/>
        <w:ind w:firstLine="656"/>
        <w:spacing w:after="0" w:line="297" w:lineRule="auto"/>
        <w:tabs>
          <w:tab w:leader="none" w:pos="153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Unless waived by the Administrative Agent, Toro shall have paid all fees, charges and disbursements of counsel (directly to such counsel if requested by the Administrative Agent) to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Toro and the Administrative Agent).</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Without limiting the generality of the provisions of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for purposes of determining compliance with the conditions specified in this </w:t>
      </w:r>
      <w:r>
        <w:rPr>
          <w:rFonts w:ascii="Arial" w:cs="Arial" w:eastAsia="Arial" w:hAnsi="Arial"/>
          <w:sz w:val="22"/>
          <w:szCs w:val="22"/>
          <w:u w:val="single" w:color="auto"/>
          <w:color w:val="auto"/>
        </w:rPr>
        <w:t>Section 4.01</w:t>
      </w:r>
      <w:r>
        <w:rPr>
          <w:rFonts w:ascii="Arial" w:cs="Arial" w:eastAsia="Arial" w:hAnsi="Arial"/>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4.02 Conditions to all Credit Extensions. </w:t>
      </w:r>
      <w:r>
        <w:rPr>
          <w:rFonts w:ascii="Arial" w:cs="Arial" w:eastAsia="Arial" w:hAnsi="Arial"/>
          <w:sz w:val="22"/>
          <w:szCs w:val="22"/>
          <w:color w:val="auto"/>
        </w:rPr>
        <w:t>The obligation of each Lender to honor any Request for Credit Extension</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a Loan Notice requesting only a conversion of Committed Loans to the other Type, or a continuation of Eurocurrency Rate Loans) is subject to the following conditions precedent:</w:t>
      </w:r>
    </w:p>
    <w:p>
      <w:pPr>
        <w:spacing w:after="0" w:line="182" w:lineRule="exact"/>
        <w:rPr>
          <w:sz w:val="20"/>
          <w:szCs w:val="20"/>
          <w:color w:val="auto"/>
        </w:rPr>
      </w:pPr>
    </w:p>
    <w:p>
      <w:pPr>
        <w:jc w:val="both"/>
        <w:ind w:firstLine="656"/>
        <w:spacing w:after="0" w:line="265" w:lineRule="auto"/>
        <w:tabs>
          <w:tab w:leader="none" w:pos="153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(i) the Borrowers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and (ii) each Loan Party contained in each other Loan Document or in any document furnished at any time under or in connection herewith or therewith, shall be true and correct in all material respects on and as of the date of such Credit Extension, except (w) if a qualifier relating to materiality, Material Adverse Effect or other similar concept applies, such representation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631" w:right="239" w:bottom="1440" w:gutter="0" w:footer="0" w:header="0"/>
        </w:sectPr>
      </w:pPr>
    </w:p>
    <w:bookmarkStart w:id="89" w:name="page90"/>
    <w:bookmarkEnd w:id="89"/>
    <w:p>
      <w:pPr>
        <w:jc w:val="both"/>
        <w:spacing w:after="0" w:line="248" w:lineRule="auto"/>
        <w:rPr>
          <w:sz w:val="20"/>
          <w:szCs w:val="20"/>
          <w:color w:val="auto"/>
        </w:rPr>
      </w:pPr>
      <w:r>
        <w:rPr>
          <w:rFonts w:ascii="Arial" w:cs="Arial" w:eastAsia="Arial" w:hAnsi="Arial"/>
          <w:sz w:val="22"/>
          <w:szCs w:val="22"/>
          <w:color w:val="auto"/>
        </w:rPr>
        <w:t xml:space="preserve">warranty is true and correct in all respects, (x) to the extent that such representations and warranties specifically refer to an earlier date, in which case they shall be true and correct as of such earlier date, and (y) for purposes of this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the representations and warranties contained in </w:t>
      </w:r>
      <w:r>
        <w:rPr>
          <w:rFonts w:ascii="Arial" w:cs="Arial" w:eastAsia="Arial" w:hAnsi="Arial"/>
          <w:sz w:val="22"/>
          <w:szCs w:val="22"/>
          <w:u w:val="single" w:color="auto"/>
          <w:color w:val="auto"/>
        </w:rPr>
        <w:t>subsections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5.05</w:t>
      </w:r>
      <w:r>
        <w:rPr>
          <w:rFonts w:ascii="Arial" w:cs="Arial" w:eastAsia="Arial" w:hAnsi="Arial"/>
          <w:sz w:val="22"/>
          <w:szCs w:val="22"/>
          <w:color w:val="auto"/>
        </w:rPr>
        <w:t xml:space="preserve"> shall be deemed to refer to the most recent statements furnished pursuant to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respectively, of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and excluding, after the Closing Date, the representation and warranty set forth in </w:t>
      </w:r>
      <w:r>
        <w:rPr>
          <w:rFonts w:ascii="Arial" w:cs="Arial" w:eastAsia="Arial" w:hAnsi="Arial"/>
          <w:sz w:val="22"/>
          <w:szCs w:val="22"/>
          <w:u w:val="single" w:color="auto"/>
          <w:color w:val="auto"/>
        </w:rPr>
        <w:t>Section 5.22</w:t>
      </w:r>
      <w:r>
        <w:rPr>
          <w:rFonts w:ascii="Arial" w:cs="Arial" w:eastAsia="Arial" w:hAnsi="Arial"/>
          <w:sz w:val="22"/>
          <w:szCs w:val="22"/>
          <w:color w:val="auto"/>
        </w:rPr>
        <w:t>.</w:t>
      </w:r>
    </w:p>
    <w:p>
      <w:pPr>
        <w:spacing w:after="0" w:line="192" w:lineRule="exact"/>
        <w:rPr>
          <w:sz w:val="20"/>
          <w:szCs w:val="20"/>
          <w:color w:val="auto"/>
        </w:rPr>
      </w:pPr>
    </w:p>
    <w:p>
      <w:pPr>
        <w:ind w:left="1560" w:hanging="904"/>
        <w:spacing w:after="0"/>
        <w:tabs>
          <w:tab w:leader="none" w:pos="15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No Default shall exist, or would result from such proposed Credit Extension or the application of the proceeds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1" w:lineRule="exact"/>
        <w:rPr>
          <w:rFonts w:ascii="Arial" w:cs="Arial" w:eastAsia="Arial" w:hAnsi="Arial"/>
          <w:sz w:val="19"/>
          <w:szCs w:val="19"/>
          <w:color w:val="auto"/>
        </w:rPr>
      </w:pPr>
    </w:p>
    <w:p>
      <w:pPr>
        <w:ind w:right="20" w:firstLine="656"/>
        <w:spacing w:after="0" w:line="263" w:lineRule="auto"/>
        <w:tabs>
          <w:tab w:leader="none" w:pos="153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Administrative Agent and, if applicable, the L/C Issuer or the Swing Line Lender shall have received a Request for Credit Extension in accordance with the requirements hereof.</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54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4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Each Request for Credit Extension (other than a Loan Notice requesting only a conversion of Committed Loans to the other Type or a continuation of Eurocurrency Rate Loans) submitted by Toro shall be deemed to be a representation and warranty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Except as otherwise provided in </w:t>
      </w:r>
      <w:r>
        <w:rPr>
          <w:rFonts w:ascii="Arial" w:cs="Arial" w:eastAsia="Arial" w:hAnsi="Arial"/>
          <w:sz w:val="19"/>
          <w:szCs w:val="19"/>
          <w:u w:val="single" w:color="auto"/>
          <w:color w:val="auto"/>
        </w:rPr>
        <w:t>Section 5.18</w:t>
      </w:r>
      <w:r>
        <w:rPr>
          <w:rFonts w:ascii="Arial" w:cs="Arial" w:eastAsia="Arial" w:hAnsi="Arial"/>
          <w:sz w:val="19"/>
          <w:szCs w:val="19"/>
          <w:color w:val="auto"/>
        </w:rPr>
        <w:t>, each Borrower represents and warrants to the Administrative Agent and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Lenders that:</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5.01 Existence, Qualification and Power. </w:t>
      </w:r>
      <w:r>
        <w:rPr>
          <w:rFonts w:ascii="Arial" w:cs="Arial" w:eastAsia="Arial" w:hAnsi="Arial"/>
          <w:sz w:val="21"/>
          <w:szCs w:val="21"/>
          <w:color w:val="auto"/>
        </w:rPr>
        <w:t>Each Loan Party and each Subsidiary thereof (a) is duly organized or formed,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validly existing and in good standing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with respect to Subsidiaries other than a Loan Party or a Material Subsidiary, and </w:t>
      </w:r>
      <w:r>
        <w:rPr>
          <w:rFonts w:ascii="Arial" w:cs="Arial" w:eastAsia="Arial" w:hAnsi="Arial"/>
          <w:sz w:val="21"/>
          <w:szCs w:val="21"/>
          <w:u w:val="single" w:color="auto"/>
          <w:color w:val="auto"/>
        </w:rPr>
        <w:t>clause (b)(i)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to the extent that failure to do so could not reasonably be expected to have a Material Adverse Effect.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631" w:right="239" w:bottom="1440" w:gutter="0" w:footer="0" w:header="0"/>
        </w:sectPr>
      </w:pPr>
    </w:p>
    <w:bookmarkStart w:id="90" w:name="page91"/>
    <w:bookmarkEnd w:id="90"/>
    <w:p>
      <w:pPr>
        <w:jc w:val="both"/>
        <w:ind w:firstLine="648"/>
        <w:spacing w:after="0" w:line="246" w:lineRule="auto"/>
        <w:rPr>
          <w:sz w:val="20"/>
          <w:szCs w:val="20"/>
          <w:color w:val="auto"/>
        </w:rPr>
      </w:pPr>
      <w:r>
        <w:rPr>
          <w:rFonts w:ascii="Arial" w:cs="Arial" w:eastAsia="Arial" w:hAnsi="Arial"/>
          <w:sz w:val="22"/>
          <w:szCs w:val="22"/>
          <w:b w:val="1"/>
          <w:bCs w:val="1"/>
          <w:color w:val="auto"/>
        </w:rPr>
        <w:t xml:space="preserve">5.02 Authorization; No Contravention. </w:t>
      </w:r>
      <w:r>
        <w:rPr>
          <w:rFonts w:ascii="Arial" w:cs="Arial" w:eastAsia="Arial" w:hAnsi="Arial"/>
          <w:sz w:val="22"/>
          <w:szCs w:val="22"/>
          <w:color w:val="auto"/>
        </w:rPr>
        <w:t>The execution, delivery and performance by each Loan Party of each Loan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Each Loan Party and each Subsidiary thereof is in compliance with all Contractual Obligations referred to in </w:t>
      </w:r>
      <w:r>
        <w:rPr>
          <w:rFonts w:ascii="Arial" w:cs="Arial" w:eastAsia="Arial" w:hAnsi="Arial"/>
          <w:sz w:val="22"/>
          <w:szCs w:val="22"/>
          <w:u w:val="single" w:color="auto"/>
          <w:color w:val="auto"/>
        </w:rPr>
        <w:t>clause (b)(i)</w:t>
      </w:r>
      <w:r>
        <w:rPr>
          <w:rFonts w:ascii="Arial" w:cs="Arial" w:eastAsia="Arial" w:hAnsi="Arial"/>
          <w:sz w:val="22"/>
          <w:szCs w:val="22"/>
          <w:color w:val="auto"/>
        </w:rPr>
        <w:t>, except to the extent that failure to do so could not reasonably be expected to have a Material Adverse Effect.</w:t>
      </w:r>
    </w:p>
    <w:p>
      <w:pPr>
        <w:spacing w:after="0" w:line="19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5.03 Governmental Authorization; Other Consents. </w:t>
      </w:r>
      <w:r>
        <w:rPr>
          <w:rFonts w:ascii="Arial" w:cs="Arial" w:eastAsia="Arial" w:hAnsi="Arial"/>
          <w:sz w:val="19"/>
          <w:szCs w:val="19"/>
          <w:color w:val="auto"/>
        </w:rPr>
        <w:t>No approval, consent, exemption, authorization, or other action by,</w:t>
      </w:r>
      <w:r>
        <w:rPr>
          <w:rFonts w:ascii="Arial" w:cs="Arial" w:eastAsia="Arial" w:hAnsi="Arial"/>
          <w:sz w:val="19"/>
          <w:szCs w:val="19"/>
          <w:b w:val="1"/>
          <w:bCs w:val="1"/>
          <w:color w:val="auto"/>
        </w:rPr>
        <w:t xml:space="preserve"> </w:t>
      </w:r>
      <w:r>
        <w:rPr>
          <w:rFonts w:ascii="Arial" w:cs="Arial" w:eastAsia="Arial" w:hAnsi="Arial"/>
          <w:sz w:val="19"/>
          <w:szCs w:val="19"/>
          <w:color w:val="auto"/>
        </w:rPr>
        <w:t>or notice to, or filing with, any Governmental Authority or any other Person is necessary or required in connection with the execution, delivery or performance by, or enforcement against, any Loan Party of this Agreement or any other Loan Document.</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5.04 Binding Effect. </w:t>
      </w:r>
      <w:r>
        <w:rPr>
          <w:rFonts w:ascii="Arial" w:cs="Arial" w:eastAsia="Arial" w:hAnsi="Arial"/>
          <w:sz w:val="22"/>
          <w:szCs w:val="22"/>
          <w:color w:val="auto"/>
        </w:rPr>
        <w:t>This Agreement has been, and each other Loan Document, when delivered hereunder, will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5.05</w:t>
      </w:r>
      <w:r>
        <w:rPr>
          <w:sz w:val="20"/>
          <w:szCs w:val="20"/>
          <w:color w:val="auto"/>
        </w:rPr>
        <w:tab/>
      </w:r>
      <w:r>
        <w:rPr>
          <w:rFonts w:ascii="Arial" w:cs="Arial" w:eastAsia="Arial" w:hAnsi="Arial"/>
          <w:sz w:val="19"/>
          <w:szCs w:val="19"/>
          <w:b w:val="1"/>
          <w:bCs w:val="1"/>
          <w:color w:val="auto"/>
        </w:rPr>
        <w:t>Financial Statements; No Material Adverse Effect.</w:t>
      </w:r>
    </w:p>
    <w:p>
      <w:pPr>
        <w:spacing w:after="0" w:line="226" w:lineRule="exact"/>
        <w:rPr>
          <w:sz w:val="20"/>
          <w:szCs w:val="20"/>
          <w:color w:val="auto"/>
        </w:rPr>
      </w:pPr>
    </w:p>
    <w:p>
      <w:pPr>
        <w:jc w:val="both"/>
        <w:ind w:firstLine="656"/>
        <w:spacing w:after="0" w:line="297" w:lineRule="auto"/>
        <w:tabs>
          <w:tab w:leader="none" w:pos="153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 covered thereby, except as otherwise expressly noted therein; (ii) fairly present the financial condition of Toro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Toro and its Subsidiaries as of the date thereof.</w:t>
      </w:r>
    </w:p>
    <w:p>
      <w:pPr>
        <w:spacing w:after="0" w:line="147" w:lineRule="exact"/>
        <w:rPr>
          <w:rFonts w:ascii="Arial" w:cs="Arial" w:eastAsia="Arial" w:hAnsi="Arial"/>
          <w:sz w:val="19"/>
          <w:szCs w:val="19"/>
          <w:color w:val="auto"/>
        </w:rPr>
      </w:pPr>
    </w:p>
    <w:p>
      <w:pPr>
        <w:jc w:val="both"/>
        <w:ind w:firstLine="656"/>
        <w:spacing w:after="0" w:line="263" w:lineRule="auto"/>
        <w:tabs>
          <w:tab w:leader="none" w:pos="1549"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unaudited consolidated balance sheet of Toro and its Subsidiaries dated May 4, 2018 (including the footnotes thereto),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Toro and its Subsidiaries as of the date thereof and their results of operations for the period covered thereby.</w:t>
      </w:r>
    </w:p>
    <w:p>
      <w:pPr>
        <w:spacing w:after="0" w:line="175" w:lineRule="exact"/>
        <w:rPr>
          <w:rFonts w:ascii="Arial" w:cs="Arial" w:eastAsia="Arial" w:hAnsi="Arial"/>
          <w:sz w:val="21"/>
          <w:szCs w:val="21"/>
          <w:color w:val="auto"/>
        </w:rPr>
      </w:pPr>
    </w:p>
    <w:p>
      <w:pPr>
        <w:ind w:firstLine="656"/>
        <w:spacing w:after="0" w:line="263" w:lineRule="auto"/>
        <w:tabs>
          <w:tab w:leader="none" w:pos="153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Since the date of the Audited Financial Statements, there has been no event or circumstance, either individually or in the aggregate, that has had or could reasonably be expected to have a Material Adverse Effect.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625" w:right="239" w:bottom="1440" w:gutter="0" w:footer="0" w:header="0"/>
        </w:sectPr>
      </w:pPr>
    </w:p>
    <w:bookmarkStart w:id="91" w:name="page92"/>
    <w:bookmarkEnd w:id="91"/>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5.06 Litigation. </w:t>
      </w:r>
      <w:r>
        <w:rPr>
          <w:rFonts w:ascii="Arial" w:cs="Arial" w:eastAsia="Arial" w:hAnsi="Arial"/>
          <w:sz w:val="19"/>
          <w:szCs w:val="19"/>
          <w:color w:val="auto"/>
        </w:rPr>
        <w:t>There are no actions, suits, proceedings, claims or disputes pending or, to the best knowledge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Borrowers after due and diligent investigation, threatened or contemplated, at law, in equity, in arbitration or before any Governmental Authority, by or against the Borrowers or any of its Subsidiaries or against any of their properties or revenues that</w:t>
      </w:r>
    </w:p>
    <w:p>
      <w:pPr>
        <w:spacing w:after="0" w:line="2"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purport to affect or pertain to this Agreement or any other Loan Document, or any of the transactions contemplated hereby, or</w:t>
      </w:r>
    </w:p>
    <w:p>
      <w:pPr>
        <w:spacing w:after="0" w:line="38" w:lineRule="exact"/>
        <w:rPr>
          <w:rFonts w:ascii="Arial" w:cs="Arial" w:eastAsia="Arial" w:hAnsi="Arial"/>
          <w:sz w:val="19"/>
          <w:szCs w:val="19"/>
          <w:color w:val="auto"/>
        </w:rPr>
      </w:pPr>
    </w:p>
    <w:p>
      <w:pPr>
        <w:jc w:val="both"/>
        <w:ind w:firstLine="8"/>
        <w:spacing w:after="0" w:line="258" w:lineRule="auto"/>
        <w:tabs>
          <w:tab w:leader="none" w:pos="353"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except as specifically disclosed in </w:t>
      </w:r>
      <w:r>
        <w:rPr>
          <w:rFonts w:ascii="Arial" w:cs="Arial" w:eastAsia="Arial" w:hAnsi="Arial"/>
          <w:sz w:val="21"/>
          <w:szCs w:val="21"/>
          <w:u w:val="single" w:color="auto"/>
          <w:color w:val="auto"/>
        </w:rPr>
        <w:t>Schedule 5.06</w:t>
      </w:r>
      <w:r>
        <w:rPr>
          <w:rFonts w:ascii="Arial" w:cs="Arial" w:eastAsia="Arial" w:hAnsi="Arial"/>
          <w:sz w:val="21"/>
          <w:szCs w:val="21"/>
          <w:color w:val="auto"/>
        </w:rPr>
        <w:t xml:space="preserve">, either individually or in the aggregate, if determined adversely, could reasonably be expected to have a Material Adverse Effect, and there has been no adverse change in the status, or financial effect on any Loan Party or any Subsidiary thereof, of the matters described on </w:t>
      </w:r>
      <w:r>
        <w:rPr>
          <w:rFonts w:ascii="Arial" w:cs="Arial" w:eastAsia="Arial" w:hAnsi="Arial"/>
          <w:sz w:val="21"/>
          <w:szCs w:val="21"/>
          <w:u w:val="single" w:color="auto"/>
          <w:color w:val="auto"/>
        </w:rPr>
        <w:t>Schedule 5.06</w:t>
      </w:r>
      <w:r>
        <w:rPr>
          <w:rFonts w:ascii="Arial" w:cs="Arial" w:eastAsia="Arial" w:hAnsi="Arial"/>
          <w:sz w:val="21"/>
          <w:szCs w:val="21"/>
          <w:color w:val="auto"/>
        </w:rPr>
        <w: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5.07 No Default. </w:t>
      </w:r>
      <w:r>
        <w:rPr>
          <w:rFonts w:ascii="Arial" w:cs="Arial" w:eastAsia="Arial" w:hAnsi="Arial"/>
          <w:sz w:val="22"/>
          <w:szCs w:val="22"/>
          <w:color w:val="auto"/>
        </w:rPr>
        <w:t>Neither any Borrower nor any Subsidiary thereof is in default under or with respect to any Contractual</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8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5.08 Ownership of Property; Liens. </w:t>
      </w:r>
      <w:r>
        <w:rPr>
          <w:rFonts w:ascii="Arial" w:cs="Arial" w:eastAsia="Arial" w:hAnsi="Arial"/>
          <w:sz w:val="19"/>
          <w:szCs w:val="19"/>
          <w:color w:val="auto"/>
        </w:rPr>
        <w:t>Each Borrower and each Subsidiary has good record and marketable title in fee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simple to, or valid leasehold interests in, all real property necessary or used in the ordinary conduct of its business, except for such defects in title as could not, individually or in the aggregate, reasonably be expected to have a Material Adverse Effect. The property of the Borrowers and their Subsidiaries is subject to no Liens,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5.09 Environmental Compliance. </w:t>
      </w:r>
      <w:r>
        <w:rPr>
          <w:rFonts w:ascii="Arial" w:cs="Arial" w:eastAsia="Arial" w:hAnsi="Arial"/>
          <w:sz w:val="21"/>
          <w:szCs w:val="21"/>
          <w:color w:val="auto"/>
        </w:rPr>
        <w:t>Each Borrower and its Subsidiaries conduct in the ordinary course of business a</w:t>
      </w:r>
      <w:r>
        <w:rPr>
          <w:rFonts w:ascii="Arial" w:cs="Arial" w:eastAsia="Arial" w:hAnsi="Arial"/>
          <w:sz w:val="21"/>
          <w:szCs w:val="21"/>
          <w:b w:val="1"/>
          <w:bCs w:val="1"/>
          <w:color w:val="auto"/>
        </w:rPr>
        <w:t xml:space="preserve"> </w:t>
      </w:r>
      <w:r>
        <w:rPr>
          <w:rFonts w:ascii="Arial" w:cs="Arial" w:eastAsia="Arial" w:hAnsi="Arial"/>
          <w:sz w:val="21"/>
          <w:szCs w:val="21"/>
          <w:color w:val="auto"/>
        </w:rPr>
        <w:t>review of the effect of existing Environmental Laws and claims alleging potential liability or responsibility for violation of any Environmental Law on their respective businesses, operations and properties, and as a result thereof the Borrowers have reasonably concluded that</w:t>
      </w:r>
      <w:r>
        <w:rPr>
          <w:rFonts w:ascii="Arial" w:cs="Arial" w:eastAsia="Arial" w:hAnsi="Arial"/>
          <w:sz w:val="21"/>
          <w:szCs w:val="21"/>
          <w:b w:val="1"/>
          <w:bCs w:val="1"/>
          <w:color w:val="auto"/>
        </w:rPr>
        <w:t>,</w:t>
      </w:r>
      <w:r>
        <w:rPr>
          <w:rFonts w:ascii="Arial" w:cs="Arial" w:eastAsia="Arial" w:hAnsi="Arial"/>
          <w:sz w:val="21"/>
          <w:szCs w:val="21"/>
          <w:color w:val="auto"/>
        </w:rPr>
        <w:t xml:space="preserve"> except as specifically disclosed in </w:t>
      </w:r>
      <w:r>
        <w:rPr>
          <w:rFonts w:ascii="Arial" w:cs="Arial" w:eastAsia="Arial" w:hAnsi="Arial"/>
          <w:sz w:val="21"/>
          <w:szCs w:val="21"/>
          <w:u w:val="single" w:color="auto"/>
          <w:color w:val="auto"/>
        </w:rPr>
        <w:t>Schedule 5.09</w:t>
      </w:r>
      <w:r>
        <w:rPr>
          <w:rFonts w:ascii="Arial" w:cs="Arial" w:eastAsia="Arial" w:hAnsi="Arial"/>
          <w:sz w:val="21"/>
          <w:szCs w:val="21"/>
          <w:color w:val="auto"/>
        </w:rPr>
        <w:t>, such Environmental Laws and claims could not, individually or in the aggregate, reasonably be expected to have a Material Adverse Effect.</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5.10 Insurance. </w:t>
      </w:r>
      <w:r>
        <w:rPr>
          <w:rFonts w:ascii="Arial" w:cs="Arial" w:eastAsia="Arial" w:hAnsi="Arial"/>
          <w:sz w:val="22"/>
          <w:szCs w:val="22"/>
          <w:color w:val="auto"/>
        </w:rPr>
        <w:t>Except as specifically disclosed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5.10</w:t>
      </w:r>
      <w:r>
        <w:rPr>
          <w:rFonts w:ascii="Arial" w:cs="Arial" w:eastAsia="Arial" w:hAnsi="Arial"/>
          <w:sz w:val="22"/>
          <w:szCs w:val="22"/>
          <w:color w:val="auto"/>
        </w:rPr>
        <w:t>, the properties of each Borrower and its Subsidiaries</w:t>
      </w:r>
      <w:r>
        <w:rPr>
          <w:rFonts w:ascii="Arial" w:cs="Arial" w:eastAsia="Arial" w:hAnsi="Arial"/>
          <w:sz w:val="22"/>
          <w:szCs w:val="22"/>
          <w:b w:val="1"/>
          <w:bCs w:val="1"/>
          <w:color w:val="auto"/>
        </w:rPr>
        <w:t xml:space="preserve"> </w:t>
      </w:r>
      <w:r>
        <w:rPr>
          <w:rFonts w:ascii="Arial" w:cs="Arial" w:eastAsia="Arial" w:hAnsi="Arial"/>
          <w:sz w:val="22"/>
          <w:szCs w:val="22"/>
          <w:color w:val="auto"/>
        </w:rPr>
        <w:t>are insured with financially sound and reputable insurance companies not Affiliates of Toro, in such amounts, with such deductibles and covering such risks as are customarily carried by companies engaged in similar businesses and owning similar properties in localities where such Borrower or the applicable Subsidiary operates.</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5.11 Taxes. </w:t>
      </w:r>
      <w:r>
        <w:rPr>
          <w:rFonts w:ascii="Arial" w:cs="Arial" w:eastAsia="Arial" w:hAnsi="Arial"/>
          <w:sz w:val="22"/>
          <w:szCs w:val="22"/>
          <w:color w:val="auto"/>
        </w:rPr>
        <w:t>Toro and its Subsidiaries have filed all Federal, state and other material tax returns and reports required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625" w:right="239" w:bottom="1440" w:gutter="0" w:footer="0" w:header="0"/>
        </w:sectPr>
      </w:pPr>
    </w:p>
    <w:bookmarkStart w:id="92" w:name="page93"/>
    <w:bookmarkEnd w:id="92"/>
    <w:p>
      <w:pPr>
        <w:spacing w:after="0" w:line="263" w:lineRule="auto"/>
        <w:rPr>
          <w:sz w:val="20"/>
          <w:szCs w:val="20"/>
          <w:color w:val="auto"/>
        </w:rPr>
      </w:pPr>
      <w:r>
        <w:rPr>
          <w:rFonts w:ascii="Arial" w:cs="Arial" w:eastAsia="Arial" w:hAnsi="Arial"/>
          <w:sz w:val="22"/>
          <w:szCs w:val="22"/>
          <w:color w:val="auto"/>
        </w:rPr>
        <w:t>Borrower or any Subsidiary that would, if made, have a Material Adverse Effect. Neither any Borrower nor any Subsidiary thereof is party to any tax sharing agreement.</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5.12</w:t>
      </w:r>
      <w:r>
        <w:rPr>
          <w:sz w:val="20"/>
          <w:szCs w:val="20"/>
          <w:color w:val="auto"/>
        </w:rPr>
        <w:tab/>
      </w:r>
      <w:r>
        <w:rPr>
          <w:rFonts w:ascii="Arial" w:cs="Arial" w:eastAsia="Arial" w:hAnsi="Arial"/>
          <w:sz w:val="19"/>
          <w:szCs w:val="19"/>
          <w:b w:val="1"/>
          <w:bCs w:val="1"/>
          <w:color w:val="auto"/>
        </w:rPr>
        <w:t>ERISA Compliance.</w:t>
      </w:r>
    </w:p>
    <w:p>
      <w:pPr>
        <w:spacing w:after="0" w:line="226" w:lineRule="exact"/>
        <w:rPr>
          <w:sz w:val="20"/>
          <w:szCs w:val="20"/>
          <w:color w:val="auto"/>
        </w:rPr>
      </w:pPr>
    </w:p>
    <w:p>
      <w:pPr>
        <w:jc w:val="both"/>
        <w:ind w:firstLine="656"/>
        <w:spacing w:after="0" w:line="261" w:lineRule="auto"/>
        <w:tabs>
          <w:tab w:leader="none" w:pos="1536" w:val="left"/>
        </w:tabs>
        <w:numPr>
          <w:ilvl w:val="1"/>
          <w:numId w:val="107"/>
        </w:numPr>
        <w:rPr>
          <w:rFonts w:ascii="Arial" w:cs="Arial" w:eastAsia="Arial" w:hAnsi="Arial"/>
          <w:sz w:val="21"/>
          <w:szCs w:val="21"/>
          <w:color w:val="auto"/>
        </w:rPr>
      </w:pPr>
      <w:r>
        <w:rPr>
          <w:rFonts w:ascii="Arial" w:cs="Arial" w:eastAsia="Arial" w:hAnsi="Arial"/>
          <w:sz w:val="21"/>
          <w:szCs w:val="21"/>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Borrowers, nothing has occurred that would prevent or cause the loss of such tax-qualified status.</w:t>
      </w:r>
    </w:p>
    <w:p>
      <w:pPr>
        <w:spacing w:after="0" w:line="180" w:lineRule="exact"/>
        <w:rPr>
          <w:rFonts w:ascii="Arial" w:cs="Arial" w:eastAsia="Arial" w:hAnsi="Arial"/>
          <w:sz w:val="21"/>
          <w:szCs w:val="21"/>
          <w:color w:val="auto"/>
        </w:rPr>
      </w:pPr>
    </w:p>
    <w:p>
      <w:pPr>
        <w:jc w:val="both"/>
        <w:ind w:firstLine="656"/>
        <w:spacing w:after="0" w:line="265" w:lineRule="auto"/>
        <w:tabs>
          <w:tab w:leader="none" w:pos="1549" w:val="left"/>
        </w:tabs>
        <w:numPr>
          <w:ilvl w:val="1"/>
          <w:numId w:val="107"/>
        </w:numPr>
        <w:rPr>
          <w:rFonts w:ascii="Arial" w:cs="Arial" w:eastAsia="Arial" w:hAnsi="Arial"/>
          <w:sz w:val="21"/>
          <w:szCs w:val="21"/>
          <w:color w:val="auto"/>
        </w:rPr>
      </w:pPr>
      <w:r>
        <w:rPr>
          <w:rFonts w:ascii="Arial" w:cs="Arial" w:eastAsia="Arial" w:hAnsi="Arial"/>
          <w:sz w:val="21"/>
          <w:szCs w:val="21"/>
          <w:color w:val="auto"/>
        </w:rPr>
        <w:t>There are no pending or, to the best knowledge of each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5" w:lineRule="exact"/>
        <w:rPr>
          <w:rFonts w:ascii="Arial" w:cs="Arial" w:eastAsia="Arial" w:hAnsi="Arial"/>
          <w:sz w:val="21"/>
          <w:szCs w:val="21"/>
          <w:color w:val="auto"/>
        </w:rPr>
      </w:pPr>
    </w:p>
    <w:p>
      <w:pPr>
        <w:jc w:val="both"/>
        <w:ind w:firstLine="656"/>
        <w:spacing w:after="0" w:line="286" w:lineRule="auto"/>
        <w:tabs>
          <w:tab w:leader="none" w:pos="153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(i) No ERISA Event has occurred, and neither any Borrower nor any ERISA Affiliate is aware of any fact, event or circumstance that could reasonably be expected to constitute or result in an ERISA Event with respect to any Pension Plan; (ii) each Borrower and each ERISA Affiliate has met all applicable requirements under the Pension Funding Rules in respect of each Pension Plan, and no waiver of the minimum funding standards under the Pension Funding Rules has been applied for or obtained;</w:t>
      </w:r>
    </w:p>
    <w:p>
      <w:pPr>
        <w:spacing w:after="0" w:line="2" w:lineRule="exact"/>
        <w:rPr>
          <w:rFonts w:ascii="Arial" w:cs="Arial" w:eastAsia="Arial" w:hAnsi="Arial"/>
          <w:sz w:val="19"/>
          <w:szCs w:val="19"/>
          <w:color w:val="auto"/>
        </w:rPr>
      </w:pPr>
    </w:p>
    <w:p>
      <w:pPr>
        <w:jc w:val="both"/>
        <w:ind w:firstLine="8"/>
        <w:spacing w:after="0" w:line="290" w:lineRule="auto"/>
        <w:tabs>
          <w:tab w:leader="none" w:pos="40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as of the most recent valuation date for any Pension Plan, the funding target attainment percentage (as defined in Section 430(d)(2) of the Code) is 60% or higher and neither any Borrower nor any ERISA Affiliate knows of any facts or circumstances that could reasonably be expected to cause the funding target attainment percentage for any such plan to drop below 60% as of the most recent valuation date; (iv) neither any Borrower nor any ERISA Affiliate has incurred any liability to the PBGC other than for the payment of premiums, and there are no premium payments which have become due that are unpaid; and (v) neither any Borrower nor any ERISA Affiliate has engaged in a transaction that could be subject to Section 4069 or Section 4212(c) of ERISA.</w:t>
      </w:r>
    </w:p>
    <w:p>
      <w:pPr>
        <w:spacing w:after="0" w:line="153" w:lineRule="exact"/>
        <w:rPr>
          <w:rFonts w:ascii="Arial" w:cs="Arial" w:eastAsia="Arial" w:hAnsi="Arial"/>
          <w:sz w:val="19"/>
          <w:szCs w:val="19"/>
          <w:color w:val="auto"/>
        </w:rPr>
      </w:pPr>
    </w:p>
    <w:p>
      <w:pPr>
        <w:jc w:val="both"/>
        <w:ind w:firstLine="656"/>
        <w:spacing w:after="0" w:line="247" w:lineRule="auto"/>
        <w:tabs>
          <w:tab w:leader="none" w:pos="1549"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Toro Luxembourg represents and warrants as of the Closing Date that it is not nor will not be using “plan assets” (within the meaning of 29 CFR § 2510.3-101, as modified by Section 3(42) of ERISA) of one or more Benefit Plans in connection with the Loans, the Letters of Credit or the Commitments. “</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(i) an “employee benefit plan” (as defined in ERISA) that is subject to Title I of ERISA, (ii) a “plan” as defined in Section 4975 of the Code or (iii) any Person whose assets include (for purposes of ERISA Section 3(42) or otherwise for purposes of Title I of ERISA or Section 4975 of the Code) the assets of any such “employee benefit plan” or “plan”.</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5.13 Subsidiaries; Equity Interests. </w:t>
      </w:r>
      <w:r>
        <w:rPr>
          <w:rFonts w:ascii="Arial" w:cs="Arial" w:eastAsia="Arial" w:hAnsi="Arial"/>
          <w:sz w:val="22"/>
          <w:szCs w:val="22"/>
          <w:color w:val="auto"/>
        </w:rPr>
        <w:t>As of the Closing Date, the Borrowers have no Subsidiaries other than those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specifically disclosed in </w:t>
      </w:r>
      <w:r>
        <w:rPr>
          <w:rFonts w:ascii="Arial" w:cs="Arial" w:eastAsia="Arial" w:hAnsi="Arial"/>
          <w:sz w:val="22"/>
          <w:szCs w:val="22"/>
          <w:u w:val="single" w:color="auto"/>
          <w:color w:val="auto"/>
        </w:rPr>
        <w:t>Part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5.13</w:t>
      </w:r>
      <w:r>
        <w:rPr>
          <w:rFonts w:ascii="Arial" w:cs="Arial" w:eastAsia="Arial" w:hAnsi="Arial"/>
          <w:sz w:val="22"/>
          <w:szCs w:val="22"/>
          <w:color w:val="auto"/>
        </w:rPr>
        <w:t>, and all of the outstanding Equity Interests in such Material Subsidiaries have been validly issued, are fully paid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631" w:right="239" w:bottom="1440" w:gutter="0" w:footer="0" w:header="0"/>
        </w:sectPr>
      </w:pPr>
    </w:p>
    <w:bookmarkStart w:id="93" w:name="page94"/>
    <w:bookmarkEnd w:id="93"/>
    <w:p>
      <w:pPr>
        <w:jc w:val="both"/>
        <w:spacing w:after="0" w:line="271" w:lineRule="auto"/>
        <w:rPr>
          <w:sz w:val="20"/>
          <w:szCs w:val="20"/>
          <w:color w:val="auto"/>
        </w:rPr>
      </w:pPr>
      <w:r>
        <w:rPr>
          <w:rFonts w:ascii="Arial" w:cs="Arial" w:eastAsia="Arial" w:hAnsi="Arial"/>
          <w:sz w:val="21"/>
          <w:szCs w:val="21"/>
          <w:color w:val="auto"/>
        </w:rPr>
        <w:t xml:space="preserve">and nonassessable and are owned directly or indirectly by a Loan Party (other than directors’ qualifying shares required by law) in the amounts specified on Part (a) of </w:t>
      </w:r>
      <w:r>
        <w:rPr>
          <w:rFonts w:ascii="Arial" w:cs="Arial" w:eastAsia="Arial" w:hAnsi="Arial"/>
          <w:sz w:val="21"/>
          <w:szCs w:val="21"/>
          <w:u w:val="single" w:color="auto"/>
          <w:color w:val="auto"/>
        </w:rPr>
        <w:t>Schedule 5.13</w:t>
      </w:r>
      <w:r>
        <w:rPr>
          <w:rFonts w:ascii="Arial" w:cs="Arial" w:eastAsia="Arial" w:hAnsi="Arial"/>
          <w:sz w:val="21"/>
          <w:szCs w:val="21"/>
          <w:color w:val="auto"/>
        </w:rPr>
        <w:t xml:space="preserve"> free and clear of all Liens. As of the Closing Date, Toro has no equity investments in any other corporation or entity other than those specifically disclosed in </w:t>
      </w:r>
      <w:r>
        <w:rPr>
          <w:rFonts w:ascii="Arial" w:cs="Arial" w:eastAsia="Arial" w:hAnsi="Arial"/>
          <w:sz w:val="21"/>
          <w:szCs w:val="21"/>
          <w:u w:val="single" w:color="auto"/>
          <w:color w:val="auto"/>
        </w:rPr>
        <w:t>Part (b)</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Schedule 5.13</w:t>
      </w:r>
      <w:r>
        <w:rPr>
          <w:rFonts w:ascii="Arial" w:cs="Arial" w:eastAsia="Arial" w:hAnsi="Arial"/>
          <w:sz w:val="21"/>
          <w:szCs w:val="21"/>
          <w:color w:val="auto"/>
        </w:rPr>
        <w:t>.</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5.14</w:t>
      </w:r>
      <w:r>
        <w:rPr>
          <w:sz w:val="20"/>
          <w:szCs w:val="20"/>
          <w:color w:val="auto"/>
        </w:rPr>
        <w:tab/>
      </w:r>
      <w:r>
        <w:rPr>
          <w:rFonts w:ascii="Arial" w:cs="Arial" w:eastAsia="Arial" w:hAnsi="Arial"/>
          <w:sz w:val="19"/>
          <w:szCs w:val="19"/>
          <w:b w:val="1"/>
          <w:bCs w:val="1"/>
          <w:color w:val="auto"/>
        </w:rPr>
        <w:t>Margin Regulations; Investment Company Act.</w:t>
      </w:r>
    </w:p>
    <w:p>
      <w:pPr>
        <w:spacing w:after="0" w:line="226" w:lineRule="exact"/>
        <w:rPr>
          <w:sz w:val="20"/>
          <w:szCs w:val="20"/>
          <w:color w:val="auto"/>
        </w:rPr>
      </w:pPr>
    </w:p>
    <w:p>
      <w:pPr>
        <w:jc w:val="both"/>
        <w:ind w:firstLine="656"/>
        <w:spacing w:after="0" w:line="294" w:lineRule="auto"/>
        <w:tabs>
          <w:tab w:leader="none" w:pos="153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applicable Borrower only or of Toro and its Subsidiaries on a consolidated basis) subject to the provisions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or subject to any restriction contained in any agreement or instrument between any Borrower and any Lender or any Affiliate of any Lender relating to Indebtedness will be margin stock.</w:t>
      </w:r>
    </w:p>
    <w:p>
      <w:pPr>
        <w:spacing w:after="0" w:line="149" w:lineRule="exact"/>
        <w:rPr>
          <w:rFonts w:ascii="Arial" w:cs="Arial" w:eastAsia="Arial" w:hAnsi="Arial"/>
          <w:sz w:val="19"/>
          <w:szCs w:val="19"/>
          <w:color w:val="auto"/>
        </w:rPr>
      </w:pPr>
    </w:p>
    <w:p>
      <w:pPr>
        <w:ind w:firstLine="656"/>
        <w:spacing w:after="0" w:line="263" w:lineRule="auto"/>
        <w:tabs>
          <w:tab w:leader="none" w:pos="154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None of the Borrowers, any Person Controlling any Borrower, or any Subsidiary is or is required to be registered as an “investment company” under the Investment Company Act of 1940.</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5.15 Copyrights, Patents, Trademarks and Licenses, Etc. </w:t>
      </w:r>
      <w:r>
        <w:rPr>
          <w:rFonts w:ascii="Arial" w:cs="Arial" w:eastAsia="Arial" w:hAnsi="Arial"/>
          <w:sz w:val="21"/>
          <w:szCs w:val="21"/>
          <w:color w:val="auto"/>
        </w:rPr>
        <w:t>Each of the Borrowers and their Subsidiaries own or are</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or otherwise have the right to use all of the patents, trademarks, service marks, trade names, copyrights, contractual franchises, authorizations and other rights that are reasonably necessary in the best business judgment of the Borrowers for the operation of their respective businesses, without conflict with the rights of any other Person which could reasonably be expected to have a Material Adverse Effect. To the best knowledge of the Borrowers, as of the date hereof, no slogan or other advertising device, product, process, method, substance, part or other material now employed, or now contemplated to be employed, by the Borrowers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Borrowers, proposed, which, in any case, could reasonably be expected to have a Material Adverse Effect.</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5.16 Disclosure. </w:t>
      </w:r>
      <w:r>
        <w:rPr>
          <w:rFonts w:ascii="Arial" w:cs="Arial" w:eastAsia="Arial" w:hAnsi="Arial"/>
          <w:sz w:val="19"/>
          <w:szCs w:val="19"/>
          <w:color w:val="auto"/>
        </w:rPr>
        <w:t>Each Borrower has disclosed to the Administrative Agent and the Lenders all agreements, instruments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Toro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631" w:right="239" w:bottom="1440" w:gutter="0" w:footer="0" w:header="0"/>
        </w:sectPr>
      </w:pPr>
    </w:p>
    <w:bookmarkStart w:id="94" w:name="page95"/>
    <w:bookmarkEnd w:id="94"/>
    <w:p>
      <w:pPr>
        <w:spacing w:after="0"/>
        <w:rPr>
          <w:sz w:val="20"/>
          <w:szCs w:val="20"/>
          <w:color w:val="auto"/>
        </w:rPr>
      </w:pPr>
      <w:r>
        <w:rPr>
          <w:rFonts w:ascii="Arial" w:cs="Arial" w:eastAsia="Arial" w:hAnsi="Arial"/>
          <w:sz w:val="19"/>
          <w:szCs w:val="19"/>
          <w:color w:val="auto"/>
        </w:rPr>
        <w:t>represents only that such information was prepared in good faith based upon assumptions believed to be reasonable at the time.</w:t>
      </w:r>
    </w:p>
    <w:p>
      <w:pPr>
        <w:spacing w:after="0" w:line="2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5.17 Compliance with Laws. </w:t>
      </w:r>
      <w:r>
        <w:rPr>
          <w:rFonts w:ascii="Arial" w:cs="Arial" w:eastAsia="Arial" w:hAnsi="Arial"/>
          <w:sz w:val="22"/>
          <w:szCs w:val="22"/>
          <w:color w:val="auto"/>
        </w:rPr>
        <w:t>Each of the Borrowers and each Subsidiary thereof is in compliance in all material respects</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5.18</w:t>
      </w:r>
      <w:r>
        <w:rPr>
          <w:sz w:val="20"/>
          <w:szCs w:val="20"/>
          <w:color w:val="auto"/>
        </w:rPr>
        <w:tab/>
      </w:r>
      <w:r>
        <w:rPr>
          <w:rFonts w:ascii="Arial" w:cs="Arial" w:eastAsia="Arial" w:hAnsi="Arial"/>
          <w:sz w:val="19"/>
          <w:szCs w:val="19"/>
          <w:b w:val="1"/>
          <w:bCs w:val="1"/>
          <w:color w:val="auto"/>
        </w:rPr>
        <w:t xml:space="preserve">Representations as to Foreign Obligors. </w:t>
      </w:r>
      <w:r>
        <w:rPr>
          <w:rFonts w:ascii="Arial" w:cs="Arial" w:eastAsia="Arial" w:hAnsi="Arial"/>
          <w:sz w:val="19"/>
          <w:szCs w:val="19"/>
          <w:color w:val="auto"/>
        </w:rPr>
        <w:t>Each of Toro and each Foreign Obligor represents and warrants to the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the Lenders that:</w:t>
      </w:r>
    </w:p>
    <w:p>
      <w:pPr>
        <w:spacing w:after="0" w:line="202" w:lineRule="exact"/>
        <w:rPr>
          <w:sz w:val="20"/>
          <w:szCs w:val="20"/>
          <w:color w:val="auto"/>
        </w:rPr>
      </w:pPr>
    </w:p>
    <w:p>
      <w:pPr>
        <w:jc w:val="both"/>
        <w:ind w:firstLine="656"/>
        <w:spacing w:after="0" w:line="246" w:lineRule="auto"/>
        <w:tabs>
          <w:tab w:leader="none" w:pos="1536" w:val="left"/>
        </w:tabs>
        <w:numPr>
          <w:ilvl w:val="1"/>
          <w:numId w:val="110"/>
        </w:numPr>
        <w:rPr>
          <w:rFonts w:ascii="Arial" w:cs="Arial" w:eastAsia="Arial" w:hAnsi="Arial"/>
          <w:sz w:val="22"/>
          <w:szCs w:val="22"/>
          <w:color w:val="auto"/>
        </w:rPr>
      </w:pPr>
      <w:r>
        <w:rPr>
          <w:rFonts w:ascii="Arial" w:cs="Arial" w:eastAsia="Arial" w:hAnsi="Arial"/>
          <w:sz w:val="22"/>
          <w:szCs w:val="22"/>
          <w:color w:val="auto"/>
        </w:rPr>
        <w:t>Such Foreign Obligor is subject to civil and commercial Laws with respect to its obligations under this Agreement and the other Loan Documents to which it is a party (collectively as to such Foreign Obligor, the “</w:t>
      </w:r>
      <w:r>
        <w:rPr>
          <w:rFonts w:ascii="Arial" w:cs="Arial" w:eastAsia="Arial" w:hAnsi="Arial"/>
          <w:sz w:val="22"/>
          <w:szCs w:val="22"/>
          <w:u w:val="single" w:color="auto"/>
          <w:color w:val="auto"/>
        </w:rPr>
        <w:t>Applicable Foreign</w:t>
      </w:r>
      <w:r>
        <w:rPr>
          <w:rFonts w:ascii="Arial" w:cs="Arial" w:eastAsia="Arial" w:hAnsi="Arial"/>
          <w:sz w:val="22"/>
          <w:szCs w:val="22"/>
          <w:color w:val="auto"/>
        </w:rPr>
        <w:t xml:space="preserve"> </w:t>
      </w:r>
      <w:r>
        <w:rPr>
          <w:rFonts w:ascii="Arial" w:cs="Arial" w:eastAsia="Arial" w:hAnsi="Arial"/>
          <w:sz w:val="22"/>
          <w:szCs w:val="22"/>
          <w:u w:val="single" w:color="auto"/>
          <w:color w:val="auto"/>
        </w:rPr>
        <w:t>Obligor Documents</w:t>
      </w:r>
      <w:r>
        <w:rPr>
          <w:rFonts w:ascii="Arial" w:cs="Arial" w:eastAsia="Arial" w:hAnsi="Arial"/>
          <w:sz w:val="22"/>
          <w:szCs w:val="22"/>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94" w:lineRule="exact"/>
        <w:rPr>
          <w:rFonts w:ascii="Arial" w:cs="Arial" w:eastAsia="Arial" w:hAnsi="Arial"/>
          <w:sz w:val="22"/>
          <w:szCs w:val="22"/>
          <w:color w:val="auto"/>
        </w:rPr>
      </w:pPr>
    </w:p>
    <w:p>
      <w:pPr>
        <w:jc w:val="both"/>
        <w:ind w:firstLine="656"/>
        <w:spacing w:after="0" w:line="284" w:lineRule="auto"/>
        <w:tabs>
          <w:tab w:leader="none" w:pos="1549"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w:t>
      </w:r>
    </w:p>
    <w:p>
      <w:pPr>
        <w:jc w:val="both"/>
        <w:ind w:firstLine="8"/>
        <w:spacing w:after="0" w:line="295" w:lineRule="auto"/>
        <w:tabs>
          <w:tab w:leader="none" w:pos="343"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any charge or tax as has been timely paid and (iii) with respect to the admissibility of documents in evidence in the Grand Duchy of Luxembourg, the registration of the Agreement with the </w:t>
      </w:r>
      <w:r>
        <w:rPr>
          <w:rFonts w:ascii="Arial" w:cs="Arial" w:eastAsia="Arial" w:hAnsi="Arial"/>
          <w:sz w:val="19"/>
          <w:szCs w:val="19"/>
          <w:i w:val="1"/>
          <w:iCs w:val="1"/>
          <w:color w:val="auto"/>
        </w:rPr>
        <w:t>Administration de l'Enregistrement et des Domaines</w:t>
      </w:r>
      <w:r>
        <w:rPr>
          <w:rFonts w:ascii="Arial" w:cs="Arial" w:eastAsia="Arial" w:hAnsi="Arial"/>
          <w:sz w:val="19"/>
          <w:szCs w:val="19"/>
          <w:color w:val="auto"/>
        </w:rPr>
        <w:t xml:space="preserve"> in the Grand Duchy of Luxembourg which might be required in the case of legal proceedings being brought before the Luxembourg courts in order for the Applicable Foreign Obligor Documents to be admissible in evidence in the Grand Duchy of Luxembourg.</w:t>
      </w:r>
    </w:p>
    <w:p>
      <w:pPr>
        <w:spacing w:after="0" w:line="150" w:lineRule="exact"/>
        <w:rPr>
          <w:rFonts w:ascii="Arial" w:cs="Arial" w:eastAsia="Arial" w:hAnsi="Arial"/>
          <w:sz w:val="19"/>
          <w:szCs w:val="19"/>
          <w:color w:val="auto"/>
        </w:rPr>
      </w:pPr>
    </w:p>
    <w:p>
      <w:pPr>
        <w:jc w:val="both"/>
        <w:ind w:firstLine="656"/>
        <w:spacing w:after="0" w:line="253" w:lineRule="auto"/>
        <w:tabs>
          <w:tab w:leader="none" w:pos="1536"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631" w:right="239" w:bottom="1440" w:gutter="0" w:footer="0" w:header="0"/>
        </w:sectPr>
      </w:pPr>
    </w:p>
    <w:bookmarkStart w:id="95" w:name="page96"/>
    <w:bookmarkEnd w:id="95"/>
    <w:p>
      <w:pPr>
        <w:jc w:val="both"/>
        <w:spacing w:after="0" w:line="260" w:lineRule="auto"/>
        <w:rPr>
          <w:sz w:val="20"/>
          <w:szCs w:val="20"/>
          <w:color w:val="auto"/>
        </w:rPr>
      </w:pPr>
      <w:r>
        <w:rPr>
          <w:rFonts w:ascii="Arial" w:cs="Arial" w:eastAsia="Arial" w:hAnsi="Arial"/>
          <w:sz w:val="21"/>
          <w:szCs w:val="21"/>
          <w:color w:val="auto"/>
        </w:rPr>
        <w:t xml:space="preserve">the execution or delivery of the Applicable Foreign Obligor Documents or (ii) on any payment to be made by such Foreign Obligor pursuant to the Applicable Foreign Obligor Documents, except (x) with respect to Toro Luxembourg, the registration of the Agreement with the </w:t>
      </w:r>
      <w:r>
        <w:rPr>
          <w:rFonts w:ascii="Arial" w:cs="Arial" w:eastAsia="Arial" w:hAnsi="Arial"/>
          <w:sz w:val="21"/>
          <w:szCs w:val="21"/>
          <w:i w:val="1"/>
          <w:iCs w:val="1"/>
          <w:color w:val="auto"/>
        </w:rPr>
        <w:t>Administration de l'Enregistrement et des Domaines</w:t>
      </w:r>
      <w:r>
        <w:rPr>
          <w:rFonts w:ascii="Arial" w:cs="Arial" w:eastAsia="Arial" w:hAnsi="Arial"/>
          <w:sz w:val="21"/>
          <w:szCs w:val="21"/>
          <w:color w:val="auto"/>
        </w:rPr>
        <w:t xml:space="preserve"> in the Grand Duchy of Luxembourg as may be required in the case of legal proceedings being brought before the Luxembourg courts or, in the case that the Agreement must be produced before an official Luxembourg authority or, in the case that the Agreement is referred to in a public deed, in which case either a nominal registration duty or an </w:t>
      </w:r>
      <w:r>
        <w:rPr>
          <w:rFonts w:ascii="Arial" w:cs="Arial" w:eastAsia="Arial" w:hAnsi="Arial"/>
          <w:sz w:val="21"/>
          <w:szCs w:val="21"/>
          <w:i w:val="1"/>
          <w:iCs w:val="1"/>
          <w:color w:val="auto"/>
        </w:rPr>
        <w:t>ad valorem</w:t>
      </w:r>
      <w:r>
        <w:rPr>
          <w:rFonts w:ascii="Arial" w:cs="Arial" w:eastAsia="Arial" w:hAnsi="Arial"/>
          <w:sz w:val="21"/>
          <w:szCs w:val="21"/>
          <w:color w:val="auto"/>
        </w:rPr>
        <w:t xml:space="preserve"> duty will be payable depending on the nature of the document to be registered, or (y) as has been disclosed to the Administrative Agent.</w:t>
      </w:r>
    </w:p>
    <w:p>
      <w:pPr>
        <w:spacing w:after="0" w:line="181" w:lineRule="exact"/>
        <w:rPr>
          <w:sz w:val="20"/>
          <w:szCs w:val="20"/>
          <w:color w:val="auto"/>
        </w:rPr>
      </w:pPr>
    </w:p>
    <w:p>
      <w:pPr>
        <w:jc w:val="both"/>
        <w:ind w:firstLine="656"/>
        <w:spacing w:after="0" w:line="248" w:lineRule="auto"/>
        <w:tabs>
          <w:tab w:leader="none" w:pos="154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notification or authorization described in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shall be made or obtained as soon as is reasonably practicable).</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5.19 Taxpayer Identification Number; Other Identifying Information. </w:t>
      </w:r>
      <w:r>
        <w:rPr>
          <w:rFonts w:ascii="Arial" w:cs="Arial" w:eastAsia="Arial" w:hAnsi="Arial"/>
          <w:sz w:val="22"/>
          <w:szCs w:val="22"/>
          <w:color w:val="auto"/>
        </w:rPr>
        <w:t>The true and correct U.S. taxpayer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identification number of each Borrower that is not a Foreign Obligor is set forth on </w:t>
      </w:r>
      <w:r>
        <w:rPr>
          <w:rFonts w:ascii="Arial" w:cs="Arial" w:eastAsia="Arial" w:hAnsi="Arial"/>
          <w:sz w:val="22"/>
          <w:szCs w:val="22"/>
          <w:u w:val="single" w:color="auto"/>
          <w:color w:val="auto"/>
        </w:rPr>
        <w:t>Schedule 11.02</w:t>
      </w:r>
      <w:r>
        <w:rPr>
          <w:rFonts w:ascii="Arial" w:cs="Arial" w:eastAsia="Arial" w:hAnsi="Arial"/>
          <w:sz w:val="22"/>
          <w:szCs w:val="22"/>
          <w:color w:val="auto"/>
        </w:rPr>
        <w:t xml:space="preserve">. The true and correct unique identification number of each Foreign Obligor that is a party hereto on the Closing Date that has been issued by its jurisdiction of organization and the name of such jurisdiction are set forth on </w:t>
      </w:r>
      <w:r>
        <w:rPr>
          <w:rFonts w:ascii="Arial" w:cs="Arial" w:eastAsia="Arial" w:hAnsi="Arial"/>
          <w:sz w:val="22"/>
          <w:szCs w:val="22"/>
          <w:u w:val="single" w:color="auto"/>
          <w:color w:val="auto"/>
        </w:rPr>
        <w:t>Schedule 5.19</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5.20 OFAC</w:t>
      </w:r>
      <w:r>
        <w:rPr>
          <w:rFonts w:ascii="Arial" w:cs="Arial" w:eastAsia="Arial" w:hAnsi="Arial"/>
          <w:sz w:val="21"/>
          <w:szCs w:val="21"/>
          <w:color w:val="auto"/>
        </w:rPr>
        <w:t>. Neither any Borrower, nor any of its Subsidiaries, nor, to the knowledge of any Borrower and its</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any director, officer, employee, agent, affiliate or representative thereof, is an individual or entity currently the subject of any Sanctions, nor is any Borrower or any Subsidiary located, organized or resident in a Designated Jurisdiction.</w:t>
      </w:r>
    </w:p>
    <w:p>
      <w:pPr>
        <w:spacing w:after="0" w:line="15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5.21 Anti-Corruption Laws. </w:t>
      </w:r>
      <w:r>
        <w:rPr>
          <w:rFonts w:ascii="Arial" w:cs="Arial" w:eastAsia="Arial" w:hAnsi="Arial"/>
          <w:sz w:val="21"/>
          <w:szCs w:val="21"/>
          <w:color w:val="auto"/>
        </w:rPr>
        <w:t>Each of the Borrowers and each Subsidiary, to the knowledge of any Borrower and its</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have used reasonable efforts to conduct their businesses in compliance with applicable anti-corruption laws, and have instituted and maintained policies and procedures designed to promote and achieve compliance with such laws.</w:t>
      </w:r>
    </w:p>
    <w:p>
      <w:pPr>
        <w:spacing w:after="0" w:line="15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5.22 Beneficial Ownership</w:t>
      </w:r>
      <w:r>
        <w:rPr>
          <w:rFonts w:ascii="Arial" w:cs="Arial" w:eastAsia="Arial" w:hAnsi="Arial"/>
          <w:sz w:val="19"/>
          <w:szCs w:val="19"/>
          <w:color w:val="auto"/>
        </w:rPr>
        <w:t>. The information included in the Beneficial Ownership Certification, if applicable,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by each Borrower on or prior to the Closing Date, as updated from time to time in accordance with this Agreement, is true, complete and correct in all respects as of the Closing Date and as of the date any such update is delivered.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AFFIRMATIVE COVENANTS</w:t>
      </w:r>
    </w:p>
    <w:p>
      <w:pPr>
        <w:spacing w:after="0" w:line="20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So long as any Lender shall have any Commitment hereunder, any Loan or other Obligation hereunder shall remain unpaid or unsatisfied, or any Letter of Credit shall remain outstanding, Toro shall, and shall (except in the case of the covenants set forth in </w:t>
      </w:r>
      <w:r>
        <w:rPr>
          <w:rFonts w:ascii="Arial" w:cs="Arial" w:eastAsia="Arial" w:hAnsi="Arial"/>
          <w:sz w:val="22"/>
          <w:szCs w:val="22"/>
          <w:u w:val="single" w:color="auto"/>
          <w:color w:val="auto"/>
        </w:rPr>
        <w:t>Sections 6.01</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6.03</w:t>
      </w:r>
      <w:r>
        <w:rPr>
          <w:rFonts w:ascii="Arial" w:cs="Arial" w:eastAsia="Arial" w:hAnsi="Arial"/>
          <w:sz w:val="22"/>
          <w:szCs w:val="22"/>
          <w:color w:val="auto"/>
        </w:rPr>
        <w:t>) cause each Subsidiary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631" w:right="239" w:bottom="1440" w:gutter="0" w:footer="0" w:header="0"/>
        </w:sectPr>
      </w:pPr>
    </w:p>
    <w:bookmarkStart w:id="96" w:name="page97"/>
    <w:bookmarkEnd w:id="96"/>
    <w:p>
      <w:pPr>
        <w:ind w:left="660"/>
        <w:spacing w:after="0"/>
        <w:tabs>
          <w:tab w:leader="none" w:pos="128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Deliver to the Administrative Agent and each Lender, in form and detail satisfactory to the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the Required Lenders:</w:t>
      </w:r>
    </w:p>
    <w:p>
      <w:pPr>
        <w:spacing w:after="0" w:line="202" w:lineRule="exact"/>
        <w:rPr>
          <w:sz w:val="20"/>
          <w:szCs w:val="20"/>
          <w:color w:val="auto"/>
        </w:rPr>
      </w:pPr>
    </w:p>
    <w:p>
      <w:pPr>
        <w:jc w:val="both"/>
        <w:ind w:firstLine="656"/>
        <w:spacing w:after="0" w:line="259" w:lineRule="auto"/>
        <w:tabs>
          <w:tab w:leader="none" w:pos="153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as soon as available, but in any event within 120 days after the end of each fiscal year of Toro, a consolidated balance sheet of Toro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84" w:lineRule="exact"/>
        <w:rPr>
          <w:rFonts w:ascii="Arial" w:cs="Arial" w:eastAsia="Arial" w:hAnsi="Arial"/>
          <w:sz w:val="21"/>
          <w:szCs w:val="21"/>
          <w:color w:val="auto"/>
        </w:rPr>
      </w:pPr>
    </w:p>
    <w:p>
      <w:pPr>
        <w:jc w:val="both"/>
        <w:ind w:firstLine="656"/>
        <w:spacing w:after="0" w:line="259" w:lineRule="auto"/>
        <w:tabs>
          <w:tab w:leader="none" w:pos="1549"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as soon as available, but in any event within 50 days after the end of each of the first three fiscal quarters of each fiscal year of Toro, a consolidated balance sheet of Toro and its Subsidiaries as at the end of such fiscal quarter, and the related consolidated statements of income or operations, stockholders’ equity and cash flows for such fiscal quarter and for the portion of Toro’s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a Responsible Officer of Toro as fairly presenting the financial condition, results of operations, stockholders’ equity and cash flows of Toro and its Subsidiaries in accordance with GAAP, subject only to normal year-end audit adjustments and the absence of footnotes.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As to any information contained in materials furnished pursuant to </w:t>
      </w:r>
      <w:r>
        <w:rPr>
          <w:rFonts w:ascii="Arial" w:cs="Arial" w:eastAsia="Arial" w:hAnsi="Arial"/>
          <w:sz w:val="21"/>
          <w:szCs w:val="21"/>
          <w:u w:val="single" w:color="auto"/>
          <w:color w:val="auto"/>
        </w:rPr>
        <w:t>Section 6.02(c)</w:t>
      </w:r>
      <w:r>
        <w:rPr>
          <w:rFonts w:ascii="Arial" w:cs="Arial" w:eastAsia="Arial" w:hAnsi="Arial"/>
          <w:sz w:val="21"/>
          <w:szCs w:val="21"/>
          <w:color w:val="auto"/>
        </w:rPr>
        <w:t xml:space="preserve">, Toro shall not be separately required to furnish such information under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but the foregoing shall not be in derogation of the obligation of Toro to furnish the information and materials described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at the times specified therein.</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6.02 Certificates; Other Information. </w:t>
      </w:r>
      <w:r>
        <w:rPr>
          <w:rFonts w:ascii="Arial" w:cs="Arial" w:eastAsia="Arial" w:hAnsi="Arial"/>
          <w:sz w:val="22"/>
          <w:szCs w:val="22"/>
          <w:color w:val="auto"/>
        </w:rPr>
        <w:t>Deliver to the Administrative Agent and each Lender, in form and detail</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Administrative Agent and the Required Lenders:</w:t>
      </w:r>
    </w:p>
    <w:p>
      <w:pPr>
        <w:spacing w:after="0" w:line="168" w:lineRule="exact"/>
        <w:rPr>
          <w:sz w:val="20"/>
          <w:szCs w:val="20"/>
          <w:color w:val="auto"/>
        </w:rPr>
      </w:pPr>
    </w:p>
    <w:p>
      <w:pPr>
        <w:ind w:firstLine="656"/>
        <w:spacing w:after="0" w:line="263" w:lineRule="auto"/>
        <w:tabs>
          <w:tab w:leader="none" w:pos="153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concurrently with the delivery of the financial statements referred to in </w:t>
      </w:r>
      <w:r>
        <w:rPr>
          <w:rFonts w:ascii="Arial" w:cs="Arial" w:eastAsia="Arial" w:hAnsi="Arial"/>
          <w:sz w:val="22"/>
          <w:szCs w:val="22"/>
          <w:u w:val="single" w:color="auto"/>
          <w:color w:val="auto"/>
        </w:rPr>
        <w:t>Sections 6.01(a)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a duly completed Compliance Certificate signed by a Responsible Officer of Toro;</w:t>
      </w:r>
    </w:p>
    <w:p>
      <w:pPr>
        <w:spacing w:after="0" w:line="174" w:lineRule="exact"/>
        <w:rPr>
          <w:rFonts w:ascii="Arial" w:cs="Arial" w:eastAsia="Arial" w:hAnsi="Arial"/>
          <w:sz w:val="22"/>
          <w:szCs w:val="22"/>
          <w:color w:val="auto"/>
        </w:rPr>
      </w:pPr>
    </w:p>
    <w:p>
      <w:pPr>
        <w:jc w:val="both"/>
        <w:ind w:firstLine="656"/>
        <w:spacing w:after="0" w:line="312" w:lineRule="auto"/>
        <w:tabs>
          <w:tab w:leader="none" w:pos="154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promptly after any request by the Administrative Agent or any Lender, copies of any detailed audit reports, management letters or recommendations submitted to the board of directors (or the audit committee of the board of directors) of Toro by independent accountants in connection with the accounts or books of Toro or any Subsidiary, or any audit of any of them;</w:t>
      </w:r>
    </w:p>
    <w:p>
      <w:pPr>
        <w:spacing w:after="0" w:line="133" w:lineRule="exact"/>
        <w:rPr>
          <w:rFonts w:ascii="Arial" w:cs="Arial" w:eastAsia="Arial" w:hAnsi="Arial"/>
          <w:sz w:val="19"/>
          <w:szCs w:val="19"/>
          <w:color w:val="auto"/>
        </w:rPr>
      </w:pPr>
    </w:p>
    <w:p>
      <w:pPr>
        <w:jc w:val="both"/>
        <w:ind w:firstLine="656"/>
        <w:spacing w:after="0" w:line="250" w:lineRule="auto"/>
        <w:tabs>
          <w:tab w:leader="none" w:pos="153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promptly after the same are available, copies of each annual report, proxy or financial statement or other report or communication sent to the stockholders of Toro, and copies of all annual, regular, periodic and special reports and registration statements which Toro may file or be required to file with the SEC under Section 13 or 15(d) of the Exchange Act, and not otherwise required to be delivered to the Administrative Agent pursuant hereto;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625" w:right="239" w:bottom="1440" w:gutter="0" w:footer="0" w:header="0"/>
        </w:sectPr>
      </w:pPr>
    </w:p>
    <w:bookmarkStart w:id="97" w:name="page98"/>
    <w:bookmarkEnd w:id="97"/>
    <w:p>
      <w:pPr>
        <w:ind w:right="20" w:firstLine="656"/>
        <w:spacing w:after="0" w:line="263" w:lineRule="auto"/>
        <w:tabs>
          <w:tab w:leader="none" w:pos="154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concurrently with the closing of a Receivables Purchase Facility, a copy of the documentation related thereto certified by a Responsible Officer as being true, correct and complete;</w:t>
      </w:r>
    </w:p>
    <w:p>
      <w:pPr>
        <w:spacing w:after="0" w:line="174" w:lineRule="exact"/>
        <w:rPr>
          <w:rFonts w:ascii="Arial" w:cs="Arial" w:eastAsia="Arial" w:hAnsi="Arial"/>
          <w:sz w:val="22"/>
          <w:szCs w:val="22"/>
          <w:color w:val="auto"/>
        </w:rPr>
      </w:pPr>
    </w:p>
    <w:p>
      <w:pPr>
        <w:jc w:val="both"/>
        <w:ind w:firstLine="656"/>
        <w:spacing w:after="0" w:line="263" w:lineRule="auto"/>
        <w:tabs>
          <w:tab w:leader="none" w:pos="1536" w:val="left"/>
        </w:tabs>
        <w:numPr>
          <w:ilvl w:val="0"/>
          <w:numId w:val="115"/>
        </w:numPr>
        <w:rPr>
          <w:rFonts w:ascii="Arial" w:cs="Arial" w:eastAsia="Arial" w:hAnsi="Arial"/>
          <w:sz w:val="21"/>
          <w:szCs w:val="21"/>
          <w:color w:val="auto"/>
        </w:rPr>
      </w:pPr>
      <w:r>
        <w:rPr>
          <w:rFonts w:ascii="Arial" w:cs="Arial" w:eastAsia="Arial" w:hAnsi="Arial"/>
          <w:sz w:val="21"/>
          <w:szCs w:val="21"/>
          <w:color w:val="auto"/>
        </w:rPr>
        <w:t>so long as it is not precluded from doing so by the rules of the SEC or other comparable agency, promptly, and in any event within five Business Days after receipt thereof by any Loan Party or any Subsidiary thereof, copies of each notice or other correspondence, other than routine comments on filed documents, received from the SEC (or comparable agency in any applicable non-U.S. jurisdiction) concerning any investigation (whether formal or informal) by such agency regarding financial or other operational results of any Loan Party or any Subsidiary thereof;</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51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promptly, such additional information regarding the business, financial or corporate affairs of Toro or any Subsidiary, or compliance with the terms of the Loan Documents, as the Administrative Agent or any Lender may from time to time reasonably request.</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Documents required to be delivered pursuant to </w:t>
      </w:r>
      <w:r>
        <w:rPr>
          <w:rFonts w:ascii="Arial" w:cs="Arial" w:eastAsia="Arial" w:hAnsi="Arial"/>
          <w:sz w:val="21"/>
          <w:szCs w:val="21"/>
          <w:u w:val="single" w:color="auto"/>
          <w:color w:val="auto"/>
        </w:rPr>
        <w:t>Section 6.01(a)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6.02(c)</w:t>
      </w:r>
      <w:r>
        <w:rPr>
          <w:rFonts w:ascii="Arial" w:cs="Arial" w:eastAsia="Arial" w:hAnsi="Arial"/>
          <w:sz w:val="21"/>
          <w:szCs w:val="21"/>
          <w:color w:val="auto"/>
        </w:rPr>
        <w:t xml:space="preserve"> (to the extent any such documents are included in materials otherwise filed with the SEC) may be delivered electronically and if so delivered, shall be deemed to have been delivered on the date (i) on which Toro posts such documents, or provides a link thereto on Toro’s website on the Internet at the website address listed on </w:t>
      </w:r>
      <w:r>
        <w:rPr>
          <w:rFonts w:ascii="Arial" w:cs="Arial" w:eastAsia="Arial" w:hAnsi="Arial"/>
          <w:sz w:val="21"/>
          <w:szCs w:val="21"/>
          <w:u w:val="single" w:color="auto"/>
          <w:color w:val="auto"/>
        </w:rPr>
        <w:t>Schedule 11.02</w:t>
      </w:r>
      <w:r>
        <w:rPr>
          <w:rFonts w:ascii="Arial" w:cs="Arial" w:eastAsia="Arial" w:hAnsi="Arial"/>
          <w:sz w:val="21"/>
          <w:szCs w:val="21"/>
          <w:color w:val="auto"/>
        </w:rPr>
        <w:t xml:space="preserve">; or (ii) on which such documents are posted on Toro’s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Toro shall deliver paper copies of such documents to the Administrative Agent or any Lender that requests Toro to deliver such paper copies until a written request to cease delivering paper copies is given by the Administrative Agent or such Lender. The Administrative Agent shall have no obligation to request the delivery or to maintain copies of the documents referred to above, and in any event shall have no responsibility to monitor compliance by Toro with any such request for delivery, and each Lender shall be solely responsible for requesting delivery to it or maintaining its copies of such documents.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Each Borrower hereby acknowledges that (a) the Administrative Agent and/or the Arrangers will make available to the Lenders and the L/C Issuer materials and/or information provided by or on behalf of the Borrowers hereunder (collectively, “Borrower Materials”) by posting the Borrower Materials on IntraLinks, Syndtrak or another similar electronic system (the “</w:t>
      </w:r>
      <w:r>
        <w:rPr>
          <w:rFonts w:ascii="Arial" w:cs="Arial" w:eastAsia="Arial" w:hAnsi="Arial"/>
          <w:sz w:val="21"/>
          <w:szCs w:val="21"/>
          <w:u w:val="single" w:color="auto"/>
          <w:color w:val="auto"/>
        </w:rPr>
        <w:t>Platform</w:t>
      </w:r>
      <w:r>
        <w:rPr>
          <w:rFonts w:ascii="Arial" w:cs="Arial" w:eastAsia="Arial" w:hAnsi="Arial"/>
          <w:sz w:val="21"/>
          <w:szCs w:val="21"/>
          <w:color w:val="auto"/>
        </w:rPr>
        <w:t>”) and (b) certain of the Lenders (each, a “</w:t>
      </w:r>
      <w:r>
        <w:rPr>
          <w:rFonts w:ascii="Arial" w:cs="Arial" w:eastAsia="Arial" w:hAnsi="Arial"/>
          <w:sz w:val="21"/>
          <w:szCs w:val="21"/>
          <w:u w:val="single" w:color="auto"/>
          <w:color w:val="auto"/>
        </w:rPr>
        <w:t>Public Lender</w:t>
      </w:r>
      <w:r>
        <w:rPr>
          <w:rFonts w:ascii="Arial" w:cs="Arial" w:eastAsia="Arial" w:hAnsi="Arial"/>
          <w:sz w:val="21"/>
          <w:szCs w:val="21"/>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631" w:right="239" w:bottom="1440" w:gutter="0" w:footer="0" w:header="0"/>
        </w:sectPr>
      </w:pPr>
    </w:p>
    <w:bookmarkStart w:id="98" w:name="page99"/>
    <w:bookmarkEnd w:id="98"/>
    <w:p>
      <w:pPr>
        <w:jc w:val="both"/>
        <w:spacing w:after="0" w:line="289" w:lineRule="auto"/>
        <w:rPr>
          <w:sz w:val="20"/>
          <w:szCs w:val="20"/>
          <w:color w:val="auto"/>
        </w:rPr>
      </w:pPr>
      <w:r>
        <w:rPr>
          <w:rFonts w:ascii="Arial" w:cs="Arial" w:eastAsia="Arial" w:hAnsi="Arial"/>
          <w:sz w:val="19"/>
          <w:szCs w:val="19"/>
          <w:color w:val="auto"/>
        </w:rPr>
        <w:t>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 and the Lenders to treat such Borrower Materials as not containing any material non-public information with respect to such Borrower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11.07</w:t>
      </w:r>
      <w:r>
        <w:rPr>
          <w:rFonts w:ascii="Arial" w:cs="Arial" w:eastAsia="Arial" w:hAnsi="Arial"/>
          <w:sz w:val="19"/>
          <w:szCs w:val="19"/>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5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color w:val="auto"/>
        </w:rPr>
        <w:t xml:space="preserve">Notices. </w:t>
      </w:r>
      <w:r>
        <w:rPr>
          <w:rFonts w:ascii="Arial" w:cs="Arial" w:eastAsia="Arial" w:hAnsi="Arial"/>
          <w:sz w:val="19"/>
          <w:szCs w:val="19"/>
          <w:color w:val="auto"/>
        </w:rPr>
        <w:t>Promptly notify the Administrative Agent and each Lender:</w:t>
      </w:r>
    </w:p>
    <w:p>
      <w:pPr>
        <w:spacing w:after="0" w:line="226" w:lineRule="exact"/>
        <w:rPr>
          <w:sz w:val="20"/>
          <w:szCs w:val="20"/>
          <w:color w:val="auto"/>
        </w:rPr>
      </w:pPr>
    </w:p>
    <w:p>
      <w:pPr>
        <w:ind w:firstLine="656"/>
        <w:spacing w:after="0" w:line="263" w:lineRule="auto"/>
        <w:tabs>
          <w:tab w:leader="none" w:pos="1536" w:val="left"/>
        </w:tabs>
        <w:numPr>
          <w:ilvl w:val="1"/>
          <w:numId w:val="116"/>
        </w:numPr>
        <w:rPr>
          <w:rFonts w:ascii="Arial" w:cs="Arial" w:eastAsia="Arial" w:hAnsi="Arial"/>
          <w:sz w:val="22"/>
          <w:szCs w:val="22"/>
          <w:color w:val="auto"/>
        </w:rPr>
      </w:pPr>
      <w:r>
        <w:rPr>
          <w:rFonts w:ascii="Arial" w:cs="Arial" w:eastAsia="Arial" w:hAnsi="Arial"/>
          <w:sz w:val="22"/>
          <w:szCs w:val="22"/>
          <w:color w:val="auto"/>
        </w:rPr>
        <w:t>of the occurrence of any Default or Event of Default, and of the occurrence or existence of any event or circumstance that foreseeably will become a Default or Event of Default;</w:t>
      </w:r>
    </w:p>
    <w:p>
      <w:pPr>
        <w:spacing w:after="0" w:line="174" w:lineRule="exact"/>
        <w:rPr>
          <w:rFonts w:ascii="Arial" w:cs="Arial" w:eastAsia="Arial" w:hAnsi="Arial"/>
          <w:sz w:val="22"/>
          <w:szCs w:val="22"/>
          <w:color w:val="auto"/>
        </w:rPr>
      </w:pPr>
    </w:p>
    <w:p>
      <w:pPr>
        <w:ind w:left="1560" w:hanging="904"/>
        <w:spacing w:after="0"/>
        <w:tabs>
          <w:tab w:leader="none" w:pos="156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of any matter that has resulted or could reasonably be expected to result in a Material Adverse Effect, including</w:t>
      </w:r>
    </w:p>
    <w:p>
      <w:pPr>
        <w:spacing w:after="0" w:line="56" w:lineRule="exact"/>
        <w:rPr>
          <w:rFonts w:ascii="Arial" w:cs="Arial" w:eastAsia="Arial" w:hAnsi="Arial"/>
          <w:sz w:val="19"/>
          <w:szCs w:val="19"/>
          <w:color w:val="auto"/>
        </w:rPr>
      </w:pPr>
    </w:p>
    <w:p>
      <w:pPr>
        <w:jc w:val="both"/>
        <w:ind w:firstLine="8"/>
        <w:spacing w:after="0" w:line="281" w:lineRule="auto"/>
        <w:tabs>
          <w:tab w:leader="none" w:pos="29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breach or non-performance of, or any default under, a Contractual Obligation of any Borrower or any Subsidiary; (ii) any dispute, litigation, investigation, proceeding or suspension between any Borrower or any Subsidiary and any Governmental Authority; or (iii) the commencement of, or any material development in, any litigation or proceeding affecting any Borrower or any Subsidiary, including pursuant to any applicable Environmental Laws in each case under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 which</w:t>
      </w:r>
    </w:p>
    <w:p>
      <w:pPr>
        <w:spacing w:after="0" w:line="3" w:lineRule="exact"/>
        <w:rPr>
          <w:rFonts w:ascii="Arial" w:cs="Arial" w:eastAsia="Arial" w:hAnsi="Arial"/>
          <w:sz w:val="19"/>
          <w:szCs w:val="19"/>
          <w:color w:val="auto"/>
        </w:rPr>
      </w:pPr>
    </w:p>
    <w:p>
      <w:pPr>
        <w:jc w:val="both"/>
        <w:ind w:right="20"/>
        <w:spacing w:after="0" w:line="262" w:lineRule="auto"/>
        <w:rPr>
          <w:rFonts w:ascii="Arial" w:cs="Arial" w:eastAsia="Arial" w:hAnsi="Arial"/>
          <w:sz w:val="19"/>
          <w:szCs w:val="19"/>
          <w:color w:val="auto"/>
        </w:rPr>
      </w:pPr>
      <w:r>
        <w:rPr>
          <w:rFonts w:ascii="Arial" w:cs="Arial" w:eastAsia="Arial" w:hAnsi="Arial"/>
          <w:sz w:val="21"/>
          <w:szCs w:val="21"/>
          <w:color w:val="auto"/>
        </w:rPr>
        <w:t>(A) is reasonably likely to create liability to any Borrower in excess of $75,000,000 in any individual circumstance or in excess of $125,000,000 in the aggregate for all such circumstances, or (B) is otherwise reasonably likely to have a Material Adverse Effect and (iv) other matter that has resulted or is reasonably likely to result in a Material Adverse Effect;</w:t>
      </w:r>
    </w:p>
    <w:p>
      <w:pPr>
        <w:spacing w:after="0" w:line="177" w:lineRule="exact"/>
        <w:rPr>
          <w:rFonts w:ascii="Arial" w:cs="Arial" w:eastAsia="Arial" w:hAnsi="Arial"/>
          <w:sz w:val="19"/>
          <w:szCs w:val="19"/>
          <w:color w:val="auto"/>
        </w:rPr>
      </w:pPr>
    </w:p>
    <w:p>
      <w:pPr>
        <w:jc w:val="both"/>
        <w:ind w:firstLine="656"/>
        <w:spacing w:after="0" w:line="250" w:lineRule="auto"/>
        <w:tabs>
          <w:tab w:leader="none" w:pos="1536" w:val="left"/>
        </w:tabs>
        <w:numPr>
          <w:ilvl w:val="1"/>
          <w:numId w:val="117"/>
        </w:numPr>
        <w:rPr>
          <w:rFonts w:ascii="Arial" w:cs="Arial" w:eastAsia="Arial" w:hAnsi="Arial"/>
          <w:sz w:val="22"/>
          <w:szCs w:val="22"/>
          <w:color w:val="auto"/>
        </w:rPr>
      </w:pPr>
      <w:r>
        <w:rPr>
          <w:rFonts w:ascii="Arial" w:cs="Arial" w:eastAsia="Arial" w:hAnsi="Arial"/>
          <w:sz w:val="22"/>
          <w:szCs w:val="22"/>
          <w:color w:val="auto"/>
        </w:rPr>
        <w:t>of the occurrence of any of the following events affecting any Borrower or any ERISA Affiliate (but in no event more than 10 days after such event), and deliver to the Administrative Agent and each Lender a copy of any notice with respect to such event that is filed with a Governmental Authority and any notice delivered by a Governmental Authority to any of the Borrowers or any ERISA Affiliate with respect to such event:</w:t>
      </w:r>
    </w:p>
    <w:p>
      <w:pPr>
        <w:spacing w:after="0" w:line="188" w:lineRule="exact"/>
        <w:rPr>
          <w:rFonts w:ascii="Arial" w:cs="Arial" w:eastAsia="Arial" w:hAnsi="Arial"/>
          <w:sz w:val="22"/>
          <w:szCs w:val="22"/>
          <w:color w:val="auto"/>
        </w:rPr>
      </w:pPr>
    </w:p>
    <w:p>
      <w:pPr>
        <w:ind w:left="2160" w:hanging="855"/>
        <w:spacing w:after="0"/>
        <w:tabs>
          <w:tab w:leader="none" w:pos="2160" w:val="left"/>
        </w:tabs>
        <w:numPr>
          <w:ilvl w:val="2"/>
          <w:numId w:val="117"/>
        </w:numPr>
        <w:rPr>
          <w:rFonts w:ascii="Arial" w:cs="Arial" w:eastAsia="Arial" w:hAnsi="Arial"/>
          <w:sz w:val="22"/>
          <w:szCs w:val="22"/>
          <w:color w:val="auto"/>
        </w:rPr>
      </w:pPr>
      <w:r>
        <w:rPr>
          <w:rFonts w:ascii="Arial" w:cs="Arial" w:eastAsia="Arial" w:hAnsi="Arial"/>
          <w:sz w:val="22"/>
          <w:szCs w:val="22"/>
          <w:color w:val="auto"/>
        </w:rPr>
        <w:t>an ERISA Event;</w:t>
      </w:r>
    </w:p>
    <w:p>
      <w:pPr>
        <w:spacing w:after="0" w:line="219" w:lineRule="exact"/>
        <w:rPr>
          <w:rFonts w:ascii="Arial" w:cs="Arial" w:eastAsia="Arial" w:hAnsi="Arial"/>
          <w:sz w:val="22"/>
          <w:szCs w:val="22"/>
          <w:color w:val="auto"/>
        </w:rPr>
      </w:pPr>
    </w:p>
    <w:p>
      <w:pPr>
        <w:ind w:left="2220" w:hanging="915"/>
        <w:spacing w:after="0"/>
        <w:tabs>
          <w:tab w:leader="none" w:pos="2220" w:val="left"/>
        </w:tabs>
        <w:numPr>
          <w:ilvl w:val="2"/>
          <w:numId w:val="117"/>
        </w:numPr>
        <w:rPr>
          <w:rFonts w:ascii="Arial" w:cs="Arial" w:eastAsia="Arial" w:hAnsi="Arial"/>
          <w:sz w:val="22"/>
          <w:szCs w:val="22"/>
          <w:color w:val="auto"/>
        </w:rPr>
      </w:pPr>
      <w:r>
        <w:rPr>
          <w:rFonts w:ascii="Arial" w:cs="Arial" w:eastAsia="Arial" w:hAnsi="Arial"/>
          <w:sz w:val="22"/>
          <w:szCs w:val="22"/>
          <w:color w:val="auto"/>
        </w:rPr>
        <w:t>a material increase in the Unfunded Pension Liability of any Pension Plan;</w:t>
      </w:r>
    </w:p>
    <w:p>
      <w:pPr>
        <w:spacing w:after="0" w:line="219" w:lineRule="exact"/>
        <w:rPr>
          <w:rFonts w:ascii="Arial" w:cs="Arial" w:eastAsia="Arial" w:hAnsi="Arial"/>
          <w:sz w:val="22"/>
          <w:szCs w:val="22"/>
          <w:color w:val="auto"/>
        </w:rPr>
      </w:pPr>
    </w:p>
    <w:p>
      <w:pPr>
        <w:ind w:left="660" w:right="20" w:firstLine="645"/>
        <w:spacing w:after="0" w:line="263" w:lineRule="auto"/>
        <w:tabs>
          <w:tab w:leader="none" w:pos="2281" w:val="left"/>
        </w:tabs>
        <w:numPr>
          <w:ilvl w:val="2"/>
          <w:numId w:val="117"/>
        </w:numPr>
        <w:rPr>
          <w:rFonts w:ascii="Arial" w:cs="Arial" w:eastAsia="Arial" w:hAnsi="Arial"/>
          <w:sz w:val="22"/>
          <w:szCs w:val="22"/>
          <w:color w:val="auto"/>
        </w:rPr>
      </w:pPr>
      <w:r>
        <w:rPr>
          <w:rFonts w:ascii="Arial" w:cs="Arial" w:eastAsia="Arial" w:hAnsi="Arial"/>
          <w:sz w:val="22"/>
          <w:szCs w:val="22"/>
          <w:color w:val="auto"/>
        </w:rPr>
        <w:t>the adoption of, or the commencement of contributions to, any Plan subject to Section 412 of the Code by any Borrower or any ERISA Affiliate; or</w:t>
      </w:r>
    </w:p>
    <w:p>
      <w:pPr>
        <w:spacing w:after="0" w:line="174" w:lineRule="exact"/>
        <w:rPr>
          <w:rFonts w:ascii="Arial" w:cs="Arial" w:eastAsia="Arial" w:hAnsi="Arial"/>
          <w:sz w:val="22"/>
          <w:szCs w:val="22"/>
          <w:color w:val="auto"/>
        </w:rPr>
      </w:pPr>
    </w:p>
    <w:p>
      <w:pPr>
        <w:ind w:left="660" w:firstLine="645"/>
        <w:spacing w:after="0" w:line="263" w:lineRule="auto"/>
        <w:tabs>
          <w:tab w:leader="none" w:pos="2268" w:val="left"/>
        </w:tabs>
        <w:numPr>
          <w:ilvl w:val="2"/>
          <w:numId w:val="117"/>
        </w:numPr>
        <w:rPr>
          <w:rFonts w:ascii="Arial" w:cs="Arial" w:eastAsia="Arial" w:hAnsi="Arial"/>
          <w:sz w:val="22"/>
          <w:szCs w:val="22"/>
          <w:color w:val="auto"/>
        </w:rPr>
      </w:pPr>
      <w:r>
        <w:rPr>
          <w:rFonts w:ascii="Arial" w:cs="Arial" w:eastAsia="Arial" w:hAnsi="Arial"/>
          <w:sz w:val="22"/>
          <w:szCs w:val="22"/>
          <w:color w:val="auto"/>
        </w:rPr>
        <w:t>the adoption of any amendment to a Plan subject to Section 412 of the Code, if such amendment results in a material increase in contributions or Unfunded Pension Liability;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631" w:right="239" w:bottom="1440" w:gutter="0" w:footer="0" w:header="0"/>
        </w:sectPr>
      </w:pPr>
    </w:p>
    <w:bookmarkStart w:id="99" w:name="page100"/>
    <w:bookmarkEnd w:id="99"/>
    <w:p>
      <w:pPr>
        <w:jc w:val="both"/>
        <w:ind w:firstLine="656"/>
        <w:spacing w:after="0" w:line="253" w:lineRule="auto"/>
        <w:tabs>
          <w:tab w:leader="none" w:pos="154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of any material change in accounting policies or financial reporting practices by the Borrowers or any of their consolidated Subsidiaries not reflected in periodic reports filed by Toro with the SEC, including any determination by the Borrowers referred to in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540" w:hanging="884"/>
        <w:spacing w:after="0"/>
        <w:tabs>
          <w:tab w:leader="none" w:pos="15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of any announcement by Moody’s or S&amp;P of any change in a Debt Rating; and</w:t>
      </w:r>
    </w:p>
    <w:p>
      <w:pPr>
        <w:spacing w:after="0" w:line="219" w:lineRule="exact"/>
        <w:rPr>
          <w:rFonts w:ascii="Arial" w:cs="Arial" w:eastAsia="Arial" w:hAnsi="Arial"/>
          <w:sz w:val="22"/>
          <w:szCs w:val="22"/>
          <w:color w:val="auto"/>
        </w:rPr>
      </w:pPr>
    </w:p>
    <w:p>
      <w:pPr>
        <w:ind w:firstLine="656"/>
        <w:spacing w:after="0" w:line="263" w:lineRule="auto"/>
        <w:tabs>
          <w:tab w:leader="none" w:pos="151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of any change in the information provided in the Beneficial Ownership Certification that would result in a change to the list of beneficial owners identified in such certification.</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Each notice pursuant to this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6.03(e</w:t>
      </w:r>
      <w:r>
        <w:rPr>
          <w:rFonts w:ascii="Arial" w:cs="Arial" w:eastAsia="Arial" w:hAnsi="Arial"/>
          <w:sz w:val="19"/>
          <w:szCs w:val="19"/>
          <w:color w:val="auto"/>
        </w:rPr>
        <w:t xml:space="preserve">) shall be accompanied by a statement of a Responsible Officer of Toro setting forth details of the occurrence referred to therein and stating what action the applicable Borrower has taken and proposes to take with respect thereto. Each notice pursuant to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shall describe with particularity any and all provisions of this Agreement and any other Loan Document that have been or foreseeably will be breached or violated.</w:t>
      </w:r>
    </w:p>
    <w:p>
      <w:pPr>
        <w:spacing w:after="0" w:line="1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6.04 Anti-Corruption Laws. </w:t>
      </w:r>
      <w:r>
        <w:rPr>
          <w:rFonts w:ascii="Arial" w:cs="Arial" w:eastAsia="Arial" w:hAnsi="Arial"/>
          <w:sz w:val="22"/>
          <w:szCs w:val="22"/>
          <w:color w:val="auto"/>
        </w:rPr>
        <w:t>Use reasonable efforts to conduct its business in compliance with applicable anti-corruption</w:t>
      </w:r>
      <w:r>
        <w:rPr>
          <w:rFonts w:ascii="Arial" w:cs="Arial" w:eastAsia="Arial" w:hAnsi="Arial"/>
          <w:sz w:val="22"/>
          <w:szCs w:val="22"/>
          <w:b w:val="1"/>
          <w:bCs w:val="1"/>
          <w:color w:val="auto"/>
        </w:rPr>
        <w:t xml:space="preserve"> </w:t>
      </w:r>
      <w:r>
        <w:rPr>
          <w:rFonts w:ascii="Arial" w:cs="Arial" w:eastAsia="Arial" w:hAnsi="Arial"/>
          <w:sz w:val="22"/>
          <w:szCs w:val="22"/>
          <w:color w:val="auto"/>
        </w:rPr>
        <w:t>laws and maintain policies and procedures designed to promote and achieve compliance with such laws.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6.05 Preservation of Existence, Etc. </w:t>
      </w:r>
      <w:r>
        <w:rPr>
          <w:rFonts w:ascii="Arial" w:cs="Arial" w:eastAsia="Arial" w:hAnsi="Arial"/>
          <w:sz w:val="21"/>
          <w:szCs w:val="21"/>
          <w:color w:val="auto"/>
        </w:rPr>
        <w:t>(a) Preserve, renew and maintain in full force and effect its legal existence and good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standing under the Laws of the jurisdiction of its organization except in a transaction permitted by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7.03</w:t>
      </w:r>
      <w:r>
        <w:rPr>
          <w:rFonts w:ascii="Arial" w:cs="Arial" w:eastAsia="Arial" w:hAnsi="Arial"/>
          <w:sz w:val="21"/>
          <w:szCs w:val="21"/>
          <w:color w:val="auto"/>
        </w:rPr>
        <w:t xml:space="preserve">;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notwithstanding any of the foregoing, Toro shall be permitted to liquidate any Subsidiary into Toro or another Subsidiary in accordance with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and thereafter dissolve such Subsidiary.</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6.06 Maintenance of Properties. </w:t>
      </w:r>
      <w:r>
        <w:rPr>
          <w:rFonts w:ascii="Arial" w:cs="Arial" w:eastAsia="Arial" w:hAnsi="Arial"/>
          <w:sz w:val="21"/>
          <w:szCs w:val="21"/>
          <w:color w:val="auto"/>
        </w:rPr>
        <w:t>Exercise its best business judgment to maintain and preserve all its property which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used or useful in its business in good working order and condition, ordinary wear and tear excepted;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nothing in this </w:t>
      </w:r>
      <w:r>
        <w:rPr>
          <w:rFonts w:ascii="Arial" w:cs="Arial" w:eastAsia="Arial" w:hAnsi="Arial"/>
          <w:sz w:val="21"/>
          <w:szCs w:val="21"/>
          <w:u w:val="single" w:color="auto"/>
          <w:color w:val="auto"/>
        </w:rPr>
        <w:t>Section 6.06</w:t>
      </w:r>
      <w:r>
        <w:rPr>
          <w:rFonts w:ascii="Arial" w:cs="Arial" w:eastAsia="Arial" w:hAnsi="Arial"/>
          <w:sz w:val="21"/>
          <w:szCs w:val="21"/>
          <w:color w:val="auto"/>
        </w:rPr>
        <w:t xml:space="preserve"> shall prevent any Borrower or Subsidiary from discontinuing the operation or maintenance of any such property if such discontinuance will not result in a Material Adverse Effect.</w:t>
      </w:r>
    </w:p>
    <w:p>
      <w:pPr>
        <w:spacing w:after="0" w:line="1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6.07 Maintenance of Insurance. </w:t>
      </w:r>
      <w:r>
        <w:rPr>
          <w:rFonts w:ascii="Arial" w:cs="Arial" w:eastAsia="Arial" w:hAnsi="Arial"/>
          <w:sz w:val="22"/>
          <w:szCs w:val="22"/>
          <w:color w:val="auto"/>
        </w:rPr>
        <w:t>Maintain with financially sound and reputable insurers, insurance with respect to its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properties and business against loss or damage of the kinds customarily insured against by Persons engaged in the same or similar business, of such types and in such amounts as are customarily carried under similar circumstances by such other Persons;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nothing in this </w:t>
      </w:r>
      <w:r>
        <w:rPr>
          <w:rFonts w:ascii="Arial" w:cs="Arial" w:eastAsia="Arial" w:hAnsi="Arial"/>
          <w:sz w:val="22"/>
          <w:szCs w:val="22"/>
          <w:u w:val="single" w:color="auto"/>
          <w:color w:val="auto"/>
        </w:rPr>
        <w:t>Section 6.07</w:t>
      </w:r>
      <w:r>
        <w:rPr>
          <w:rFonts w:ascii="Arial" w:cs="Arial" w:eastAsia="Arial" w:hAnsi="Arial"/>
          <w:sz w:val="22"/>
          <w:szCs w:val="22"/>
          <w:color w:val="auto"/>
        </w:rPr>
        <w:t xml:space="preserve"> shall be deemed to prevent the Borrowers or their Subsidiaries from self-insuring or insuring through a captive insurance subsidiary such risks as are customarily self-insured or insured through captive insurance subsidiaries by other corporations in the same business and similarly situated in accordance with sound business practices.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631" w:right="239" w:bottom="1440" w:gutter="0" w:footer="0" w:header="0"/>
        </w:sectPr>
      </w:pPr>
    </w:p>
    <w:bookmarkStart w:id="100" w:name="page101"/>
    <w:bookmarkEnd w:id="100"/>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6.08 Compliance with Laws and Contractual Obligations. </w:t>
      </w:r>
      <w:r>
        <w:rPr>
          <w:rFonts w:ascii="Arial" w:cs="Arial" w:eastAsia="Arial" w:hAnsi="Arial"/>
          <w:sz w:val="21"/>
          <w:szCs w:val="21"/>
          <w:color w:val="auto"/>
        </w:rPr>
        <w:t>Comply, and cause each Subsidiary to comply, with all</w:t>
      </w:r>
      <w:r>
        <w:rPr>
          <w:rFonts w:ascii="Arial" w:cs="Arial" w:eastAsia="Arial" w:hAnsi="Arial"/>
          <w:sz w:val="21"/>
          <w:szCs w:val="21"/>
          <w:b w:val="1"/>
          <w:bCs w:val="1"/>
          <w:color w:val="auto"/>
        </w:rPr>
        <w:t xml:space="preserve"> </w:t>
      </w:r>
      <w:r>
        <w:rPr>
          <w:rFonts w:ascii="Arial" w:cs="Arial" w:eastAsia="Arial" w:hAnsi="Arial"/>
          <w:sz w:val="21"/>
          <w:szCs w:val="21"/>
          <w:color w:val="auto"/>
        </w:rPr>
        <w:t>Contractual Obligations and requirements of Law of any Governmental 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 property, income or assets, except those which are being contested in good faith by appropriate proceedings and for which adequate reserves have been provided in accordance with GAAP.</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6.09 Books and Records. </w:t>
      </w:r>
      <w:r>
        <w:rPr>
          <w:rFonts w:ascii="Arial" w:cs="Arial" w:eastAsia="Arial" w:hAnsi="Arial"/>
          <w:sz w:val="22"/>
          <w:szCs w:val="22"/>
          <w:color w:val="auto"/>
        </w:rPr>
        <w:t>Maintain proper books of record and account, in which full, true and correct entries in</w:t>
      </w:r>
      <w:r>
        <w:rPr>
          <w:rFonts w:ascii="Arial" w:cs="Arial" w:eastAsia="Arial" w:hAnsi="Arial"/>
          <w:sz w:val="22"/>
          <w:szCs w:val="22"/>
          <w:b w:val="1"/>
          <w:bCs w:val="1"/>
          <w:color w:val="auto"/>
        </w:rPr>
        <w:t xml:space="preserve"> </w:t>
      </w:r>
      <w:r>
        <w:rPr>
          <w:rFonts w:ascii="Arial" w:cs="Arial" w:eastAsia="Arial" w:hAnsi="Arial"/>
          <w:sz w:val="22"/>
          <w:szCs w:val="22"/>
          <w:color w:val="auto"/>
        </w:rPr>
        <w:t>conformity with GAAP consistently applied shall be made of all financial transactions and matters involving the assets and business of Toro or such Subsidiary, as the case may be.</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6.10 Inspection Rights. </w:t>
      </w:r>
      <w:r>
        <w:rPr>
          <w:rFonts w:ascii="Arial" w:cs="Arial" w:eastAsia="Arial" w:hAnsi="Arial"/>
          <w:sz w:val="22"/>
          <w:szCs w:val="22"/>
          <w:color w:val="auto"/>
        </w:rPr>
        <w:t>Permit representatives and independent contractors of the Administrative Agent and each Lender</w:t>
      </w:r>
      <w:r>
        <w:rPr>
          <w:rFonts w:ascii="Arial" w:cs="Arial" w:eastAsia="Arial" w:hAnsi="Arial"/>
          <w:sz w:val="22"/>
          <w:szCs w:val="22"/>
          <w:b w:val="1"/>
          <w:bCs w:val="1"/>
          <w:color w:val="auto"/>
        </w:rPr>
        <w:t xml:space="preserve"> </w:t>
      </w:r>
      <w:r>
        <w:rPr>
          <w:rFonts w:ascii="Arial" w:cs="Arial" w:eastAsia="Arial" w:hAnsi="Arial"/>
          <w:sz w:val="22"/>
          <w:szCs w:val="22"/>
          <w:color w:val="auto"/>
        </w:rPr>
        <w:t>to visit and inspect any of its properties, to examine its corporate, financial and operating records, and make copies thereof or abstracts therefrom (except to the extent any of such records are confidential or proprietary in nature), and to discuss its affairs, finances and accounts with its directors, officers, and independent public accountants, all at such reasonable times during normal business hours and as often as may be reasonably desired, upon reasonable advance notice to Toro; provided, however, that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6.11 Use of Proceeds. </w:t>
      </w:r>
      <w:r>
        <w:rPr>
          <w:rFonts w:ascii="Arial" w:cs="Arial" w:eastAsia="Arial" w:hAnsi="Arial"/>
          <w:sz w:val="19"/>
          <w:szCs w:val="19"/>
          <w:color w:val="auto"/>
        </w:rPr>
        <w:t>Each Borrower shall use the proceeds of the Credit Extensions for (a) general working capital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needs and capital expenditures (b) the replacement and refinancing of outstanding indebtedness under the Existing Credit Agreement, (c) subject to the proviso below, the purchase or other acquisition by Toro of shares of its capital stock and related preferred stock purchase rights to the extent permitted by </w:t>
      </w:r>
      <w:r>
        <w:rPr>
          <w:rFonts w:ascii="Arial" w:cs="Arial" w:eastAsia="Arial" w:hAnsi="Arial"/>
          <w:sz w:val="19"/>
          <w:szCs w:val="19"/>
          <w:u w:val="single" w:color="auto"/>
          <w:color w:val="auto"/>
        </w:rPr>
        <w:t>Section 7.04(c)</w:t>
      </w:r>
      <w:r>
        <w:rPr>
          <w:rFonts w:ascii="Arial" w:cs="Arial" w:eastAsia="Arial" w:hAnsi="Arial"/>
          <w:sz w:val="19"/>
          <w:szCs w:val="19"/>
          <w:color w:val="auto"/>
        </w:rPr>
        <w:t xml:space="preserve">, and (d) other lawful corporate purposes (including Acquisitions) other than, directly or indirectly, (i) for purposes of undertaking an Acquisition or Joint Venture in contravention of any Law or of any Loan Document, (ii) to purchase or carry Margin Stock, (iii) to repay or otherwise refinance indebtedness of any Borrower or others incurred to purchase or carry Margin Stock, (iv) to extend credit for the purpose of purchasing or carrying any Margin Stock, or (v) to acquire any security in a transaction that is actively opposed by the board of directors (or similar governing body) of the selling Persons or the Persons whose securities are to be acquired;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above, Toro may use proceeds of Loans as described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so long as either (x) the Margin Stock so acquired is promptly retired following the purchase or other acquisition thereof or (y) at all times and after giving effect to each such purchase or acquisition, not more than twenty five percent (25%) of the consolidated total assets of the Borrowers and their Subsidiaries on a consolidated basis are represented by Margin Stock owned by the Borrowers and their Subsidiaries on a consolidated basis.</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6.12 Approvals and Authorizations. </w:t>
      </w:r>
      <w:r>
        <w:rPr>
          <w:rFonts w:ascii="Arial" w:cs="Arial" w:eastAsia="Arial" w:hAnsi="Arial"/>
          <w:sz w:val="22"/>
          <w:szCs w:val="22"/>
          <w:color w:val="auto"/>
        </w:rPr>
        <w:t>Maintain all authorizations, consents, approvals and licenses from, exemptions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and filings and registrations with, each Governmental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20"/>
          </w:cols>
          <w:pgMar w:left="240" w:top="625" w:right="239" w:bottom="1440" w:gutter="0" w:footer="0" w:header="0"/>
        </w:sectPr>
      </w:pPr>
    </w:p>
    <w:bookmarkStart w:id="101" w:name="page102"/>
    <w:bookmarkEnd w:id="101"/>
    <w:p>
      <w:pPr>
        <w:jc w:val="both"/>
        <w:spacing w:after="0" w:line="263" w:lineRule="auto"/>
        <w:rPr>
          <w:sz w:val="20"/>
          <w:szCs w:val="20"/>
          <w:color w:val="auto"/>
        </w:rPr>
      </w:pPr>
      <w:r>
        <w:rPr>
          <w:rFonts w:ascii="Arial" w:cs="Arial" w:eastAsia="Arial" w:hAnsi="Arial"/>
          <w:sz w:val="22"/>
          <w:szCs w:val="22"/>
          <w:color w:val="auto"/>
        </w:rPr>
        <w:t>Authority of the jurisdiction in which each Foreign Obligor is organized and existing, and all approvals and consents of each other Person in such jurisdiction, in each case that are required in connection with the Loan Documents.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NEGATIVE COVENANTS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So long as any Lender shall have any Commitment hereunder, or any Loan, Swing Line Loan or other Obligation shall remain unpaid or unsatisfied, or any Letter of Credit shall remain outstanding, unless the Required Lenders waive compliance in writing:</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7.01 Limitation on Liens</w:t>
      </w:r>
      <w:r>
        <w:rPr>
          <w:rFonts w:ascii="Arial" w:cs="Arial" w:eastAsia="Arial" w:hAnsi="Arial"/>
          <w:sz w:val="22"/>
          <w:szCs w:val="22"/>
          <w:color w:val="auto"/>
        </w:rPr>
        <w:t>. None of the Borrowers shall, or permit any Subsidiary to, directly or indirectly, make, create,</w:t>
      </w:r>
      <w:r>
        <w:rPr>
          <w:rFonts w:ascii="Arial" w:cs="Arial" w:eastAsia="Arial" w:hAnsi="Arial"/>
          <w:sz w:val="22"/>
          <w:szCs w:val="22"/>
          <w:b w:val="1"/>
          <w:bCs w:val="1"/>
          <w:color w:val="auto"/>
        </w:rPr>
        <w:t xml:space="preserve"> </w:t>
      </w:r>
      <w:r>
        <w:rPr>
          <w:rFonts w:ascii="Arial" w:cs="Arial" w:eastAsia="Arial" w:hAnsi="Arial"/>
          <w:sz w:val="22"/>
          <w:szCs w:val="22"/>
          <w:color w:val="auto"/>
        </w:rPr>
        <w:t>incur, assume or suffer to exist any Lien upon or with respect to any part of their respective property, whether now owned or hereafter acquired, other than the following (“</w:t>
      </w:r>
      <w:r>
        <w:rPr>
          <w:rFonts w:ascii="Arial" w:cs="Arial" w:eastAsia="Arial" w:hAnsi="Arial"/>
          <w:sz w:val="22"/>
          <w:szCs w:val="22"/>
          <w:u w:val="single" w:color="auto"/>
          <w:color w:val="auto"/>
        </w:rPr>
        <w:t>Permitted Liens</w:t>
      </w:r>
      <w:r>
        <w:rPr>
          <w:rFonts w:ascii="Arial" w:cs="Arial" w:eastAsia="Arial" w:hAnsi="Arial"/>
          <w:sz w:val="22"/>
          <w:szCs w:val="22"/>
          <w:color w:val="auto"/>
        </w:rPr>
        <w:t>”):</w:t>
      </w:r>
    </w:p>
    <w:p>
      <w:pPr>
        <w:spacing w:after="0" w:line="182" w:lineRule="exact"/>
        <w:rPr>
          <w:sz w:val="20"/>
          <w:szCs w:val="20"/>
          <w:color w:val="auto"/>
        </w:rPr>
      </w:pPr>
    </w:p>
    <w:p>
      <w:pPr>
        <w:ind w:firstLine="656"/>
        <w:spacing w:after="0" w:line="263" w:lineRule="auto"/>
        <w:tabs>
          <w:tab w:leader="none" w:pos="153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any Lien existing on property of any Borrower or any Subsidiary on the Closing Date and set forth in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7.01</w:t>
      </w:r>
      <w:r>
        <w:rPr>
          <w:rFonts w:ascii="Arial" w:cs="Arial" w:eastAsia="Arial" w:hAnsi="Arial"/>
          <w:sz w:val="22"/>
          <w:szCs w:val="22"/>
          <w:color w:val="auto"/>
        </w:rPr>
        <w:t xml:space="preserve"> securing Indebtedness outstanding on such date (“</w:t>
      </w:r>
      <w:r>
        <w:rPr>
          <w:rFonts w:ascii="Arial" w:cs="Arial" w:eastAsia="Arial" w:hAnsi="Arial"/>
          <w:sz w:val="22"/>
          <w:szCs w:val="22"/>
          <w:u w:val="single" w:color="auto"/>
          <w:color w:val="auto"/>
        </w:rPr>
        <w:t>Existing Liens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560" w:hanging="904"/>
        <w:spacing w:after="0"/>
        <w:tabs>
          <w:tab w:leader="none" w:pos="15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Lien created under any Loan Document;</w:t>
      </w:r>
    </w:p>
    <w:p>
      <w:pPr>
        <w:spacing w:after="0" w:line="219" w:lineRule="exact"/>
        <w:rPr>
          <w:rFonts w:ascii="Arial" w:cs="Arial" w:eastAsia="Arial" w:hAnsi="Arial"/>
          <w:sz w:val="22"/>
          <w:szCs w:val="22"/>
          <w:color w:val="auto"/>
        </w:rPr>
      </w:pPr>
    </w:p>
    <w:p>
      <w:pPr>
        <w:ind w:firstLine="656"/>
        <w:spacing w:after="0" w:line="263" w:lineRule="auto"/>
        <w:tabs>
          <w:tab w:leader="none" w:pos="153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Liens for taxes, fees, assessments or other governmental charges which are not delinquent or remain payable without penalty, provided that no notice of lien has been filed or recorded under the Code;</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188" w:lineRule="exact"/>
        <w:rPr>
          <w:rFonts w:ascii="Arial" w:cs="Arial" w:eastAsia="Arial" w:hAnsi="Arial"/>
          <w:sz w:val="22"/>
          <w:szCs w:val="22"/>
          <w:color w:val="auto"/>
        </w:rPr>
      </w:pPr>
    </w:p>
    <w:p>
      <w:pPr>
        <w:ind w:firstLine="656"/>
        <w:spacing w:after="0" w:line="343" w:lineRule="auto"/>
        <w:tabs>
          <w:tab w:leader="none" w:pos="153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04" w:lineRule="exact"/>
        <w:rPr>
          <w:rFonts w:ascii="Arial" w:cs="Arial" w:eastAsia="Arial" w:hAnsi="Arial"/>
          <w:sz w:val="19"/>
          <w:szCs w:val="19"/>
          <w:color w:val="auto"/>
        </w:rPr>
      </w:pPr>
    </w:p>
    <w:p>
      <w:pPr>
        <w:jc w:val="both"/>
        <w:ind w:firstLine="656"/>
        <w:spacing w:after="0" w:line="263" w:lineRule="exact"/>
        <w:tabs>
          <w:tab w:leader="none" w:pos="151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Liens on the property of any Borrower or any of its Subsidiaries securing (i) the non-delinquent performance of bids, trade contracts (other than for borrowed money), leases, statutory obligations, (ii) contingent obligations on surety and appeal bonds, and (iii) other non</w:t>
      </w:r>
      <w:r>
        <w:rPr>
          <w:rFonts w:ascii="MS PGothic" w:cs="MS PGothic" w:eastAsia="MS PGothic" w:hAnsi="MS PGothic"/>
          <w:sz w:val="19"/>
          <w:szCs w:val="19"/>
          <w:color w:val="auto"/>
        </w:rPr>
        <w:t>‑</w:t>
      </w:r>
      <w:r>
        <w:rPr>
          <w:rFonts w:ascii="Arial" w:cs="Arial" w:eastAsia="Arial" w:hAnsi="Arial"/>
          <w:sz w:val="19"/>
          <w:szCs w:val="19"/>
          <w:color w:val="auto"/>
        </w:rPr>
        <w:t>delinquent obligations of a like nature; in each case, incurred in the ordinary course of business;</w:t>
      </w:r>
    </w:p>
    <w:p>
      <w:pPr>
        <w:spacing w:after="0" w:line="199" w:lineRule="exact"/>
        <w:rPr>
          <w:rFonts w:ascii="Arial" w:cs="Arial" w:eastAsia="Arial" w:hAnsi="Arial"/>
          <w:sz w:val="19"/>
          <w:szCs w:val="19"/>
          <w:color w:val="auto"/>
        </w:rPr>
      </w:pPr>
    </w:p>
    <w:p>
      <w:pPr>
        <w:jc w:val="both"/>
        <w:ind w:firstLine="656"/>
        <w:spacing w:after="0" w:line="263" w:lineRule="exact"/>
        <w:tabs>
          <w:tab w:leader="none" w:pos="154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easements, rights</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Borrowers and their Subsidiaries;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20"/>
          </w:cols>
          <w:pgMar w:left="240" w:top="631" w:right="239" w:bottom="1440" w:gutter="0" w:footer="0" w:header="0"/>
        </w:sectPr>
      </w:pPr>
    </w:p>
    <w:bookmarkStart w:id="102" w:name="page103"/>
    <w:bookmarkEnd w:id="102"/>
    <w:p>
      <w:pPr>
        <w:ind w:left="1560" w:hanging="904"/>
        <w:spacing w:after="0"/>
        <w:tabs>
          <w:tab w:leader="none" w:pos="156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Liens on property of a Person subject to an Acquisition existing at the time of such Acquisition;</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Liens existing on the Closing Date on property of one or more Subsidiaries securing Indebtedness of such Subsidiaries;</w:t>
      </w:r>
    </w:p>
    <w:p>
      <w:pPr>
        <w:spacing w:after="0" w:line="254" w:lineRule="exact"/>
        <w:rPr>
          <w:rFonts w:ascii="Arial" w:cs="Arial" w:eastAsia="Arial" w:hAnsi="Arial"/>
          <w:sz w:val="19"/>
          <w:szCs w:val="19"/>
          <w:color w:val="auto"/>
        </w:rPr>
      </w:pPr>
    </w:p>
    <w:p>
      <w:pPr>
        <w:jc w:val="both"/>
        <w:ind w:firstLine="656"/>
        <w:spacing w:after="0" w:line="253" w:lineRule="auto"/>
        <w:tabs>
          <w:tab w:leader="none" w:pos="109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 xml:space="preserve">Liens on Receivables, lease receivables and other obligations owing to any of the Borrowers or any domestic Wholly-Owned Subsidiary to the extent such Receivables, lease receivables and other obligations have been sold under a Receivables Purchase Facility permitted under </w:t>
      </w:r>
      <w:r>
        <w:rPr>
          <w:rFonts w:ascii="Arial" w:cs="Arial" w:eastAsia="Arial" w:hAnsi="Arial"/>
          <w:sz w:val="22"/>
          <w:szCs w:val="22"/>
          <w:u w:val="single" w:color="auto"/>
          <w:color w:val="auto"/>
        </w:rPr>
        <w:t>Section 7.02(d)</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91" w:lineRule="auto"/>
        <w:tabs>
          <w:tab w:leader="none" w:pos="1152" w:val="left"/>
        </w:tabs>
        <w:numPr>
          <w:ilvl w:val="1"/>
          <w:numId w:val="120"/>
        </w:numPr>
        <w:rPr>
          <w:rFonts w:ascii="Arial" w:cs="Arial" w:eastAsia="Arial" w:hAnsi="Arial"/>
          <w:sz w:val="19"/>
          <w:szCs w:val="19"/>
          <w:color w:val="auto"/>
        </w:rPr>
      </w:pPr>
      <w:r>
        <w:rPr>
          <w:rFonts w:ascii="Arial" w:cs="Arial" w:eastAsia="Arial" w:hAnsi="Arial"/>
          <w:sz w:val="19"/>
          <w:szCs w:val="19"/>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 w:lineRule="exact"/>
        <w:rPr>
          <w:rFonts w:ascii="Arial" w:cs="Arial" w:eastAsia="Arial" w:hAnsi="Arial"/>
          <w:sz w:val="19"/>
          <w:szCs w:val="19"/>
          <w:color w:val="auto"/>
        </w:rPr>
      </w:pPr>
    </w:p>
    <w:p>
      <w:pPr>
        <w:jc w:val="both"/>
        <w:ind w:firstLine="8"/>
        <w:spacing w:after="0" w:line="245" w:lineRule="auto"/>
        <w:tabs>
          <w:tab w:leader="none" w:pos="26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such deposit account is not a dedicated cash collateral account and is not subject to restrictions against access by the applicable Borrower in excess of those set forth by regulations promulgated by the FRB, and (ii) such deposit account is not intended by any Borrower or any Subsidiary to provide collateral to the depository institution; and</w:t>
      </w:r>
    </w:p>
    <w:p>
      <w:pPr>
        <w:spacing w:after="0" w:line="193" w:lineRule="exact"/>
        <w:rPr>
          <w:rFonts w:ascii="Arial" w:cs="Arial" w:eastAsia="Arial" w:hAnsi="Arial"/>
          <w:sz w:val="22"/>
          <w:szCs w:val="22"/>
          <w:color w:val="auto"/>
        </w:rPr>
      </w:pPr>
    </w:p>
    <w:p>
      <w:pPr>
        <w:jc w:val="both"/>
        <w:ind w:firstLine="656"/>
        <w:spacing w:after="0" w:line="302" w:lineRule="auto"/>
        <w:tabs>
          <w:tab w:leader="none" w:pos="1273"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Liens not otherwise permitted hereunder on any property securing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Indebtedness so secured together with Indebtedness permitted to be secured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above shall not exceed in the aggregate at any time outstanding 10% of the consolidated total tangible assets (balance sheet total assets less goodwill and intangibles) of Toro and its Subsidiaries determined as of the end of the most recently ended fiscal quarter of Toro.</w:t>
      </w:r>
    </w:p>
    <w:p>
      <w:pPr>
        <w:spacing w:after="0" w:line="13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7.02 Disposition of Assets</w:t>
      </w:r>
      <w:r>
        <w:rPr>
          <w:rFonts w:ascii="Arial" w:cs="Arial" w:eastAsia="Arial" w:hAnsi="Arial"/>
          <w:sz w:val="19"/>
          <w:szCs w:val="19"/>
          <w:color w:val="auto"/>
        </w:rPr>
        <w:t>. None of the Borrowers shall, or shall suffer or permit any Subsidiary to,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sell, assign, lease, convey, transfer or otherwise dispose of (whether in one or a series of transactions) any property (including accounts and notes receivable, with or without recourse) or enter into any agreement to do any of the foregoing, except:</w:t>
      </w:r>
    </w:p>
    <w:p>
      <w:pPr>
        <w:spacing w:after="0" w:line="132" w:lineRule="exact"/>
        <w:rPr>
          <w:sz w:val="20"/>
          <w:szCs w:val="20"/>
          <w:color w:val="auto"/>
        </w:rPr>
      </w:pPr>
    </w:p>
    <w:p>
      <w:pPr>
        <w:ind w:left="1120" w:hanging="464"/>
        <w:spacing w:after="0" w:line="253" w:lineRule="exact"/>
        <w:tabs>
          <w:tab w:leader="none" w:pos="11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dispositions of inventory, or used, worn</w:t>
      </w:r>
      <w:r>
        <w:rPr>
          <w:rFonts w:ascii="MS PGothic" w:cs="MS PGothic" w:eastAsia="MS PGothic" w:hAnsi="MS PGothic"/>
          <w:sz w:val="22"/>
          <w:szCs w:val="22"/>
          <w:color w:val="auto"/>
        </w:rPr>
        <w:t>‑</w:t>
      </w:r>
      <w:r>
        <w:rPr>
          <w:rFonts w:ascii="Arial" w:cs="Arial" w:eastAsia="Arial" w:hAnsi="Arial"/>
          <w:sz w:val="22"/>
          <w:szCs w:val="22"/>
          <w:color w:val="auto"/>
        </w:rPr>
        <w:t>out or surplus property, all in the ordinary course of business;</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7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185" w:lineRule="exact"/>
        <w:rPr>
          <w:rFonts w:ascii="Arial" w:cs="Arial" w:eastAsia="Arial" w:hAnsi="Arial"/>
          <w:sz w:val="22"/>
          <w:szCs w:val="22"/>
          <w:color w:val="auto"/>
        </w:rPr>
      </w:pPr>
    </w:p>
    <w:p>
      <w:pPr>
        <w:ind w:firstLine="656"/>
        <w:spacing w:after="0" w:line="263" w:lineRule="auto"/>
        <w:tabs>
          <w:tab w:leader="none" w:pos="117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dispositions of Receivables of Toro or any Subsidiaries to Red Iron and, to the extent TCC has become a Borrower hereunder pursuant to </w:t>
      </w:r>
      <w:r>
        <w:rPr>
          <w:rFonts w:ascii="Arial" w:cs="Arial" w:eastAsia="Arial" w:hAnsi="Arial"/>
          <w:sz w:val="22"/>
          <w:szCs w:val="22"/>
          <w:u w:val="single" w:color="auto"/>
          <w:color w:val="auto"/>
        </w:rPr>
        <w:t>Section 2.17</w:t>
      </w:r>
      <w:r>
        <w:rPr>
          <w:rFonts w:ascii="Arial" w:cs="Arial" w:eastAsia="Arial" w:hAnsi="Arial"/>
          <w:sz w:val="22"/>
          <w:szCs w:val="22"/>
          <w:color w:val="auto"/>
        </w:rPr>
        <w:t>, TCC;</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4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dispositions by any Originator of Receivables pursuant to Receivables Purchase Facilities or other disposition of Receivables at any time of Toro or its Subsidiaries, whether pursuant to a securitization facility, a factoring arrangement or other manner of monetization thereof provided that the outstanding unpaid amount of all such Receivables so sold in the aggregate shall not at any time exceed $200,000,000;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631" w:right="239" w:bottom="1440" w:gutter="0" w:footer="0" w:header="0"/>
        </w:sectPr>
      </w:pPr>
    </w:p>
    <w:bookmarkStart w:id="103" w:name="page104"/>
    <w:bookmarkEnd w:id="103"/>
    <w:p>
      <w:pPr>
        <w:jc w:val="both"/>
        <w:ind w:firstLine="656"/>
        <w:spacing w:after="0" w:line="286" w:lineRule="auto"/>
        <w:tabs>
          <w:tab w:leader="none" w:pos="1207" w:val="left"/>
        </w:tabs>
        <w:numPr>
          <w:ilvl w:val="1"/>
          <w:numId w:val="123"/>
        </w:numPr>
        <w:rPr>
          <w:rFonts w:ascii="Arial" w:cs="Arial" w:eastAsia="Arial" w:hAnsi="Arial"/>
          <w:sz w:val="19"/>
          <w:szCs w:val="19"/>
          <w:color w:val="auto"/>
        </w:rPr>
      </w:pPr>
      <w:r>
        <w:rPr>
          <w:rFonts w:ascii="Arial" w:cs="Arial" w:eastAsia="Arial" w:hAnsi="Arial"/>
          <w:sz w:val="19"/>
          <w:szCs w:val="19"/>
          <w:color w:val="auto"/>
        </w:rPr>
        <w:t xml:space="preserve">dispositions (i) made in accordance with Toro’s investment policy, (ii) made in connection with Acquisitions, (iii) dispositions of interests in Joint Ventures; (iv) dispositions in connections with Swap Contracts, (v) permitted dispositions of Subsidiaries, (vi) dispositions in connection with purchases by Toro of shares of its capital stock and associated rights to purchase shares of Toro’s preferred stock pursuant to Toro’s shareholder rights plan to the extent permitted by </w:t>
      </w:r>
      <w:r>
        <w:rPr>
          <w:rFonts w:ascii="Arial" w:cs="Arial" w:eastAsia="Arial" w:hAnsi="Arial"/>
          <w:sz w:val="19"/>
          <w:szCs w:val="19"/>
          <w:u w:val="single" w:color="auto"/>
          <w:color w:val="auto"/>
        </w:rPr>
        <w:t>Sections 6.11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7.04(c)</w:t>
      </w:r>
      <w:r>
        <w:rPr>
          <w:rFonts w:ascii="Arial" w:cs="Arial" w:eastAsia="Arial" w:hAnsi="Arial"/>
          <w:sz w:val="19"/>
          <w:szCs w:val="19"/>
          <w:color w:val="auto"/>
        </w:rPr>
        <w:t>, and</w:t>
      </w:r>
    </w:p>
    <w:p>
      <w:pPr>
        <w:spacing w:after="0" w:line="2" w:lineRule="exact"/>
        <w:rPr>
          <w:rFonts w:ascii="Arial" w:cs="Arial" w:eastAsia="Arial" w:hAnsi="Arial"/>
          <w:sz w:val="19"/>
          <w:szCs w:val="19"/>
          <w:color w:val="auto"/>
        </w:rPr>
      </w:pPr>
    </w:p>
    <w:p>
      <w:pPr>
        <w:ind w:left="440" w:hanging="432"/>
        <w:spacing w:after="0"/>
        <w:tabs>
          <w:tab w:leader="none" w:pos="4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disposition of interests in Red Iron;</w:t>
      </w:r>
    </w:p>
    <w:p>
      <w:pPr>
        <w:spacing w:after="0" w:line="201" w:lineRule="exact"/>
        <w:rPr>
          <w:rFonts w:ascii="Arial" w:cs="Arial" w:eastAsia="Arial" w:hAnsi="Arial"/>
          <w:sz w:val="22"/>
          <w:szCs w:val="22"/>
          <w:color w:val="auto"/>
        </w:rPr>
      </w:pPr>
    </w:p>
    <w:p>
      <w:pPr>
        <w:jc w:val="both"/>
        <w:ind w:firstLine="656"/>
        <w:spacing w:after="0" w:line="250" w:lineRule="auto"/>
        <w:tabs>
          <w:tab w:leader="none" w:pos="1188"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xml:space="preserve">dispositions not otherwise permitted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that (i) at the time of any such disposition, no Event of Default shall exist or shall result from such disposition and (ii) the aggregate value of all assets so sold by Toro and its Subsidiaries shall not exceed in any fiscal year 15% of the consolidated total assets of Toro and its Subsidiaries determined as of the end of the most recently ended fiscal quarter of Toro;</w:t>
      </w:r>
    </w:p>
    <w:p>
      <w:pPr>
        <w:spacing w:after="0" w:line="188" w:lineRule="exact"/>
        <w:rPr>
          <w:rFonts w:ascii="Arial" w:cs="Arial" w:eastAsia="Arial" w:hAnsi="Arial"/>
          <w:sz w:val="22"/>
          <w:szCs w:val="22"/>
          <w:color w:val="auto"/>
        </w:rPr>
      </w:pPr>
    </w:p>
    <w:p>
      <w:pPr>
        <w:jc w:val="both"/>
        <w:ind w:firstLine="656"/>
        <w:spacing w:after="0" w:line="312" w:lineRule="auto"/>
        <w:tabs>
          <w:tab w:leader="none" w:pos="1226"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Toro or any Subsidiary, including any Subsidiary Borrower, may sell, assign, lease, convey, transfer or otherwise dispose of assets to one of the Borrowers or another Wholly-Owned Subsidiary or in connection with the discontinuance of any line of business if the discontinuance of such line of business will not result in a Material Adverse Effect;</w:t>
      </w:r>
    </w:p>
    <w:p>
      <w:pPr>
        <w:spacing w:after="0" w:line="133" w:lineRule="exact"/>
        <w:rPr>
          <w:rFonts w:ascii="Arial" w:cs="Arial" w:eastAsia="Arial" w:hAnsi="Arial"/>
          <w:sz w:val="19"/>
          <w:szCs w:val="19"/>
          <w:color w:val="auto"/>
        </w:rPr>
      </w:pPr>
    </w:p>
    <w:p>
      <w:pPr>
        <w:jc w:val="both"/>
        <w:ind w:firstLine="656"/>
        <w:spacing w:after="0" w:line="259" w:lineRule="auto"/>
        <w:tabs>
          <w:tab w:leader="none" w:pos="1232" w:val="left"/>
        </w:tabs>
        <w:numPr>
          <w:ilvl w:val="1"/>
          <w:numId w:val="124"/>
        </w:numPr>
        <w:rPr>
          <w:rFonts w:ascii="Arial" w:cs="Arial" w:eastAsia="Arial" w:hAnsi="Arial"/>
          <w:sz w:val="21"/>
          <w:szCs w:val="21"/>
          <w:color w:val="auto"/>
        </w:rPr>
      </w:pPr>
      <w:r>
        <w:rPr>
          <w:rFonts w:ascii="Arial" w:cs="Arial" w:eastAsia="Arial" w:hAnsi="Arial"/>
          <w:sz w:val="21"/>
          <w:szCs w:val="21"/>
          <w:color w:val="auto"/>
        </w:rPr>
        <w:t>dispositions or transfers of cash or other property including capital stock (i) in payment for goods or services in the ordinary course of business to the extent not otherwise prohibited hereunder and (ii) in connection with investments, including (A) investments in accordance with Toro’s investment policy as adopted from time to time, (B) extensions of credit in the nature of accounts receivable or notes receivable arising from the sale or lease of goods or services in the ordinary course of business or extensions of credit by any Borrower to any of Toro’s Wholly-Owned Subsidiaries or by any of Toro’s Wholly-Owned Subsidiaries to any Borrower or to another of Toro’s Wholly-Owned Subsidiaries or extensions of credit made in the ordinary course of its business consistent with past practices to distributors or dealers of Toro’s and its Subsidiaries’ products, (C) investments incurred in order to consummate Acquisitions, (D) investments in Joint Ventures, (E) investments under Swap Contracts, (F) investments made in Subsidiaries, and (G) investments in Red Iron;</w:t>
      </w:r>
    </w:p>
    <w:p>
      <w:pPr>
        <w:spacing w:after="0" w:line="180" w:lineRule="exact"/>
        <w:rPr>
          <w:rFonts w:ascii="Arial" w:cs="Arial" w:eastAsia="Arial" w:hAnsi="Arial"/>
          <w:sz w:val="21"/>
          <w:szCs w:val="21"/>
          <w:color w:val="auto"/>
        </w:rPr>
      </w:pPr>
    </w:p>
    <w:p>
      <w:pPr>
        <w:ind w:left="1080" w:hanging="424"/>
        <w:spacing w:after="0"/>
        <w:tabs>
          <w:tab w:leader="none" w:pos="108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dispositions resulting from any casualty or condemnation;</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xml:space="preserve">dispositions in connection with Restricted Payments permitted under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dispositions in connection with the granting of Permitted Liens; and</w:t>
      </w:r>
    </w:p>
    <w:p>
      <w:pPr>
        <w:spacing w:after="0" w:line="219" w:lineRule="exact"/>
        <w:rPr>
          <w:rFonts w:ascii="Arial" w:cs="Arial" w:eastAsia="Arial" w:hAnsi="Arial"/>
          <w:sz w:val="22"/>
          <w:szCs w:val="22"/>
          <w:color w:val="auto"/>
        </w:rPr>
      </w:pPr>
    </w:p>
    <w:p>
      <w:pPr>
        <w:ind w:left="1220" w:hanging="564"/>
        <w:spacing w:after="0"/>
        <w:tabs>
          <w:tab w:leader="none" w:pos="122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dispositions in connection with the payment of Contingent Obligations or Indebtedness not otherwise prohibited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19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7.03 Consolidations and Mergers. </w:t>
      </w:r>
      <w:r>
        <w:rPr>
          <w:rFonts w:ascii="Arial" w:cs="Arial" w:eastAsia="Arial" w:hAnsi="Arial"/>
          <w:sz w:val="21"/>
          <w:szCs w:val="21"/>
          <w:color w:val="auto"/>
        </w:rPr>
        <w:t>None of the Borrowers shall, or permit any Subsidiary to, merge, consolidate with or</w:t>
      </w:r>
      <w:r>
        <w:rPr>
          <w:rFonts w:ascii="Arial" w:cs="Arial" w:eastAsia="Arial" w:hAnsi="Arial"/>
          <w:sz w:val="21"/>
          <w:szCs w:val="21"/>
          <w:b w:val="1"/>
          <w:bCs w:val="1"/>
          <w:color w:val="auto"/>
        </w:rPr>
        <w:t xml:space="preserve"> </w:t>
      </w:r>
      <w:r>
        <w:rPr>
          <w:rFonts w:ascii="Arial" w:cs="Arial" w:eastAsia="Arial" w:hAnsi="Arial"/>
          <w:sz w:val="21"/>
          <w:szCs w:val="21"/>
          <w:color w:val="auto"/>
        </w:rPr>
        <w:t>into, or convey, transfer, lease or otherwise dispose of (whether in one transaction or in a series of transactions) all or substantially all of its assets (whether now owned or hereafter acquired) to or in favor of any Person, except:</w:t>
      </w:r>
    </w:p>
    <w:p>
      <w:pPr>
        <w:spacing w:after="0" w:line="165" w:lineRule="exact"/>
        <w:rPr>
          <w:sz w:val="20"/>
          <w:szCs w:val="20"/>
          <w:color w:val="auto"/>
        </w:rPr>
      </w:pPr>
    </w:p>
    <w:p>
      <w:pPr>
        <w:ind w:right="20" w:firstLine="656"/>
        <w:spacing w:after="0" w:line="263" w:lineRule="auto"/>
        <w:tabs>
          <w:tab w:leader="none" w:pos="120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any Subsidiary (other than TCC, to the extent TCC becomes a Borrower pursuant to </w:t>
      </w:r>
      <w:r>
        <w:rPr>
          <w:rFonts w:ascii="Arial" w:cs="Arial" w:eastAsia="Arial" w:hAnsi="Arial"/>
          <w:sz w:val="22"/>
          <w:szCs w:val="22"/>
          <w:u w:val="single" w:color="auto"/>
          <w:color w:val="auto"/>
        </w:rPr>
        <w:t>Section 2.17</w:t>
      </w:r>
      <w:r>
        <w:rPr>
          <w:rFonts w:ascii="Arial" w:cs="Arial" w:eastAsia="Arial" w:hAnsi="Arial"/>
          <w:sz w:val="22"/>
          <w:szCs w:val="22"/>
          <w:color w:val="auto"/>
        </w:rPr>
        <w:t>), including any Subsidiary Borrower, may merge with one of the Borrowers,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20"/>
          </w:cols>
          <w:pgMar w:left="240" w:top="631" w:right="239" w:bottom="1440" w:gutter="0" w:footer="0" w:header="0"/>
        </w:sectPr>
      </w:pPr>
    </w:p>
    <w:bookmarkStart w:id="104" w:name="page105"/>
    <w:bookmarkEnd w:id="104"/>
    <w:p>
      <w:pPr>
        <w:jc w:val="both"/>
        <w:spacing w:after="0" w:line="271" w:lineRule="auto"/>
        <w:rPr>
          <w:sz w:val="20"/>
          <w:szCs w:val="20"/>
          <w:color w:val="auto"/>
        </w:rPr>
      </w:pPr>
      <w:r>
        <w:rPr>
          <w:rFonts w:ascii="Arial" w:cs="Arial" w:eastAsia="Arial" w:hAnsi="Arial"/>
          <w:sz w:val="21"/>
          <w:szCs w:val="21"/>
          <w:color w:val="auto"/>
        </w:rPr>
        <w:t xml:space="preserve">with any one or more Subsidiaries; provided that if any transaction shall be between a Subsidiary and a Wholly-Owned Subsidiary, the surviving Person shall be a Wholly-Owned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any such transaction shall be between a Subsidiary and a Subsidiary Borrower, the surviving Person shall be a Subsidiary Borrower, as applicable;</w:t>
      </w:r>
    </w:p>
    <w:p>
      <w:pPr>
        <w:spacing w:after="0" w:line="168" w:lineRule="exact"/>
        <w:rPr>
          <w:sz w:val="20"/>
          <w:szCs w:val="20"/>
          <w:color w:val="auto"/>
        </w:rPr>
      </w:pPr>
    </w:p>
    <w:p>
      <w:pPr>
        <w:ind w:left="1120" w:hanging="464"/>
        <w:spacing w:after="0"/>
        <w:tabs>
          <w:tab w:leader="none" w:pos="11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TCC may merge with or sell all or substantially all of its assets to Toro;</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0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any Subsidiary (other than TCC, to the extent TCC becomes a Borrower pursuant to </w:t>
      </w:r>
      <w:r>
        <w:rPr>
          <w:rFonts w:ascii="Arial" w:cs="Arial" w:eastAsia="Arial" w:hAnsi="Arial"/>
          <w:sz w:val="22"/>
          <w:szCs w:val="22"/>
          <w:u w:val="single" w:color="auto"/>
          <w:color w:val="auto"/>
        </w:rPr>
        <w:t>Section 2.17</w:t>
      </w:r>
      <w:r>
        <w:rPr>
          <w:rFonts w:ascii="Arial" w:cs="Arial" w:eastAsia="Arial" w:hAnsi="Arial"/>
          <w:sz w:val="22"/>
          <w:szCs w:val="22"/>
          <w:color w:val="auto"/>
        </w:rPr>
        <w:t>), including any Subsidiary Borrower, may sell all or substantially all of its assets (upon voluntary liquidation or otherwise), to one of the Borrowers or another Wholly-Owned Subsidiary; and</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those transactions otherwise permitted under </w:t>
      </w:r>
      <w:r>
        <w:rPr>
          <w:rFonts w:ascii="Arial" w:cs="Arial" w:eastAsia="Arial" w:hAnsi="Arial"/>
          <w:sz w:val="22"/>
          <w:szCs w:val="22"/>
          <w:u w:val="single" w:color="auto"/>
          <w:color w:val="auto"/>
        </w:rPr>
        <w:t>Section 7.02</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transactions in order to consummate Acquisitions.</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7.04 Restricted Payments. </w:t>
      </w:r>
      <w:r>
        <w:rPr>
          <w:rFonts w:ascii="Arial" w:cs="Arial" w:eastAsia="Arial" w:hAnsi="Arial"/>
          <w:sz w:val="22"/>
          <w:szCs w:val="22"/>
          <w:color w:val="auto"/>
        </w:rPr>
        <w:t>None of the Borrowers shall, or shall suffer or permit any Material Subsidiary to, declare or</w:t>
      </w:r>
      <w:r>
        <w:rPr>
          <w:rFonts w:ascii="Arial" w:cs="Arial" w:eastAsia="Arial" w:hAnsi="Arial"/>
          <w:sz w:val="22"/>
          <w:szCs w:val="22"/>
          <w:b w:val="1"/>
          <w:bCs w:val="1"/>
          <w:color w:val="auto"/>
        </w:rPr>
        <w:t xml:space="preserve"> </w:t>
      </w:r>
      <w:r>
        <w:rPr>
          <w:rFonts w:ascii="Arial" w:cs="Arial" w:eastAsia="Arial" w:hAnsi="Arial"/>
          <w:sz w:val="22"/>
          <w:szCs w:val="22"/>
          <w:color w:val="auto"/>
        </w:rPr>
        <w:t>make any 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Arial" w:cs="Arial" w:eastAsia="Arial" w:hAnsi="Arial"/>
          <w:sz w:val="22"/>
          <w:szCs w:val="22"/>
          <w:u w:val="single" w:color="auto"/>
          <w:color w:val="auto"/>
        </w:rPr>
        <w:t>Restricted Payment</w:t>
      </w:r>
      <w:r>
        <w:rPr>
          <w:rFonts w:ascii="Arial" w:cs="Arial" w:eastAsia="Arial" w:hAnsi="Arial"/>
          <w:sz w:val="22"/>
          <w:szCs w:val="22"/>
          <w:color w:val="auto"/>
        </w:rPr>
        <w:t>”); except that:</w:t>
      </w:r>
    </w:p>
    <w:p>
      <w:pPr>
        <w:spacing w:after="0" w:line="193" w:lineRule="exact"/>
        <w:rPr>
          <w:sz w:val="20"/>
          <w:szCs w:val="20"/>
          <w:color w:val="auto"/>
        </w:rPr>
      </w:pPr>
    </w:p>
    <w:p>
      <w:pPr>
        <w:ind w:firstLine="656"/>
        <w:spacing w:after="0" w:line="263" w:lineRule="auto"/>
        <w:tabs>
          <w:tab w:leader="none" w:pos="118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each Borrower and any Wholly-Owned Subsidiary may declare and make dividend payments or other distributions payable solely in its common stock;</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5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each Borrower and any Wholly-Owned Subsidiary may purchase, redeem or otherwise acquire shares of its common stock or warrants or options to acquire any such shares with the proceeds received from the substantially concurrent issue of new shares of its common stock;</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11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if (both before and after giving pro forma effect to such Restricted Payment) the Leverage Ratio for such period is less than or equal to the maximum permitted Leverage Ratio then in effect pursuant to </w:t>
      </w:r>
      <w:r>
        <w:rPr>
          <w:rFonts w:ascii="Arial" w:cs="Arial" w:eastAsia="Arial" w:hAnsi="Arial"/>
          <w:sz w:val="22"/>
          <w:szCs w:val="22"/>
          <w:u w:val="single" w:color="auto"/>
          <w:color w:val="auto"/>
        </w:rPr>
        <w:t>Section 7.06</w:t>
      </w:r>
      <w:r>
        <w:rPr>
          <w:rFonts w:ascii="Arial" w:cs="Arial" w:eastAsia="Arial" w:hAnsi="Arial"/>
          <w:sz w:val="22"/>
          <w:szCs w:val="22"/>
          <w:color w:val="auto"/>
        </w:rPr>
        <w:t xml:space="preserve">, Toro may declare and pay cash dividends to its stockholders and purchase, redeem or otherwise acquire shares of its capital stock or warrants, rights or options to acquire any such shares for cash without restriction; </w:t>
      </w:r>
      <w:r>
        <w:rPr>
          <w:rFonts w:ascii="Arial" w:cs="Arial" w:eastAsia="Arial" w:hAnsi="Arial"/>
          <w:sz w:val="22"/>
          <w:szCs w:val="22"/>
          <w:u w:val="single" w:color="auto"/>
          <w:color w:val="auto"/>
        </w:rPr>
        <w:t>provided</w:t>
      </w:r>
      <w:r>
        <w:rPr>
          <w:rFonts w:ascii="Arial" w:cs="Arial" w:eastAsia="Arial" w:hAnsi="Arial"/>
          <w:sz w:val="22"/>
          <w:szCs w:val="22"/>
          <w:color w:val="auto"/>
        </w:rPr>
        <w:t>, that, immediately after giving effect to any such proposed action, no Default or Event of Default would exist; and</w:t>
      </w:r>
    </w:p>
    <w:p>
      <w:pPr>
        <w:spacing w:after="0" w:line="192" w:lineRule="exact"/>
        <w:rPr>
          <w:rFonts w:ascii="Arial" w:cs="Arial" w:eastAsia="Arial" w:hAnsi="Arial"/>
          <w:sz w:val="22"/>
          <w:szCs w:val="22"/>
          <w:color w:val="auto"/>
        </w:rPr>
      </w:pPr>
    </w:p>
    <w:p>
      <w:pPr>
        <w:jc w:val="both"/>
        <w:ind w:firstLine="656"/>
        <w:spacing w:after="0" w:line="253" w:lineRule="auto"/>
        <w:tabs>
          <w:tab w:leader="none" w:pos="113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TCC, to the extent TCC becomes a Borrower pursuant to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and any Subsidiary Borrower may declare and pay dividends to Toro or its parent company and any Wholly-Owned Subsidiary may declare and pay dividends to its parent company.</w:t>
      </w:r>
    </w:p>
    <w:p>
      <w:pPr>
        <w:spacing w:after="0" w:line="180" w:lineRule="exact"/>
        <w:rPr>
          <w:sz w:val="20"/>
          <w:szCs w:val="20"/>
          <w:color w:val="auto"/>
        </w:rPr>
      </w:pPr>
    </w:p>
    <w:p>
      <w:pPr>
        <w:ind w:firstLine="648"/>
        <w:spacing w:after="0" w:line="350" w:lineRule="auto"/>
        <w:rPr>
          <w:sz w:val="20"/>
          <w:szCs w:val="20"/>
          <w:color w:val="auto"/>
        </w:rPr>
      </w:pPr>
      <w:r>
        <w:rPr>
          <w:rFonts w:ascii="Arial" w:cs="Arial" w:eastAsia="Arial" w:hAnsi="Arial"/>
          <w:sz w:val="19"/>
          <w:szCs w:val="19"/>
          <w:b w:val="1"/>
          <w:bCs w:val="1"/>
          <w:color w:val="auto"/>
        </w:rPr>
        <w:t xml:space="preserve">7.05 Minimum Interest Coverage Ratio. </w:t>
      </w:r>
      <w:r>
        <w:rPr>
          <w:rFonts w:ascii="Arial" w:cs="Arial" w:eastAsia="Arial" w:hAnsi="Arial"/>
          <w:sz w:val="19"/>
          <w:szCs w:val="19"/>
          <w:color w:val="auto"/>
        </w:rPr>
        <w:t>Toro, on a consolidated basis, shall not permit its Consolidated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Coverage Ratio, as at the end of each fiscal quarter for the four consecutive fiscal quarters then ended, to fall below 2.00 to 1.00.</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20"/>
          </w:cols>
          <w:pgMar w:left="240" w:top="631" w:right="239" w:bottom="1440" w:gutter="0" w:footer="0" w:header="0"/>
        </w:sectPr>
      </w:pPr>
    </w:p>
    <w:bookmarkStart w:id="105" w:name="page106"/>
    <w:bookmarkEnd w:id="105"/>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7.06 Maximum Leverage Ratio. </w:t>
      </w:r>
      <w:r>
        <w:rPr>
          <w:rFonts w:ascii="Arial" w:cs="Arial" w:eastAsia="Arial" w:hAnsi="Arial"/>
          <w:sz w:val="19"/>
          <w:szCs w:val="19"/>
          <w:color w:val="auto"/>
        </w:rPr>
        <w:t>Toro, on a consolidated basis, shall not, as of the end of any fiscal quarter, permit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consolidated ratio of (a) total Indebtedness as of such date to (b) the sum of Consolidated EBIT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depreciation and amortization expense (the “</w:t>
      </w:r>
      <w:r>
        <w:rPr>
          <w:rFonts w:ascii="Arial" w:cs="Arial" w:eastAsia="Arial" w:hAnsi="Arial"/>
          <w:sz w:val="19"/>
          <w:szCs w:val="19"/>
          <w:u w:val="single" w:color="auto"/>
          <w:color w:val="auto"/>
        </w:rPr>
        <w:t>Leverage Ratio</w:t>
      </w:r>
      <w:r>
        <w:rPr>
          <w:rFonts w:ascii="Arial" w:cs="Arial" w:eastAsia="Arial" w:hAnsi="Arial"/>
          <w:sz w:val="19"/>
          <w:szCs w:val="19"/>
          <w:color w:val="auto"/>
        </w:rPr>
        <w:t xml:space="preserve">”) for the period of four prior fiscal quarters ending on such date to be more than 3.50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after the occurrence of any Acquisition (or series of related transactions for the purpose of or resulting in such Acquisition) with aggregate consideration in excess of $75,000,000, at the option of Toro, for each of the four consecutive fiscal quarters ending after such option exercise (a “</w:t>
      </w:r>
      <w:r>
        <w:rPr>
          <w:rFonts w:ascii="Arial" w:cs="Arial" w:eastAsia="Arial" w:hAnsi="Arial"/>
          <w:sz w:val="19"/>
          <w:szCs w:val="19"/>
          <w:u w:val="single" w:color="auto"/>
          <w:color w:val="auto"/>
        </w:rPr>
        <w:t>Covenant Holiday</w:t>
      </w:r>
      <w:r>
        <w:rPr>
          <w:rFonts w:ascii="Arial" w:cs="Arial" w:eastAsia="Arial" w:hAnsi="Arial"/>
          <w:sz w:val="19"/>
          <w:szCs w:val="19"/>
          <w:color w:val="auto"/>
        </w:rPr>
        <w:t xml:space="preserve">”), the Leverage Ratio as of the last day of such fiscal quarter shall not exceed 4.00 to 1.00;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Toro may opt to use a maximum of two Covenant Holidays.</w:t>
      </w:r>
    </w:p>
    <w:p>
      <w:pPr>
        <w:spacing w:after="0" w:line="14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b w:val="1"/>
          <w:bCs w:val="1"/>
          <w:color w:val="auto"/>
        </w:rPr>
        <w:t xml:space="preserve">7.07 Red Iron. </w:t>
      </w:r>
      <w:r>
        <w:rPr>
          <w:rFonts w:ascii="Arial" w:cs="Arial" w:eastAsia="Arial" w:hAnsi="Arial"/>
          <w:sz w:val="21"/>
          <w:szCs w:val="21"/>
          <w:color w:val="auto"/>
        </w:rPr>
        <w:t>None of the Borrowers shall, or permit any Subsidiary to, agree to permit Red Iron to retain or defer</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of undisputed amounts due by Red Iron to Toro or any Subsidiary (other than as an offset in payment of amounts due by Toro or such Subsidiaries to Red Iron) in an aggregate amount at any time in excess of $35,000,000.</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7.08 Sanctions. </w:t>
      </w:r>
      <w:r>
        <w:rPr>
          <w:rFonts w:ascii="Arial" w:cs="Arial" w:eastAsia="Arial" w:hAnsi="Arial"/>
          <w:sz w:val="22"/>
          <w:szCs w:val="22"/>
          <w:color w:val="auto"/>
        </w:rPr>
        <w:t>No Borrower shall directly or indirectly use the proceeds of any Credit Extension, or lend, contribute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7.09 Anti-Corruption Laws. </w:t>
      </w:r>
      <w:r>
        <w:rPr>
          <w:rFonts w:ascii="Arial" w:cs="Arial" w:eastAsia="Arial" w:hAnsi="Arial"/>
          <w:sz w:val="22"/>
          <w:szCs w:val="22"/>
          <w:color w:val="auto"/>
        </w:rPr>
        <w:t>No Borrower shall directly or indirectly use the proceeds of any Credit Extension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purpose which would breach the United States Foreign Corrupt Practices Act of 1977, the UK Bribery Act 2010, or other similar legislation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EVENTS OF DEFAULT AND REMEDIES</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9"/>
          <w:szCs w:val="19"/>
          <w:b w:val="1"/>
          <w:bCs w:val="1"/>
          <w:color w:val="auto"/>
        </w:rPr>
        <w:t xml:space="preserve">Events </w:t>
      </w:r>
      <w:r>
        <w:rPr>
          <w:rFonts w:ascii="Arial" w:cs="Arial" w:eastAsia="Arial" w:hAnsi="Arial"/>
          <w:sz w:val="20"/>
          <w:szCs w:val="20"/>
          <w:b w:val="1"/>
          <w:bCs w:val="1"/>
          <w:color w:val="auto"/>
        </w:rPr>
        <w:t>of Default.</w:t>
      </w:r>
      <w:r>
        <w:rPr>
          <w:rFonts w:ascii="Arial" w:cs="Arial" w:eastAsia="Arial" w:hAnsi="Arial"/>
          <w:sz w:val="19"/>
          <w:szCs w:val="19"/>
          <w:b w:val="1"/>
          <w:bCs w:val="1"/>
          <w:color w:val="auto"/>
        </w:rPr>
        <w:t xml:space="preserve"> </w:t>
      </w:r>
      <w:r>
        <w:rPr>
          <w:rFonts w:ascii="Arial" w:cs="Arial" w:eastAsia="Arial" w:hAnsi="Arial"/>
          <w:sz w:val="20"/>
          <w:szCs w:val="20"/>
          <w:color w:val="auto"/>
        </w:rPr>
        <w:t>Any of the following shall constitute an Event of Default:</w:t>
      </w:r>
    </w:p>
    <w:p>
      <w:pPr>
        <w:spacing w:after="0" w:line="262" w:lineRule="exact"/>
        <w:rPr>
          <w:sz w:val="20"/>
          <w:szCs w:val="20"/>
          <w:color w:val="auto"/>
        </w:rPr>
      </w:pPr>
    </w:p>
    <w:p>
      <w:pPr>
        <w:jc w:val="both"/>
        <w:ind w:firstLine="656"/>
        <w:spacing w:after="0" w:line="302" w:lineRule="auto"/>
        <w:tabs>
          <w:tab w:leader="none" w:pos="1536"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Any Borrower or any other Loan Party fails to pay (i) when and as required to be paid herein, and in the currency required hereunder, any amount of principal of any Loan or any L/C Obligation, or (ii) within five (5) days after the same becomes due, any interest on any Loan or on any L/C Obligation, or any fee due hereunder, or (iii) within five (5) days after the same becomes due, any other amount payable hereunder or under any other Loan Document; or</w:t>
      </w:r>
    </w:p>
    <w:p>
      <w:pPr>
        <w:spacing w:after="0" w:line="142" w:lineRule="exact"/>
        <w:rPr>
          <w:rFonts w:ascii="Arial" w:cs="Arial" w:eastAsia="Arial" w:hAnsi="Arial"/>
          <w:sz w:val="19"/>
          <w:szCs w:val="19"/>
          <w:color w:val="auto"/>
        </w:rPr>
      </w:pPr>
    </w:p>
    <w:p>
      <w:pPr>
        <w:ind w:firstLine="656"/>
        <w:spacing w:after="0" w:line="263" w:lineRule="auto"/>
        <w:tabs>
          <w:tab w:leader="none" w:pos="1549"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Specific Covenants</w:t>
      </w:r>
      <w:r>
        <w:rPr>
          <w:rFonts w:ascii="Arial" w:cs="Arial" w:eastAsia="Arial" w:hAnsi="Arial"/>
          <w:sz w:val="22"/>
          <w:szCs w:val="22"/>
          <w:color w:val="auto"/>
        </w:rPr>
        <w:t xml:space="preserve">. Toro fails to perform or observe any term, covenant or agreement contained in any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6.03(a)</w:t>
      </w:r>
      <w:r>
        <w:rPr>
          <w:rFonts w:ascii="Arial" w:cs="Arial" w:eastAsia="Arial" w:hAnsi="Arial"/>
          <w:sz w:val="22"/>
          <w:szCs w:val="22"/>
          <w:color w:val="auto"/>
        </w:rPr>
        <w:t xml:space="preserve">, </w:t>
      </w:r>
      <w:r>
        <w:rPr>
          <w:rFonts w:ascii="Arial" w:cs="Arial" w:eastAsia="Arial" w:hAnsi="Arial"/>
          <w:sz w:val="22"/>
          <w:szCs w:val="22"/>
          <w:u w:val="single" w:color="auto"/>
          <w:color w:val="auto"/>
        </w:rPr>
        <w:t>6.10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VII</w:t>
      </w:r>
      <w:r>
        <w:rPr>
          <w:rFonts w:ascii="Arial" w:cs="Arial" w:eastAsia="Arial" w:hAnsi="Arial"/>
          <w:sz w:val="22"/>
          <w:szCs w:val="22"/>
          <w:color w:val="auto"/>
        </w:rPr>
        <w:t>;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625" w:right="239" w:bottom="1440" w:gutter="0" w:footer="0" w:header="0"/>
        </w:sectPr>
      </w:pPr>
    </w:p>
    <w:bookmarkStart w:id="106" w:name="page107"/>
    <w:bookmarkEnd w:id="106"/>
    <w:p>
      <w:pPr>
        <w:jc w:val="both"/>
        <w:ind w:firstLine="656"/>
        <w:spacing w:after="0" w:line="247" w:lineRule="auto"/>
        <w:tabs>
          <w:tab w:leader="none" w:pos="1536"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Other Defaults</w:t>
      </w:r>
      <w:r>
        <w:rPr>
          <w:rFonts w:ascii="Arial" w:cs="Arial" w:eastAsia="Arial" w:hAnsi="Arial"/>
          <w:sz w:val="22"/>
          <w:szCs w:val="22"/>
          <w:color w:val="auto"/>
        </w:rPr>
        <w:t xml:space="preserve">. Any Borrower fails to perform or observe any other term or covenant contained in this Agreement or any other Loan Document (and such failure does not otherwise constitute an Event of Default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8.01</w:t>
      </w:r>
      <w:r>
        <w:rPr>
          <w:rFonts w:ascii="Arial" w:cs="Arial" w:eastAsia="Arial" w:hAnsi="Arial"/>
          <w:sz w:val="22"/>
          <w:szCs w:val="22"/>
          <w:color w:val="auto"/>
        </w:rPr>
        <w:t>), and such default shall continue unremedied for a period of 30 days, provided that, if the Borrowers are diligently and in good faith attempting to cure such default, such default is curable and such default will not possibly result in a Material Adverse Effect, then the Borrowers may have additional time to cure such default as specified in writing by the Required Lenders provided that such additional time shall not exceed 60 days; or</w:t>
      </w:r>
    </w:p>
    <w:p>
      <w:pPr>
        <w:spacing w:after="0" w:line="193" w:lineRule="exact"/>
        <w:rPr>
          <w:rFonts w:ascii="Arial" w:cs="Arial" w:eastAsia="Arial" w:hAnsi="Arial"/>
          <w:sz w:val="22"/>
          <w:szCs w:val="22"/>
          <w:color w:val="auto"/>
        </w:rPr>
      </w:pPr>
    </w:p>
    <w:p>
      <w:pPr>
        <w:jc w:val="both"/>
        <w:ind w:firstLine="656"/>
        <w:spacing w:after="0" w:line="247" w:lineRule="auto"/>
        <w:tabs>
          <w:tab w:leader="none" w:pos="1549"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Any representation or warranty by any Borrower or any Subsidiary made or deemed made herein, in any other Loan Document, or which is contained in any certificate, document or financial or other statement by any Borrower, any Subsidiary, or any Responsible Officer, furnished at any time under this Agreement, or in or under any other Loan Document, is incorrect or misleading in any material respect (except, if a qualifier relating to materiality, Material Adverse Effect or a similar concept applies, such representation or warranty shall have been incorrect in any respect) on or as of the date made or deemed made; or</w:t>
      </w:r>
    </w:p>
    <w:p>
      <w:pPr>
        <w:spacing w:after="0" w:line="193" w:lineRule="exact"/>
        <w:rPr>
          <w:rFonts w:ascii="Arial" w:cs="Arial" w:eastAsia="Arial" w:hAnsi="Arial"/>
          <w:sz w:val="22"/>
          <w:szCs w:val="22"/>
          <w:color w:val="auto"/>
        </w:rPr>
      </w:pPr>
    </w:p>
    <w:p>
      <w:pPr>
        <w:jc w:val="both"/>
        <w:ind w:firstLine="656"/>
        <w:spacing w:after="0" w:line="284" w:lineRule="auto"/>
        <w:tabs>
          <w:tab w:leader="none" w:pos="1536"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(i) Any Borrower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more than $75,000,000 when due (whether by scheduled maturity, required prepayment, acceleration, demand, or otherwise) and such failure continues after the applicable grace or notice period, if any, specified in the relevant document on the date of such failure; or (B) 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(ii)(A) there occurs any termination, liquidation, unwind or similar event or circumstance under any Receivables Purchase Facility other than a voluntary termination by any Borrower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w:t>
      </w:r>
      <w:r>
        <w:rPr>
          <w:rFonts w:ascii="Arial" w:cs="Arial" w:eastAsia="Arial" w:hAnsi="Arial"/>
          <w:sz w:val="19"/>
          <w:szCs w:val="19"/>
          <w:u w:val="single" w:color="auto"/>
          <w:color w:val="auto"/>
        </w:rPr>
        <w:t>Receivables Purchase Facility Termination</w:t>
      </w:r>
      <w:r>
        <w:rPr>
          <w:rFonts w:ascii="Arial" w:cs="Arial" w:eastAsia="Arial" w:hAnsi="Arial"/>
          <w:sz w:val="19"/>
          <w:szCs w:val="19"/>
          <w:color w:val="auto"/>
        </w:rPr>
        <w:t>”) other than any such Receivables Purchase Facility Termination that arises solely as a result of (i) a down-grading of the credit rating of any bank or financial institution not affiliated with the Borrowers that provides liquidity, credit or other support in connection with such facility; or (ii) breach of a covenant contained in any Receivables Purchase Facility and this Agreement if the Lenders have previously waived compliance with such covenant under the terms of this Agreement with respect to the particular instance of non-compliance giving rise to the breach of such covenant under such Receivables Purchase Facility, it being acknowledged by the Borrowers that no waiver by the Lenders of</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20"/>
          </w:cols>
          <w:pgMar w:left="240" w:top="631" w:right="239" w:bottom="1440" w:gutter="0" w:footer="0" w:header="0"/>
        </w:sectPr>
      </w:pPr>
    </w:p>
    <w:bookmarkStart w:id="107" w:name="page108"/>
    <w:bookmarkEnd w:id="107"/>
    <w:p>
      <w:pPr>
        <w:jc w:val="both"/>
        <w:spacing w:after="0" w:line="247" w:lineRule="auto"/>
        <w:rPr>
          <w:sz w:val="20"/>
          <w:szCs w:val="20"/>
          <w:color w:val="auto"/>
        </w:rPr>
      </w:pPr>
      <w:r>
        <w:rPr>
          <w:rFonts w:ascii="Arial" w:cs="Arial" w:eastAsia="Arial" w:hAnsi="Arial"/>
          <w:sz w:val="22"/>
          <w:szCs w:val="22"/>
          <w:color w:val="auto"/>
        </w:rPr>
        <w:t>compliance with the provisions of this Agreement in any particular instance shall constitute a waiver under either this Agreement or any Receivables Purchase Facility of any future non-compliance with such provision and (B) within 60 days after the effective date of such Receivables Purchase Facility Termination, additional financing and/or capitalization of the Borrowers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Borrowers; or</w:t>
      </w:r>
    </w:p>
    <w:p>
      <w:pPr>
        <w:spacing w:after="0" w:line="194" w:lineRule="exact"/>
        <w:rPr>
          <w:sz w:val="20"/>
          <w:szCs w:val="20"/>
          <w:color w:val="auto"/>
        </w:rPr>
      </w:pPr>
    </w:p>
    <w:p>
      <w:pPr>
        <w:jc w:val="both"/>
        <w:ind w:firstLine="656"/>
        <w:spacing w:after="0" w:line="302" w:lineRule="auto"/>
        <w:tabs>
          <w:tab w:leader="none" w:pos="1512"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Insolvency, Voluntary Proceedings.</w:t>
      </w:r>
      <w:r>
        <w:rPr>
          <w:rFonts w:ascii="Arial" w:cs="Arial" w:eastAsia="Arial" w:hAnsi="Arial"/>
          <w:sz w:val="19"/>
          <w:szCs w:val="19"/>
          <w:color w:val="auto"/>
        </w:rPr>
        <w:t xml:space="preserve"> Any Borrower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142" w:lineRule="exact"/>
        <w:rPr>
          <w:rFonts w:ascii="Arial" w:cs="Arial" w:eastAsia="Arial" w:hAnsi="Arial"/>
          <w:sz w:val="19"/>
          <w:szCs w:val="19"/>
          <w:color w:val="auto"/>
        </w:rPr>
      </w:pPr>
    </w:p>
    <w:p>
      <w:pPr>
        <w:jc w:val="both"/>
        <w:ind w:firstLine="656"/>
        <w:spacing w:after="0" w:line="259" w:lineRule="auto"/>
        <w:tabs>
          <w:tab w:leader="none" w:pos="1549"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Involuntary Proceedings</w:t>
      </w:r>
      <w:r>
        <w:rPr>
          <w:rFonts w:ascii="Arial" w:cs="Arial" w:eastAsia="Arial" w:hAnsi="Arial"/>
          <w:sz w:val="21"/>
          <w:szCs w:val="21"/>
          <w:color w:val="auto"/>
        </w:rPr>
        <w:t>. (i) Any involuntary Insolvency Proceeding is commenced or filed against any Borrower or any Material Subsidiary, or any writ, judgment, warrant of attachment, execution or similar process, is issued or levied against a substantial part of any Borrower’s or any Material Subsidiary’s properties, and any such proceeding or petition shall not be dismissed, or such writ, judgment, warrant of attachment, execution or similar process shall not be released, vacated or fully bonded within 60 days after commencement, filing or levy; (ii) any Borrower or any Material Subsidiary admits the material allegations of a petition against it in any Insolvency Proceeding, or an order for relief (or similar order under non-U.S. law) is ordered in any Insolvency Proceeding; or (iii) any Borrower or any Material Subsidiary acquiesces in the appointment of a receiver, trustee, custodian, conservator, liquidator, mortgagee in possession (or agent therefor), or other similar Person for itself or a substantial portion of its property or business; or</w:t>
      </w:r>
    </w:p>
    <w:p>
      <w:pPr>
        <w:spacing w:after="0" w:line="180" w:lineRule="exact"/>
        <w:rPr>
          <w:rFonts w:ascii="Arial" w:cs="Arial" w:eastAsia="Arial" w:hAnsi="Arial"/>
          <w:sz w:val="21"/>
          <w:szCs w:val="21"/>
          <w:color w:val="auto"/>
        </w:rPr>
      </w:pPr>
    </w:p>
    <w:p>
      <w:pPr>
        <w:jc w:val="both"/>
        <w:ind w:firstLine="656"/>
        <w:spacing w:after="0" w:line="263" w:lineRule="auto"/>
        <w:tabs>
          <w:tab w:leader="none" w:pos="1549"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Monetary Judgments</w:t>
      </w:r>
      <w:r>
        <w:rPr>
          <w:rFonts w:ascii="Arial" w:cs="Arial" w:eastAsia="Arial" w:hAnsi="Arial"/>
          <w:sz w:val="21"/>
          <w:szCs w:val="21"/>
          <w:color w:val="auto"/>
        </w:rPr>
        <w:t>. One or more non-interlocutory judgments, non-interlocutory orders, decrees or arbitration awards is entered against any or all of the Borrowers or any Material Subsidiary involving in the aggregate a liability (to the extent not covered by independent third-party insurance as to which the insurer does not dispute coverage) as to any single or related series of transactions, incidents or conditions, of $75,000,000 or more, and the same shall remain unsatisfied, unvacated and unstayed pending appeal for a period of 30 days after the entry thereof; or</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50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Non-Monetary Judgments.</w:t>
      </w:r>
      <w:r>
        <w:rPr>
          <w:rFonts w:ascii="Arial" w:cs="Arial" w:eastAsia="Arial" w:hAnsi="Arial"/>
          <w:sz w:val="22"/>
          <w:szCs w:val="22"/>
          <w:color w:val="auto"/>
        </w:rPr>
        <w:t xml:space="preserve"> Any non-monetary judgment, order or decree is entered against any Borrower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88" w:lineRule="exact"/>
        <w:rPr>
          <w:rFonts w:ascii="Arial" w:cs="Arial" w:eastAsia="Arial" w:hAnsi="Arial"/>
          <w:sz w:val="22"/>
          <w:szCs w:val="22"/>
          <w:color w:val="auto"/>
        </w:rPr>
      </w:pPr>
    </w:p>
    <w:p>
      <w:pPr>
        <w:jc w:val="both"/>
        <w:ind w:firstLine="656"/>
        <w:spacing w:after="0" w:line="312" w:lineRule="auto"/>
        <w:tabs>
          <w:tab w:leader="none" w:pos="150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which has resulted or could reasonably be expected to result in liability of any Borrower under Title IV of ERISA to the Pension Plan, Multiemployer Plan or the PBGC in an aggregate amount in excess of $75,000,000, or (ii) any Borrower or any ERISA Affiliate fails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20"/>
          </w:cols>
          <w:pgMar w:left="240" w:top="631" w:right="239" w:bottom="1440" w:gutter="0" w:footer="0" w:header="0"/>
        </w:sectPr>
      </w:pPr>
    </w:p>
    <w:bookmarkStart w:id="108" w:name="page109"/>
    <w:bookmarkEnd w:id="108"/>
    <w:p>
      <w:pPr>
        <w:spacing w:after="0" w:line="287" w:lineRule="auto"/>
        <w:rPr>
          <w:sz w:val="20"/>
          <w:szCs w:val="20"/>
          <w:color w:val="auto"/>
        </w:rPr>
      </w:pPr>
      <w:r>
        <w:rPr>
          <w:rFonts w:ascii="Arial" w:cs="Arial" w:eastAsia="Arial" w:hAnsi="Arial"/>
          <w:sz w:val="21"/>
          <w:szCs w:val="21"/>
          <w:color w:val="auto"/>
        </w:rPr>
        <w:t>to pay when due, after the expiration of any applicable grace period, any installment payment with respect to its withdrawal liability under Section 4201 of ERISA under a Multiemployer Plan in an aggregate amount in excess of $75,000,000; or</w:t>
      </w:r>
    </w:p>
    <w:p>
      <w:pPr>
        <w:spacing w:after="0" w:line="152" w:lineRule="exact"/>
        <w:rPr>
          <w:sz w:val="20"/>
          <w:szCs w:val="20"/>
          <w:color w:val="auto"/>
        </w:rPr>
      </w:pPr>
    </w:p>
    <w:p>
      <w:pPr>
        <w:jc w:val="both"/>
        <w:ind w:firstLine="656"/>
        <w:spacing w:after="0" w:line="261" w:lineRule="auto"/>
        <w:tabs>
          <w:tab w:leader="none" w:pos="1549"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Invalidity of Loan Documents</w:t>
      </w:r>
      <w:r>
        <w:rPr>
          <w:rFonts w:ascii="Arial" w:cs="Arial" w:eastAsia="Arial" w:hAnsi="Arial"/>
          <w:sz w:val="21"/>
          <w:szCs w:val="21"/>
          <w:color w:val="auto"/>
        </w:rPr>
        <w:t xml:space="preserve">. Any Loan Document, at any time after its execution and delivery and for any reason other than the agreement of all Lenders or satisfaction in full of all the Obligations, ceases to be in full force and effect (other than with respect to matters regarding Eurocurrency Rate Loans which are subject to the application of, and the Borrowers accordingly complying with the terms of, </w:t>
      </w:r>
      <w:r>
        <w:rPr>
          <w:rFonts w:ascii="Arial" w:cs="Arial" w:eastAsia="Arial" w:hAnsi="Arial"/>
          <w:sz w:val="21"/>
          <w:szCs w:val="21"/>
          <w:u w:val="single" w:color="auto"/>
          <w:color w:val="auto"/>
        </w:rPr>
        <w:t>Section 3.02</w:t>
      </w:r>
      <w:r>
        <w:rPr>
          <w:rFonts w:ascii="Arial" w:cs="Arial" w:eastAsia="Arial" w:hAnsi="Arial"/>
          <w:sz w:val="21"/>
          <w:szCs w:val="21"/>
          <w:color w:val="auto"/>
        </w:rPr>
        <w:t>) or is declared by a court of competent jurisdiction to be null and void, invalid or unenforceable in any respect; or any Borrower denies that is has any or further liability or obligation under any Loan Document, or purports to revoke, terminate or rescind any Loan Document; or</w:t>
      </w:r>
    </w:p>
    <w:p>
      <w:pPr>
        <w:spacing w:after="0" w:line="180" w:lineRule="exact"/>
        <w:rPr>
          <w:rFonts w:ascii="Arial" w:cs="Arial" w:eastAsia="Arial" w:hAnsi="Arial"/>
          <w:sz w:val="21"/>
          <w:szCs w:val="21"/>
          <w:color w:val="auto"/>
        </w:rPr>
      </w:pPr>
    </w:p>
    <w:p>
      <w:pPr>
        <w:ind w:left="1500" w:hanging="844"/>
        <w:spacing w:after="0"/>
        <w:tabs>
          <w:tab w:leader="none" w:pos="150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There occurs any Change of Control.</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b w:val="1"/>
          <w:bCs w:val="1"/>
          <w:color w:val="auto"/>
        </w:rPr>
        <w:t xml:space="preserve">8.02 Remedies Upon Event of Default. </w:t>
      </w:r>
      <w:r>
        <w:rPr>
          <w:rFonts w:ascii="Arial" w:cs="Arial" w:eastAsia="Arial" w:hAnsi="Arial"/>
          <w:sz w:val="21"/>
          <w:szCs w:val="21"/>
          <w:color w:val="auto"/>
        </w:rPr>
        <w:t>If any Event of Default occurs and is continuing, the Administrative Agent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at the request of, or may, with the consent of, the Required Lenders, take any or all of the following actions:</w:t>
      </w:r>
    </w:p>
    <w:p>
      <w:pPr>
        <w:spacing w:after="0" w:line="146" w:lineRule="exact"/>
        <w:rPr>
          <w:sz w:val="20"/>
          <w:szCs w:val="20"/>
          <w:color w:val="auto"/>
        </w:rPr>
      </w:pPr>
    </w:p>
    <w:p>
      <w:pPr>
        <w:ind w:firstLine="656"/>
        <w:spacing w:after="0" w:line="263" w:lineRule="auto"/>
        <w:tabs>
          <w:tab w:leader="none" w:pos="153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declare the commitment of each Lender to make Loans and any obligation of the L/C Issuer to make L/C Credit Extensions to be terminated, whereupon such commitments and obligation shall be terminated;</w:t>
      </w:r>
    </w:p>
    <w:p>
      <w:pPr>
        <w:spacing w:after="0" w:line="174" w:lineRule="exact"/>
        <w:rPr>
          <w:rFonts w:ascii="Arial" w:cs="Arial" w:eastAsia="Arial" w:hAnsi="Arial"/>
          <w:sz w:val="22"/>
          <w:szCs w:val="22"/>
          <w:color w:val="auto"/>
        </w:rPr>
      </w:pPr>
    </w:p>
    <w:p>
      <w:pPr>
        <w:jc w:val="both"/>
        <w:ind w:firstLine="656"/>
        <w:spacing w:after="0" w:line="312" w:lineRule="auto"/>
        <w:tabs>
          <w:tab w:leader="none" w:pos="154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33" w:lineRule="exact"/>
        <w:rPr>
          <w:rFonts w:ascii="Arial" w:cs="Arial" w:eastAsia="Arial" w:hAnsi="Arial"/>
          <w:sz w:val="19"/>
          <w:szCs w:val="19"/>
          <w:color w:val="auto"/>
        </w:rPr>
      </w:pPr>
    </w:p>
    <w:p>
      <w:pPr>
        <w:ind w:right="20" w:firstLine="656"/>
        <w:spacing w:after="0" w:line="263" w:lineRule="auto"/>
        <w:tabs>
          <w:tab w:leader="none" w:pos="153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require that the Borrowers Cash Collateralize the L/C Obligations (in an amount equal to the then Outstanding Amount thereof); and</w:t>
      </w:r>
    </w:p>
    <w:p>
      <w:pPr>
        <w:spacing w:after="0" w:line="174" w:lineRule="exact"/>
        <w:rPr>
          <w:rFonts w:ascii="Arial" w:cs="Arial" w:eastAsia="Arial" w:hAnsi="Arial"/>
          <w:sz w:val="22"/>
          <w:szCs w:val="22"/>
          <w:color w:val="auto"/>
        </w:rPr>
      </w:pPr>
    </w:p>
    <w:p>
      <w:pPr>
        <w:ind w:firstLine="656"/>
        <w:spacing w:after="0" w:line="263" w:lineRule="auto"/>
        <w:tabs>
          <w:tab w:leader="none" w:pos="154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exercise on behalf of itself, the Lenders and the L/C Issuer all rights and remedies available to it, the Lenders and the L/C Issuer under the Loan Documents;</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8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8.03 Application of Funds. </w:t>
      </w:r>
      <w:r>
        <w:rPr>
          <w:rFonts w:ascii="Arial" w:cs="Arial" w:eastAsia="Arial" w:hAnsi="Arial"/>
          <w:sz w:val="19"/>
          <w:szCs w:val="19"/>
          <w:color w:val="auto"/>
        </w:rPr>
        <w:t>After the exercise of remedies provided for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8.02</w:t>
      </w:r>
      <w:r>
        <w:rPr>
          <w:rFonts w:ascii="Arial" w:cs="Arial" w:eastAsia="Arial" w:hAnsi="Arial"/>
          <w:sz w:val="19"/>
          <w:szCs w:val="19"/>
          <w:b w:val="1"/>
          <w:bCs w:val="1"/>
          <w:color w:val="auto"/>
        </w:rPr>
        <w:t xml:space="preserve"> </w:t>
      </w:r>
      <w:r>
        <w:rPr>
          <w:rFonts w:ascii="Arial" w:cs="Arial" w:eastAsia="Arial" w:hAnsi="Arial"/>
          <w:sz w:val="19"/>
          <w:szCs w:val="19"/>
          <w:color w:val="auto"/>
        </w:rPr>
        <w:t>(or after the Loans have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automatically become immediately due and payable and the L/C Obligations have automatically been required to be Cash Collateralized as set forth in the proviso to </w:t>
      </w:r>
      <w:r>
        <w:rPr>
          <w:rFonts w:ascii="Arial" w:cs="Arial" w:eastAsia="Arial" w:hAnsi="Arial"/>
          <w:sz w:val="19"/>
          <w:szCs w:val="19"/>
          <w:u w:val="single" w:color="auto"/>
          <w:color w:val="auto"/>
        </w:rPr>
        <w:t>Section 8.02</w:t>
      </w:r>
      <w:r>
        <w:rPr>
          <w:rFonts w:ascii="Arial" w:cs="Arial" w:eastAsia="Arial" w:hAnsi="Arial"/>
          <w:sz w:val="19"/>
          <w:szCs w:val="19"/>
          <w:color w:val="auto"/>
        </w:rPr>
        <w:t>), any amounts received on account of the Obligations shall, subject to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20"/>
          </w:cols>
          <w:pgMar w:left="240" w:top="631"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22"/>
          <w:szCs w:val="22"/>
          <w:color w:val="auto"/>
        </w:rPr>
        <w:t xml:space="preserve">provisions of </w:t>
      </w:r>
      <w:r>
        <w:rPr>
          <w:rFonts w:ascii="Arial" w:cs="Arial" w:eastAsia="Arial" w:hAnsi="Arial"/>
          <w:sz w:val="22"/>
          <w:szCs w:val="22"/>
          <w:u w:val="single" w:color="auto"/>
          <w:color w:val="auto"/>
        </w:rPr>
        <w:t>Sections 2.15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2.16</w:t>
      </w:r>
      <w:r>
        <w:rPr>
          <w:rFonts w:ascii="Arial" w:cs="Arial" w:eastAsia="Arial" w:hAnsi="Arial"/>
          <w:sz w:val="22"/>
          <w:szCs w:val="22"/>
          <w:color w:val="auto"/>
        </w:rPr>
        <w:t>, be applied by the Administrative Agent in the following order:</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payable to the Administrative Agent in its capacity as such;</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ratably among them in proportion to the respective amounts described in this clause </w:t>
      </w:r>
      <w:r>
        <w:rPr>
          <w:rFonts w:ascii="Arial" w:cs="Arial" w:eastAsia="Arial" w:hAnsi="Arial"/>
          <w:sz w:val="22"/>
          <w:szCs w:val="22"/>
          <w:u w:val="single" w:color="auto"/>
          <w:color w:val="auto"/>
        </w:rPr>
        <w:t>Second</w:t>
      </w:r>
      <w:r>
        <w:rPr>
          <w:rFonts w:ascii="Arial" w:cs="Arial" w:eastAsia="Arial" w:hAnsi="Arial"/>
          <w:sz w:val="22"/>
          <w:szCs w:val="22"/>
          <w:color w:val="auto"/>
        </w:rPr>
        <w:t xml:space="preserve"> payable to them;</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Arial" w:cs="Arial" w:eastAsia="Arial" w:hAnsi="Arial"/>
          <w:sz w:val="22"/>
          <w:szCs w:val="22"/>
          <w:u w:val="single" w:color="auto"/>
          <w:color w:val="auto"/>
        </w:rPr>
        <w:t>Third</w:t>
      </w:r>
      <w:r>
        <w:rPr>
          <w:rFonts w:ascii="Arial" w:cs="Arial" w:eastAsia="Arial" w:hAnsi="Arial"/>
          <w:sz w:val="22"/>
          <w:szCs w:val="22"/>
          <w:color w:val="auto"/>
        </w:rPr>
        <w:t xml:space="preserve"> payable to them;</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held by them;</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xml:space="preserve">, to the Administrative Agent for the account of the L/C Issuer, to Cash Collateralize that portion of L/C Obligations comprised of the aggregate undrawn amount of Letters of Credit to the extent not otherwise Cash Collateralized by any Borrower pursuant to </w:t>
      </w:r>
      <w:r>
        <w:rPr>
          <w:rFonts w:ascii="Arial" w:cs="Arial" w:eastAsia="Arial" w:hAnsi="Arial"/>
          <w:sz w:val="22"/>
          <w:szCs w:val="22"/>
          <w:u w:val="single" w:color="auto"/>
          <w:color w:val="auto"/>
        </w:rPr>
        <w:t>Sections 2.03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2.15</w:t>
      </w:r>
      <w:r>
        <w:rPr>
          <w:rFonts w:ascii="Arial" w:cs="Arial" w:eastAsia="Arial" w:hAnsi="Arial"/>
          <w:sz w:val="22"/>
          <w:szCs w:val="22"/>
          <w:color w:val="auto"/>
        </w:rPr>
        <w:t>; and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Obligations have been indefeasibly paid in full, to the Borrowers or as otherwise required by Law.</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2.15</w:t>
      </w:r>
      <w:r>
        <w:rPr>
          <w:rFonts w:ascii="Arial" w:cs="Arial" w:eastAsia="Arial" w:hAnsi="Arial"/>
          <w:sz w:val="22"/>
          <w:szCs w:val="22"/>
          <w:color w:val="auto"/>
        </w:rPr>
        <w:t xml:space="preserve">, amounts used to Cash Collateralize the aggregate undrawn amount of Letters of Credit pursuant to clause </w:t>
      </w:r>
      <w:r>
        <w:rPr>
          <w:rFonts w:ascii="Arial" w:cs="Arial" w:eastAsia="Arial" w:hAnsi="Arial"/>
          <w:sz w:val="22"/>
          <w:szCs w:val="22"/>
          <w:u w:val="single" w:color="auto"/>
          <w:color w:val="auto"/>
        </w:rPr>
        <w:t>Fifth</w:t>
      </w:r>
      <w:r>
        <w:rPr>
          <w:rFonts w:ascii="Arial" w:cs="Arial" w:eastAsia="Arial" w:hAnsi="Arial"/>
          <w:sz w:val="22"/>
          <w:szCs w:val="22"/>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ADMINISTRATIVE AGENT</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9.01 Appointment and Authority. </w:t>
      </w:r>
      <w:r>
        <w:rPr>
          <w:rFonts w:ascii="Arial" w:cs="Arial" w:eastAsia="Arial" w:hAnsi="Arial"/>
          <w:sz w:val="22"/>
          <w:szCs w:val="22"/>
          <w:color w:val="auto"/>
        </w:rPr>
        <w:t>Each of the Lenders and the L/C Issuer hereby irrevocably appoints Bank of America</w:t>
      </w:r>
      <w:r>
        <w:rPr>
          <w:rFonts w:ascii="Arial" w:cs="Arial" w:eastAsia="Arial" w:hAnsi="Arial"/>
          <w:sz w:val="22"/>
          <w:szCs w:val="22"/>
          <w:b w:val="1"/>
          <w:bCs w:val="1"/>
          <w:color w:val="auto"/>
        </w:rPr>
        <w:t xml:space="preserve"> </w:t>
      </w:r>
      <w:r>
        <w:rPr>
          <w:rFonts w:ascii="Arial" w:cs="Arial" w:eastAsia="Arial" w:hAnsi="Arial"/>
          <w:sz w:val="22"/>
          <w:szCs w:val="22"/>
          <w:color w:val="auto"/>
        </w:rPr>
        <w:t>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631" w:right="239" w:bottom="1440" w:gutter="0" w:footer="0" w:header="0"/>
        </w:sectPr>
      </w:pPr>
    </w:p>
    <w:bookmarkStart w:id="110" w:name="page111"/>
    <w:bookmarkEnd w:id="110"/>
    <w:p>
      <w:pPr>
        <w:jc w:val="both"/>
        <w:spacing w:after="0" w:line="297" w:lineRule="auto"/>
        <w:rPr>
          <w:sz w:val="20"/>
          <w:szCs w:val="20"/>
          <w:color w:val="auto"/>
        </w:rPr>
      </w:pPr>
      <w:r>
        <w:rPr>
          <w:rFonts w:ascii="Arial" w:cs="Arial" w:eastAsia="Arial" w:hAnsi="Arial"/>
          <w:sz w:val="19"/>
          <w:szCs w:val="19"/>
          <w:color w:val="auto"/>
        </w:rPr>
        <w:t>Lenders and the L/C Issuer,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9.02 Rights as a Lender. </w:t>
      </w:r>
      <w:r>
        <w:rPr>
          <w:rFonts w:ascii="Arial" w:cs="Arial" w:eastAsia="Arial" w:hAnsi="Arial"/>
          <w:sz w:val="21"/>
          <w:szCs w:val="21"/>
          <w:color w:val="auto"/>
        </w:rPr>
        <w:t>The Person serving as the Administrative Agent hereunder shall have the same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9.03 Exculpatory Provisions. </w:t>
      </w:r>
      <w:r>
        <w:rPr>
          <w:rFonts w:ascii="Arial" w:cs="Arial" w:eastAsia="Arial" w:hAnsi="Arial"/>
          <w:sz w:val="22"/>
          <w:szCs w:val="22"/>
          <w:color w:val="auto"/>
        </w:rPr>
        <w:t>The Administrative Agent, in its capacity as such, shall not have any duties or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those expressly set forth herein and in the other Loan Documents, and its duties hereunder shall be administrative in nature. Without limiting the generality of the foregoing, the Administrative Agent:</w:t>
      </w:r>
    </w:p>
    <w:p>
      <w:pPr>
        <w:spacing w:after="0" w:line="182" w:lineRule="exact"/>
        <w:rPr>
          <w:sz w:val="20"/>
          <w:szCs w:val="20"/>
          <w:color w:val="auto"/>
        </w:rPr>
      </w:pPr>
    </w:p>
    <w:p>
      <w:pPr>
        <w:ind w:left="1540" w:hanging="884"/>
        <w:spacing w:after="0"/>
        <w:tabs>
          <w:tab w:leader="none" w:pos="15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continuing;</w:t>
      </w:r>
    </w:p>
    <w:p>
      <w:pPr>
        <w:spacing w:after="0" w:line="201" w:lineRule="exact"/>
        <w:rPr>
          <w:rFonts w:ascii="Arial" w:cs="Arial" w:eastAsia="Arial" w:hAnsi="Arial"/>
          <w:sz w:val="19"/>
          <w:szCs w:val="19"/>
          <w:color w:val="auto"/>
        </w:rPr>
      </w:pPr>
    </w:p>
    <w:p>
      <w:pPr>
        <w:jc w:val="both"/>
        <w:ind w:firstLine="656"/>
        <w:spacing w:after="0" w:line="259" w:lineRule="auto"/>
        <w:tabs>
          <w:tab w:leader="none" w:pos="1549"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4" w:lineRule="exact"/>
        <w:rPr>
          <w:rFonts w:ascii="Arial" w:cs="Arial" w:eastAsia="Arial" w:hAnsi="Arial"/>
          <w:sz w:val="21"/>
          <w:szCs w:val="21"/>
          <w:color w:val="auto"/>
        </w:rPr>
      </w:pPr>
    </w:p>
    <w:p>
      <w:pPr>
        <w:jc w:val="both"/>
        <w:ind w:firstLine="656"/>
        <w:spacing w:after="0" w:line="312" w:lineRule="auto"/>
        <w:tabs>
          <w:tab w:leader="none" w:pos="153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8.02</w:t>
      </w:r>
      <w:r>
        <w:rPr>
          <w:rFonts w:ascii="Arial" w:cs="Arial" w:eastAsia="Arial" w:hAnsi="Arial"/>
          <w:sz w:val="19"/>
          <w:szCs w:val="19"/>
          <w:color w:val="auto"/>
        </w:rPr>
        <w:t>)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631" w:right="239" w:bottom="1440" w:gutter="0" w:footer="0" w:header="0"/>
        </w:sectPr>
      </w:pPr>
    </w:p>
    <w:bookmarkStart w:id="111" w:name="page112"/>
    <w:bookmarkEnd w:id="111"/>
    <w:p>
      <w:pPr>
        <w:jc w:val="both"/>
        <w:ind w:firstLine="8"/>
        <w:spacing w:after="0" w:line="271" w:lineRule="auto"/>
        <w:tabs>
          <w:tab w:leader="none" w:pos="32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by Toro, a Lender or the L/C Issuer.</w:t>
      </w:r>
    </w:p>
    <w:p>
      <w:pPr>
        <w:spacing w:after="0" w:line="16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4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9.04 Reliance by Administrative Agent. </w:t>
      </w:r>
      <w:r>
        <w:rPr>
          <w:rFonts w:ascii="Arial" w:cs="Arial" w:eastAsia="Arial" w:hAnsi="Arial"/>
          <w:sz w:val="21"/>
          <w:szCs w:val="21"/>
          <w:color w:val="auto"/>
        </w:rPr>
        <w:t>The Administrative Agent shall be entitled to rely upon, and shall not incur any</w:t>
      </w:r>
      <w:r>
        <w:rPr>
          <w:rFonts w:ascii="Arial" w:cs="Arial" w:eastAsia="Arial" w:hAnsi="Arial"/>
          <w:sz w:val="21"/>
          <w:szCs w:val="21"/>
          <w:b w:val="1"/>
          <w:bCs w:val="1"/>
          <w:color w:val="auto"/>
        </w:rPr>
        <w:t xml:space="preserve"> </w:t>
      </w:r>
      <w:r>
        <w:rPr>
          <w:rFonts w:ascii="Arial" w:cs="Arial" w:eastAsia="Arial" w:hAnsi="Arial"/>
          <w:sz w:val="21"/>
          <w:szCs w:val="21"/>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Toro), independent accountants and other experts selected by it, and shall not be liable for any action taken or not taken by it in accordance with the advice of any such counsel, accountants or experts.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9.05 Delegation of Duties. </w:t>
      </w:r>
      <w:r>
        <w:rPr>
          <w:rFonts w:ascii="Arial" w:cs="Arial" w:eastAsia="Arial" w:hAnsi="Arial"/>
          <w:sz w:val="21"/>
          <w:szCs w:val="21"/>
          <w:color w:val="auto"/>
        </w:rPr>
        <w:t>The Administrative Agent may perform any and all of its duties and exercise its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20"/>
          </w:cols>
          <w:pgMar w:left="240" w:top="631" w:right="239" w:bottom="1440" w:gutter="0" w:footer="0" w:header="0"/>
        </w:sectPr>
      </w:pPr>
    </w:p>
    <w:bookmarkStart w:id="112" w:name="page113"/>
    <w:bookmarkEnd w:id="112"/>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9.06 Resignation or Removal of Administrative Agent. </w:t>
      </w:r>
      <w:r>
        <w:rPr>
          <w:rFonts w:ascii="Arial" w:cs="Arial" w:eastAsia="Arial" w:hAnsi="Arial"/>
          <w:sz w:val="19"/>
          <w:szCs w:val="19"/>
          <w:color w:val="auto"/>
        </w:rPr>
        <w:t>(a) The Administrative Agent may at any time give notice of its</w:t>
      </w:r>
      <w:r>
        <w:rPr>
          <w:rFonts w:ascii="Arial" w:cs="Arial" w:eastAsia="Arial" w:hAnsi="Arial"/>
          <w:sz w:val="19"/>
          <w:szCs w:val="19"/>
          <w:b w:val="1"/>
          <w:bCs w:val="1"/>
          <w:color w:val="auto"/>
        </w:rPr>
        <w:t xml:space="preserve"> </w:t>
      </w:r>
      <w:r>
        <w:rPr>
          <w:rFonts w:ascii="Arial" w:cs="Arial" w:eastAsia="Arial" w:hAnsi="Arial"/>
          <w:sz w:val="19"/>
          <w:szCs w:val="19"/>
          <w:color w:val="auto"/>
        </w:rPr>
        <w:t>resignation to the Lenders, the L/C Issuer and Toro. Upon receipt of any such notice of resignation, the Required Lenders shall have the right, in consultation with Toro,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155" w:lineRule="exact"/>
        <w:rPr>
          <w:sz w:val="20"/>
          <w:szCs w:val="20"/>
          <w:color w:val="auto"/>
        </w:rPr>
      </w:pPr>
    </w:p>
    <w:p>
      <w:pPr>
        <w:jc w:val="both"/>
        <w:ind w:firstLine="656"/>
        <w:spacing w:after="0" w:line="246" w:lineRule="auto"/>
        <w:tabs>
          <w:tab w:leader="none" w:pos="154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If the Person serving as Administrative Agent is a Defaulting Lender pursuant to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clause (d)</w:t>
      </w:r>
      <w:r>
        <w:rPr>
          <w:rFonts w:ascii="Arial" w:cs="Arial" w:eastAsia="Arial" w:hAnsi="Arial"/>
          <w:sz w:val="22"/>
          <w:szCs w:val="22"/>
          <w:color w:val="auto"/>
        </w:rPr>
        <w:t xml:space="preserve"> of the definition thereof, the Required Lenders may, to the extent permitted by applicable law, by notice in writing to Toro and such Person remove such Person as Administrative Agent and, with the consent of Toro unless an Event of Default has occurred and is continuing (such consent not to be unreasonably withheld)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2"/>
          <w:szCs w:val="22"/>
          <w:u w:val="single" w:color="auto"/>
          <w:color w:val="auto"/>
        </w:rPr>
        <w:t>Removal Effective Date</w:t>
      </w:r>
      <w:r>
        <w:rPr>
          <w:rFonts w:ascii="Arial" w:cs="Arial" w:eastAsia="Arial" w:hAnsi="Arial"/>
          <w:sz w:val="22"/>
          <w:szCs w:val="22"/>
          <w:color w:val="auto"/>
        </w:rPr>
        <w:t>”), then such removal shall nonetheless become effective in accordance with such notice on the Removal Effective Date.</w:t>
      </w:r>
    </w:p>
    <w:p>
      <w:pPr>
        <w:spacing w:after="0" w:line="197" w:lineRule="exact"/>
        <w:rPr>
          <w:rFonts w:ascii="Arial" w:cs="Arial" w:eastAsia="Arial" w:hAnsi="Arial"/>
          <w:sz w:val="22"/>
          <w:szCs w:val="22"/>
          <w:color w:val="auto"/>
        </w:rPr>
      </w:pPr>
    </w:p>
    <w:p>
      <w:pPr>
        <w:jc w:val="both"/>
        <w:ind w:firstLine="656"/>
        <w:spacing w:after="0" w:line="285" w:lineRule="auto"/>
        <w:tabs>
          <w:tab w:leader="none" w:pos="153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Borrowers to a successor Administrative Agent shall be the same as those payable to its predecessor unless otherwise agreed between Toro and such successor. After the retiring or removed Administrative Agent’s resignation or removal hereunder and under the other Loan Documents, the provisions of this Article and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continue in effect for the benefit of such retiring or removed Administrative Agent, its sub agents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625" w:right="239" w:bottom="1440" w:gutter="0" w:footer="0" w:header="0"/>
        </w:sectPr>
      </w:pPr>
    </w:p>
    <w:bookmarkStart w:id="113" w:name="page114"/>
    <w:bookmarkEnd w:id="113"/>
    <w:p>
      <w:pPr>
        <w:ind w:right="20"/>
        <w:spacing w:after="0" w:line="263" w:lineRule="auto"/>
        <w:rPr>
          <w:sz w:val="20"/>
          <w:szCs w:val="20"/>
          <w:color w:val="auto"/>
        </w:rPr>
      </w:pPr>
      <w:r>
        <w:rPr>
          <w:rFonts w:ascii="Arial" w:cs="Arial" w:eastAsia="Arial" w:hAnsi="Arial"/>
          <w:sz w:val="22"/>
          <w:szCs w:val="22"/>
          <w:color w:val="auto"/>
        </w:rPr>
        <w:t>their respective Related Parties in respect of any actions taken or omitted to be taken by any of them while the retiring or removed Administrative Agent was acting as Administrative Agent.</w:t>
      </w:r>
    </w:p>
    <w:p>
      <w:pPr>
        <w:spacing w:after="0" w:line="175" w:lineRule="exact"/>
        <w:rPr>
          <w:sz w:val="20"/>
          <w:szCs w:val="20"/>
          <w:color w:val="auto"/>
        </w:rPr>
      </w:pPr>
    </w:p>
    <w:p>
      <w:pPr>
        <w:jc w:val="both"/>
        <w:ind w:firstLine="656"/>
        <w:spacing w:after="0" w:line="286" w:lineRule="auto"/>
        <w:tabs>
          <w:tab w:leader="none" w:pos="154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by Toro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9.07 Non-Reliance on Administrative Agent and Other Lenders. </w:t>
      </w:r>
      <w:r>
        <w:rPr>
          <w:rFonts w:ascii="Arial" w:cs="Arial" w:eastAsia="Arial" w:hAnsi="Arial"/>
          <w:sz w:val="19"/>
          <w:szCs w:val="19"/>
          <w:color w:val="auto"/>
        </w:rPr>
        <w:t>Each Lender and the L/C Issuer acknowledges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9.08 No Other Duties, Etc. </w:t>
      </w:r>
      <w:r>
        <w:rPr>
          <w:rFonts w:ascii="Arial" w:cs="Arial" w:eastAsia="Arial" w:hAnsi="Arial"/>
          <w:sz w:val="22"/>
          <w:szCs w:val="22"/>
          <w:color w:val="auto"/>
        </w:rPr>
        <w:t>Anything herein to the contrary notwithstanding, none of the Joint Bookrunners, the</w:t>
      </w:r>
      <w:r>
        <w:rPr>
          <w:rFonts w:ascii="Arial" w:cs="Arial" w:eastAsia="Arial" w:hAnsi="Arial"/>
          <w:sz w:val="22"/>
          <w:szCs w:val="22"/>
          <w:b w:val="1"/>
          <w:bCs w:val="1"/>
          <w:color w:val="auto"/>
        </w:rPr>
        <w:t xml:space="preserve"> </w:t>
      </w:r>
      <w:r>
        <w:rPr>
          <w:rFonts w:ascii="Arial" w:cs="Arial" w:eastAsia="Arial" w:hAnsi="Arial"/>
          <w:sz w:val="22"/>
          <w:szCs w:val="22"/>
          <w:color w:val="auto"/>
        </w:rPr>
        <w:t>Arrangers, the Syndication Agent or the Co-Documentation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9.09 Administrative Agent May File Proofs of Claim. </w:t>
      </w:r>
      <w:r>
        <w:rPr>
          <w:rFonts w:ascii="Arial" w:cs="Arial" w:eastAsia="Arial" w:hAnsi="Arial"/>
          <w:sz w:val="21"/>
          <w:szCs w:val="21"/>
          <w:color w:val="auto"/>
        </w:rPr>
        <w:t>In case of the pendency of any receivership, insolvency,</w:t>
      </w:r>
      <w:r>
        <w:rPr>
          <w:rFonts w:ascii="Arial" w:cs="Arial" w:eastAsia="Arial" w:hAnsi="Arial"/>
          <w:sz w:val="21"/>
          <w:szCs w:val="21"/>
          <w:b w:val="1"/>
          <w:bCs w:val="1"/>
          <w:color w:val="auto"/>
        </w:rPr>
        <w:t xml:space="preserve"> </w:t>
      </w:r>
      <w:r>
        <w:rPr>
          <w:rFonts w:ascii="Arial" w:cs="Arial" w:eastAsia="Arial" w:hAnsi="Arial"/>
          <w:sz w:val="21"/>
          <w:szCs w:val="21"/>
          <w:color w:val="auto"/>
        </w:rPr>
        <w:t>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631" w:right="239" w:bottom="1440" w:gutter="0" w:footer="0" w:header="0"/>
        </w:sectPr>
      </w:pPr>
    </w:p>
    <w:bookmarkStart w:id="114" w:name="page115"/>
    <w:bookmarkEnd w:id="114"/>
    <w:p>
      <w:pPr>
        <w:spacing w:after="0" w:line="263" w:lineRule="auto"/>
        <w:rPr>
          <w:sz w:val="20"/>
          <w:szCs w:val="20"/>
          <w:color w:val="auto"/>
        </w:rPr>
      </w:pPr>
      <w:r>
        <w:rPr>
          <w:rFonts w:ascii="Arial" w:cs="Arial" w:eastAsia="Arial" w:hAnsi="Arial"/>
          <w:sz w:val="22"/>
          <w:szCs w:val="22"/>
          <w:color w:val="auto"/>
        </w:rPr>
        <w:t>Administrative Agent shall have made any demand on any Borrower) shall be entitled and empowered, by intervention in such proceeding or otherwise</w:t>
      </w:r>
    </w:p>
    <w:p>
      <w:pPr>
        <w:spacing w:after="0" w:line="175" w:lineRule="exact"/>
        <w:rPr>
          <w:sz w:val="20"/>
          <w:szCs w:val="20"/>
          <w:color w:val="auto"/>
        </w:rPr>
      </w:pPr>
    </w:p>
    <w:p>
      <w:pPr>
        <w:jc w:val="both"/>
        <w:ind w:firstLine="656"/>
        <w:spacing w:after="0" w:line="261" w:lineRule="auto"/>
        <w:tabs>
          <w:tab w:leader="none" w:pos="1536" w:val="left"/>
        </w:tabs>
        <w:numPr>
          <w:ilvl w:val="0"/>
          <w:numId w:val="137"/>
        </w:numPr>
        <w:rPr>
          <w:rFonts w:ascii="Arial" w:cs="Arial" w:eastAsia="Arial" w:hAnsi="Arial"/>
          <w:sz w:val="21"/>
          <w:szCs w:val="21"/>
          <w:color w:val="auto"/>
        </w:rPr>
      </w:pPr>
      <w:r>
        <w:rPr>
          <w:rFonts w:ascii="Arial" w:cs="Arial" w:eastAsia="Arial" w:hAnsi="Arial"/>
          <w:sz w:val="21"/>
          <w:szCs w:val="21"/>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21"/>
          <w:szCs w:val="21"/>
          <w:u w:val="single" w:color="auto"/>
          <w:color w:val="auto"/>
        </w:rPr>
        <w:t>Sections 2.03(h)</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w:t>
      </w:r>
      <w:r>
        <w:rPr>
          <w:rFonts w:ascii="Arial" w:cs="Arial" w:eastAsia="Arial" w:hAnsi="Arial"/>
          <w:sz w:val="21"/>
          <w:szCs w:val="21"/>
          <w:color w:val="auto"/>
        </w:rPr>
        <w:t xml:space="preserve">, </w:t>
      </w:r>
      <w:r>
        <w:rPr>
          <w:rFonts w:ascii="Arial" w:cs="Arial" w:eastAsia="Arial" w:hAnsi="Arial"/>
          <w:sz w:val="21"/>
          <w:szCs w:val="21"/>
          <w:u w:val="single" w:color="auto"/>
          <w:color w:val="auto"/>
        </w:rPr>
        <w:t>2.09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 allowed in such judicial proceeding; and</w:t>
      </w:r>
    </w:p>
    <w:p>
      <w:pPr>
        <w:spacing w:after="0" w:line="180" w:lineRule="exact"/>
        <w:rPr>
          <w:rFonts w:ascii="Arial" w:cs="Arial" w:eastAsia="Arial" w:hAnsi="Arial"/>
          <w:sz w:val="21"/>
          <w:szCs w:val="21"/>
          <w:color w:val="auto"/>
        </w:rPr>
      </w:pPr>
    </w:p>
    <w:p>
      <w:pPr>
        <w:ind w:left="1560" w:hanging="904"/>
        <w:spacing w:after="0"/>
        <w:tabs>
          <w:tab w:leader="none" w:pos="15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same;</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2"/>
          <w:szCs w:val="22"/>
          <w:u w:val="single" w:color="auto"/>
          <w:color w:val="auto"/>
        </w:rPr>
        <w:t>Sections 2.09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11.04</w:t>
      </w:r>
      <w:r>
        <w:rPr>
          <w:rFonts w:ascii="Arial" w:cs="Arial" w:eastAsia="Arial" w:hAnsi="Arial"/>
          <w:sz w:val="22"/>
          <w:szCs w:val="22"/>
          <w:color w:val="auto"/>
        </w:rPr>
        <w:t>.</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or to authorize the Administrative Agent to vote in respect of the claim of any Lender or the L/C Issuer in any such proceeding.</w:t>
      </w:r>
    </w:p>
    <w:p>
      <w:pPr>
        <w:spacing w:after="0" w:line="18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color w:val="auto"/>
        </w:rPr>
        <w:t>No Lender is an Employee Benefit Plan.</w:t>
      </w:r>
    </w:p>
    <w:p>
      <w:pPr>
        <w:spacing w:after="0" w:line="226" w:lineRule="exact"/>
        <w:rPr>
          <w:sz w:val="20"/>
          <w:szCs w:val="20"/>
          <w:color w:val="auto"/>
        </w:rPr>
      </w:pPr>
    </w:p>
    <w:p>
      <w:pPr>
        <w:jc w:val="both"/>
        <w:ind w:firstLine="656"/>
        <w:spacing w:after="0" w:line="302" w:lineRule="auto"/>
        <w:tabs>
          <w:tab w:leader="none" w:pos="153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Toro or any other Loan Party, that at least one of the following is and will be true:</w:t>
      </w:r>
    </w:p>
    <w:p>
      <w:pPr>
        <w:spacing w:after="0" w:line="142" w:lineRule="exact"/>
        <w:rPr>
          <w:rFonts w:ascii="Arial" w:cs="Arial" w:eastAsia="Arial" w:hAnsi="Arial"/>
          <w:sz w:val="19"/>
          <w:szCs w:val="19"/>
          <w:color w:val="auto"/>
        </w:rPr>
      </w:pPr>
    </w:p>
    <w:p>
      <w:pPr>
        <w:jc w:val="both"/>
        <w:ind w:left="660" w:firstLine="645"/>
        <w:spacing w:after="0" w:line="253" w:lineRule="auto"/>
        <w:tabs>
          <w:tab w:leader="none" w:pos="216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29 CFR § 2510.3-101, as modified by Section 3(42) of ERISA) of one or more Benefit Plans in connection with the Loans, the Letters of Credit or the Commitments;</w:t>
      </w:r>
    </w:p>
    <w:p>
      <w:pPr>
        <w:spacing w:after="0" w:line="185" w:lineRule="exact"/>
        <w:rPr>
          <w:rFonts w:ascii="Arial" w:cs="Arial" w:eastAsia="Arial" w:hAnsi="Arial"/>
          <w:sz w:val="22"/>
          <w:szCs w:val="22"/>
          <w:color w:val="auto"/>
        </w:rPr>
      </w:pPr>
    </w:p>
    <w:p>
      <w:pPr>
        <w:jc w:val="both"/>
        <w:ind w:left="660" w:firstLine="645"/>
        <w:spacing w:after="0" w:line="248" w:lineRule="auto"/>
        <w:tabs>
          <w:tab w:leader="none" w:pos="2221"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20"/>
          </w:cols>
          <w:pgMar w:left="240" w:top="631" w:right="239" w:bottom="1440" w:gutter="0" w:footer="0" w:header="0"/>
        </w:sectPr>
      </w:pPr>
    </w:p>
    <w:bookmarkStart w:id="115" w:name="page116"/>
    <w:bookmarkEnd w:id="115"/>
    <w:p>
      <w:pPr>
        <w:jc w:val="both"/>
        <w:ind w:left="660"/>
        <w:spacing w:after="0" w:line="253" w:lineRule="auto"/>
        <w:rPr>
          <w:sz w:val="20"/>
          <w:szCs w:val="20"/>
          <w:color w:val="auto"/>
        </w:rPr>
      </w:pPr>
      <w:r>
        <w:rPr>
          <w:rFonts w:ascii="Arial" w:cs="Arial" w:eastAsia="Arial" w:hAnsi="Arial"/>
          <w:sz w:val="22"/>
          <w:szCs w:val="22"/>
          <w:color w:val="auto"/>
        </w:rPr>
        <w:t>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6" w:lineRule="exact"/>
        <w:rPr>
          <w:sz w:val="20"/>
          <w:szCs w:val="20"/>
          <w:color w:val="auto"/>
        </w:rPr>
      </w:pPr>
    </w:p>
    <w:p>
      <w:pPr>
        <w:jc w:val="both"/>
        <w:ind w:left="660" w:firstLine="645"/>
        <w:spacing w:after="0" w:line="259" w:lineRule="auto"/>
        <w:tabs>
          <w:tab w:leader="none" w:pos="2281" w:val="left"/>
        </w:tabs>
        <w:numPr>
          <w:ilvl w:val="1"/>
          <w:numId w:val="139"/>
        </w:numPr>
        <w:rPr>
          <w:rFonts w:ascii="Arial" w:cs="Arial" w:eastAsia="Arial" w:hAnsi="Arial"/>
          <w:sz w:val="21"/>
          <w:szCs w:val="21"/>
          <w:color w:val="auto"/>
        </w:rPr>
      </w:pPr>
      <w:r>
        <w:rPr>
          <w:rFonts w:ascii="Arial" w:cs="Arial" w:eastAsia="Arial" w:hAnsi="Arial"/>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4" w:lineRule="exact"/>
        <w:rPr>
          <w:rFonts w:ascii="Arial" w:cs="Arial" w:eastAsia="Arial" w:hAnsi="Arial"/>
          <w:sz w:val="21"/>
          <w:szCs w:val="21"/>
          <w:color w:val="auto"/>
        </w:rPr>
      </w:pPr>
    </w:p>
    <w:p>
      <w:pPr>
        <w:ind w:left="660" w:firstLine="645"/>
        <w:spacing w:after="0" w:line="263" w:lineRule="auto"/>
        <w:tabs>
          <w:tab w:leader="none" w:pos="2268" w:val="left"/>
        </w:tabs>
        <w:numPr>
          <w:ilvl w:val="1"/>
          <w:numId w:val="139"/>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549"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In addition, unless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above is true with respect to a Lender or such Lender has not provided another representation, warranty and covenant as provided in </w:t>
      </w:r>
      <w:r>
        <w:rPr>
          <w:rFonts w:ascii="Arial" w:cs="Arial" w:eastAsia="Arial" w:hAnsi="Arial"/>
          <w:sz w:val="19"/>
          <w:szCs w:val="19"/>
          <w:u w:val="single" w:color="auto"/>
          <w:color w:val="auto"/>
        </w:rPr>
        <w:t>clause (a)(iv)</w:t>
      </w:r>
      <w:r>
        <w:rPr>
          <w:rFonts w:ascii="Arial" w:cs="Arial" w:eastAsia="Arial" w:hAnsi="Arial"/>
          <w:sz w:val="19"/>
          <w:szCs w:val="19"/>
          <w:color w:val="auto"/>
        </w:rPr>
        <w:t xml:space="preserve"> above,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Toro or any other Loan Party, that:</w:t>
      </w:r>
    </w:p>
    <w:p>
      <w:pPr>
        <w:spacing w:after="0" w:line="147" w:lineRule="exact"/>
        <w:rPr>
          <w:rFonts w:ascii="Arial" w:cs="Arial" w:eastAsia="Arial" w:hAnsi="Arial"/>
          <w:sz w:val="19"/>
          <w:szCs w:val="19"/>
          <w:color w:val="auto"/>
        </w:rPr>
      </w:pPr>
    </w:p>
    <w:p>
      <w:pPr>
        <w:jc w:val="both"/>
        <w:ind w:left="660" w:right="20" w:firstLine="645"/>
        <w:spacing w:after="0" w:line="271" w:lineRule="auto"/>
        <w:tabs>
          <w:tab w:leader="none" w:pos="2160" w:val="left"/>
        </w:tabs>
        <w:numPr>
          <w:ilvl w:val="1"/>
          <w:numId w:val="140"/>
        </w:numPr>
        <w:rPr>
          <w:rFonts w:ascii="Arial" w:cs="Arial" w:eastAsia="Arial" w:hAnsi="Arial"/>
          <w:sz w:val="21"/>
          <w:szCs w:val="21"/>
          <w:color w:val="auto"/>
        </w:rPr>
      </w:pPr>
      <w:r>
        <w:rPr>
          <w:rFonts w:ascii="Arial" w:cs="Arial" w:eastAsia="Arial" w:hAnsi="Arial"/>
          <w:sz w:val="21"/>
          <w:szCs w:val="21"/>
          <w:color w:val="auto"/>
        </w:rPr>
        <w:t>none of the Administrative Agent or the Arrangers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67" w:lineRule="exact"/>
        <w:rPr>
          <w:rFonts w:ascii="Arial" w:cs="Arial" w:eastAsia="Arial" w:hAnsi="Arial"/>
          <w:sz w:val="21"/>
          <w:szCs w:val="21"/>
          <w:color w:val="auto"/>
        </w:rPr>
      </w:pPr>
    </w:p>
    <w:p>
      <w:pPr>
        <w:jc w:val="both"/>
        <w:ind w:left="660" w:firstLine="645"/>
        <w:spacing w:after="0" w:line="263" w:lineRule="auto"/>
        <w:tabs>
          <w:tab w:leader="none" w:pos="2221" w:val="left"/>
        </w:tabs>
        <w:numPr>
          <w:ilvl w:val="1"/>
          <w:numId w:val="140"/>
        </w:numPr>
        <w:rPr>
          <w:rFonts w:ascii="Arial" w:cs="Arial" w:eastAsia="Arial" w:hAnsi="Arial"/>
          <w:sz w:val="21"/>
          <w:szCs w:val="21"/>
          <w:color w:val="auto"/>
        </w:rPr>
      </w:pPr>
      <w:r>
        <w:rPr>
          <w:rFonts w:ascii="Arial" w:cs="Arial" w:eastAsia="Arial" w:hAnsi="Arial"/>
          <w:sz w:val="21"/>
          <w:szCs w:val="21"/>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175" w:lineRule="exact"/>
        <w:rPr>
          <w:rFonts w:ascii="Arial" w:cs="Arial" w:eastAsia="Arial" w:hAnsi="Arial"/>
          <w:sz w:val="21"/>
          <w:szCs w:val="21"/>
          <w:color w:val="auto"/>
        </w:rPr>
      </w:pPr>
    </w:p>
    <w:p>
      <w:pPr>
        <w:jc w:val="both"/>
        <w:ind w:left="660" w:firstLine="645"/>
        <w:spacing w:after="0" w:line="250" w:lineRule="auto"/>
        <w:tabs>
          <w:tab w:leader="none" w:pos="2281"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20"/>
          </w:cols>
          <w:pgMar w:left="240" w:top="631" w:right="239" w:bottom="1440" w:gutter="0" w:footer="0" w:header="0"/>
        </w:sectPr>
      </w:pPr>
    </w:p>
    <w:bookmarkStart w:id="116" w:name="page117"/>
    <w:bookmarkEnd w:id="116"/>
    <w:p>
      <w:pPr>
        <w:jc w:val="both"/>
        <w:ind w:left="660" w:firstLine="645"/>
        <w:spacing w:after="0" w:line="248" w:lineRule="auto"/>
        <w:tabs>
          <w:tab w:leader="none" w:pos="2268"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92" w:lineRule="exact"/>
        <w:rPr>
          <w:rFonts w:ascii="Arial" w:cs="Arial" w:eastAsia="Arial" w:hAnsi="Arial"/>
          <w:sz w:val="22"/>
          <w:szCs w:val="22"/>
          <w:color w:val="auto"/>
        </w:rPr>
      </w:pPr>
    </w:p>
    <w:p>
      <w:pPr>
        <w:jc w:val="both"/>
        <w:ind w:left="660" w:right="20" w:firstLine="645"/>
        <w:spacing w:after="0" w:line="253" w:lineRule="auto"/>
        <w:tabs>
          <w:tab w:leader="none" w:pos="2209" w:val="left"/>
        </w:tabs>
        <w:numPr>
          <w:ilvl w:val="1"/>
          <w:numId w:val="141"/>
        </w:numPr>
        <w:rPr>
          <w:rFonts w:ascii="Arial" w:cs="Arial" w:eastAsia="Arial" w:hAnsi="Arial"/>
          <w:sz w:val="22"/>
          <w:szCs w:val="22"/>
          <w:color w:val="auto"/>
        </w:rPr>
      </w:pPr>
      <w:r>
        <w:rPr>
          <w:rFonts w:ascii="Arial" w:cs="Arial" w:eastAsia="Arial" w:hAnsi="Arial"/>
          <w:sz w:val="22"/>
          <w:szCs w:val="22"/>
          <w:color w:val="auto"/>
        </w:rPr>
        <w:t>no fee or other compensation is being paid directly to the Administrative Agent or the Arrangers or any their respective Affiliates for investment advice (as opposed to other services) in connection with the Loans, the Letters of Credit, the Commitments or this Agreement.</w:t>
      </w:r>
    </w:p>
    <w:p>
      <w:pPr>
        <w:spacing w:after="0" w:line="185" w:lineRule="exact"/>
        <w:rPr>
          <w:rFonts w:ascii="Arial" w:cs="Arial" w:eastAsia="Arial" w:hAnsi="Arial"/>
          <w:sz w:val="22"/>
          <w:szCs w:val="22"/>
          <w:color w:val="auto"/>
        </w:rPr>
      </w:pPr>
    </w:p>
    <w:p>
      <w:pPr>
        <w:jc w:val="both"/>
        <w:ind w:firstLine="656"/>
        <w:spacing w:after="0" w:line="288" w:lineRule="auto"/>
        <w:tabs>
          <w:tab w:leader="none" w:pos="153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Administrative Agent and the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GUARANTY</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10.01 The Guaranty. </w:t>
      </w:r>
      <w:r>
        <w:rPr>
          <w:rFonts w:ascii="Arial" w:cs="Arial" w:eastAsia="Arial" w:hAnsi="Arial"/>
          <w:sz w:val="21"/>
          <w:szCs w:val="21"/>
          <w:color w:val="auto"/>
        </w:rPr>
        <w:t>Toro hereby unconditionally guarantees the full and punctual payment (whether at stated maturity,</w:t>
      </w:r>
      <w:r>
        <w:rPr>
          <w:rFonts w:ascii="Arial" w:cs="Arial" w:eastAsia="Arial" w:hAnsi="Arial"/>
          <w:sz w:val="21"/>
          <w:szCs w:val="21"/>
          <w:b w:val="1"/>
          <w:bCs w:val="1"/>
          <w:color w:val="auto"/>
        </w:rPr>
        <w:t xml:space="preserve"> </w:t>
      </w:r>
      <w:r>
        <w:rPr>
          <w:rFonts w:ascii="Arial" w:cs="Arial" w:eastAsia="Arial" w:hAnsi="Arial"/>
          <w:sz w:val="21"/>
          <w:szCs w:val="21"/>
          <w:color w:val="auto"/>
        </w:rPr>
        <w:t>upon acceleration or otherwise) of the principal of and interest on each Loan made by the Lenders or any Lender to any Subsidiary Borrower and each Letter of Credit issued by the L/C Issuer for any Subsidiary Borrower, in each case pursuant to this Agreement; and the full and punctual payment of all other amounts payable by any Subsidiary Borrower under this Agreement. Upon failure by any Subsidiary Borrower to pay punctually any such amount, Toro shall forthwith on demand pay the amount not so paid at the place and in the manner specified in this Agreement.</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10.02 Guaranty Unconditional. </w:t>
      </w:r>
      <w:r>
        <w:rPr>
          <w:rFonts w:ascii="Arial" w:cs="Arial" w:eastAsia="Arial" w:hAnsi="Arial"/>
          <w:sz w:val="22"/>
          <w:szCs w:val="22"/>
          <w:color w:val="auto"/>
        </w:rPr>
        <w:t>The obligations of Toro hereunder are a guaranty of payment and not of collection,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unconditional and absolute and, without limiting the generality of the foregoing, shall not be released, discharged or otherwise affected by: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20"/>
          </w:cols>
          <w:pgMar w:left="240" w:top="631" w:right="239" w:bottom="1440" w:gutter="0" w:footer="0" w:header="0"/>
        </w:sectPr>
      </w:pPr>
    </w:p>
    <w:bookmarkStart w:id="117" w:name="page118"/>
    <w:bookmarkEnd w:id="117"/>
    <w:p>
      <w:pPr>
        <w:ind w:firstLine="656"/>
        <w:spacing w:after="0" w:line="263" w:lineRule="auto"/>
        <w:tabs>
          <w:tab w:leader="none" w:pos="122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extension, renewal, settlement, compromise, waiver or release in respect of any obligation of any Subsidiary Borrower under this Agreement or any Note, by operation of law or otherwise;</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modification or amendment of or supplement to this Agreement or any Note;</w:t>
      </w:r>
    </w:p>
    <w:p>
      <w:pPr>
        <w:spacing w:after="0" w:line="219" w:lineRule="exact"/>
        <w:rPr>
          <w:rFonts w:ascii="Arial" w:cs="Arial" w:eastAsia="Arial" w:hAnsi="Arial"/>
          <w:sz w:val="22"/>
          <w:szCs w:val="22"/>
          <w:color w:val="auto"/>
        </w:rPr>
      </w:pPr>
    </w:p>
    <w:p>
      <w:pPr>
        <w:ind w:firstLine="656"/>
        <w:spacing w:after="0" w:line="263" w:lineRule="auto"/>
        <w:tabs>
          <w:tab w:leader="none" w:pos="1269"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release, non-perfection or invalidity of any direct or indirect security for any obligation of any Subsidiary Borrower under this Agreement or any Note;</w:t>
      </w:r>
    </w:p>
    <w:p>
      <w:pPr>
        <w:spacing w:after="0" w:line="174" w:lineRule="exact"/>
        <w:rPr>
          <w:rFonts w:ascii="Arial" w:cs="Arial" w:eastAsia="Arial" w:hAnsi="Arial"/>
          <w:sz w:val="22"/>
          <w:szCs w:val="22"/>
          <w:color w:val="auto"/>
        </w:rPr>
      </w:pPr>
    </w:p>
    <w:p>
      <w:pPr>
        <w:jc w:val="both"/>
        <w:ind w:firstLine="656"/>
        <w:spacing w:after="0" w:line="271" w:lineRule="auto"/>
        <w:tabs>
          <w:tab w:leader="none" w:pos="1295" w:val="left"/>
        </w:tabs>
        <w:numPr>
          <w:ilvl w:val="0"/>
          <w:numId w:val="143"/>
        </w:numPr>
        <w:rPr>
          <w:rFonts w:ascii="Arial" w:cs="Arial" w:eastAsia="Arial" w:hAnsi="Arial"/>
          <w:sz w:val="21"/>
          <w:szCs w:val="21"/>
          <w:color w:val="auto"/>
        </w:rPr>
      </w:pPr>
      <w:r>
        <w:rPr>
          <w:rFonts w:ascii="Arial" w:cs="Arial" w:eastAsia="Arial" w:hAnsi="Arial"/>
          <w:sz w:val="21"/>
          <w:szCs w:val="21"/>
          <w:color w:val="auto"/>
        </w:rPr>
        <w:t>any change in the corporate existence, structure or ownership of any Subsidiary Borrower, or any insolvency, bankruptcy, reorganization or other similar proceeding affecting such Subsidiary Borrower or its assets or any resulting release or discharge of any obligation of such Subsidiary Borrower contained in this Agreement or any Note;</w:t>
      </w:r>
    </w:p>
    <w:p>
      <w:pPr>
        <w:spacing w:after="0" w:line="167" w:lineRule="exact"/>
        <w:rPr>
          <w:rFonts w:ascii="Arial" w:cs="Arial" w:eastAsia="Arial" w:hAnsi="Arial"/>
          <w:sz w:val="21"/>
          <w:szCs w:val="21"/>
          <w:color w:val="auto"/>
        </w:rPr>
      </w:pPr>
    </w:p>
    <w:p>
      <w:pPr>
        <w:jc w:val="both"/>
        <w:ind w:firstLine="656"/>
        <w:spacing w:after="0" w:line="250" w:lineRule="auto"/>
        <w:tabs>
          <w:tab w:leader="none" w:pos="114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the existence of any claim, set-off or other rights which Toro may have at any time against any Subsidiary Borrower, any Administrative Agent, any Lender or any other corporation or person, whether in connection herewith or any unrelated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nothing herein shall prevent the assertion of any such claim by separate suit or compulsory counterclaim;</w:t>
      </w:r>
    </w:p>
    <w:p>
      <w:pPr>
        <w:spacing w:after="0" w:line="188" w:lineRule="exact"/>
        <w:rPr>
          <w:rFonts w:ascii="Arial" w:cs="Arial" w:eastAsia="Arial" w:hAnsi="Arial"/>
          <w:sz w:val="22"/>
          <w:szCs w:val="22"/>
          <w:color w:val="auto"/>
        </w:rPr>
      </w:pPr>
    </w:p>
    <w:p>
      <w:pPr>
        <w:jc w:val="both"/>
        <w:ind w:firstLine="656"/>
        <w:spacing w:after="0" w:line="271" w:lineRule="auto"/>
        <w:tabs>
          <w:tab w:leader="none" w:pos="1124" w:val="left"/>
        </w:tabs>
        <w:numPr>
          <w:ilvl w:val="0"/>
          <w:numId w:val="143"/>
        </w:numPr>
        <w:rPr>
          <w:rFonts w:ascii="Arial" w:cs="Arial" w:eastAsia="Arial" w:hAnsi="Arial"/>
          <w:sz w:val="21"/>
          <w:szCs w:val="21"/>
          <w:color w:val="auto"/>
        </w:rPr>
      </w:pPr>
      <w:r>
        <w:rPr>
          <w:rFonts w:ascii="Arial" w:cs="Arial" w:eastAsia="Arial" w:hAnsi="Arial"/>
          <w:sz w:val="21"/>
          <w:szCs w:val="21"/>
          <w:color w:val="auto"/>
        </w:rPr>
        <w:t>any invalidity or unenforceability relating to or against any Subsidiary Borrower for any reason of this Agreement or any Note, or any provision of applicable law or regulation purporting to prohibit the payment by any Subsidiary Borrower of the principal of or interest on any Note or any other amount payable by it under this Agreement; or</w:t>
      </w:r>
    </w:p>
    <w:p>
      <w:pPr>
        <w:spacing w:after="0" w:line="167" w:lineRule="exact"/>
        <w:rPr>
          <w:rFonts w:ascii="Arial" w:cs="Arial" w:eastAsia="Arial" w:hAnsi="Arial"/>
          <w:sz w:val="21"/>
          <w:szCs w:val="21"/>
          <w:color w:val="auto"/>
        </w:rPr>
      </w:pPr>
    </w:p>
    <w:p>
      <w:pPr>
        <w:jc w:val="both"/>
        <w:ind w:firstLine="656"/>
        <w:spacing w:after="0" w:line="253" w:lineRule="auto"/>
        <w:tabs>
          <w:tab w:leader="none" w:pos="121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other act or omission to act or delay of any kind by any Subsidiary Borrower, the Administrative Agent, any Lender or any other Person or any other circumstance whatsoever which might, but for the provisions of this paragraph, constitute a legal or equitable discharge of Toro’s obligations hereunder.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The obligations of Toro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are independent of the obligation of any Subsidiary Borrower pursuant to this Agreement or any Note issued by such Subsidiary Borrower and a separate action or actions may be brought and prosecuted against Toro to enforce the provisions of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irrespective of whether any action is brought against any Subsidiary Borrower or whether any Subsidiary Borrower is joined in any such action or actions.</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10.03 Discharge Only Upon Payment In Full; Reinstatement In Certain Circumstances. </w:t>
      </w:r>
      <w:r>
        <w:rPr>
          <w:rFonts w:ascii="Arial" w:cs="Arial" w:eastAsia="Arial" w:hAnsi="Arial"/>
          <w:sz w:val="21"/>
          <w:szCs w:val="21"/>
          <w:color w:val="auto"/>
        </w:rPr>
        <w:t>Toro’s obligations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shall remain in full force and effect until all the Commitments shall have terminated and the principal of and interest on the Notes and all other amounts payable by any Subsidiary Borrower under this Agreement shall have been paid in full. If at any time any payment of the principal of or interest on any Note or any other amount payable by any Subsidiary Borrower under this Agreement is rescinded or must be otherwise restored or returned upon the insolvency, bankruptcy or reorganization of such Subsidiary Borrower or otherwise, Toro’s obligations hereunder with respect to such payment shall be reinstated as though such payment had been due but not made at such time.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420"/>
          </w:cols>
          <w:pgMar w:left="240" w:top="631" w:right="239" w:bottom="1440" w:gutter="0" w:footer="0" w:header="0"/>
        </w:sectPr>
      </w:pPr>
    </w:p>
    <w:bookmarkStart w:id="118" w:name="page119"/>
    <w:bookmarkEnd w:id="118"/>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10.04 Waiver by Toro. </w:t>
      </w:r>
      <w:r>
        <w:rPr>
          <w:rFonts w:ascii="Arial" w:cs="Arial" w:eastAsia="Arial" w:hAnsi="Arial"/>
          <w:sz w:val="22"/>
          <w:szCs w:val="22"/>
          <w:color w:val="auto"/>
        </w:rPr>
        <w:t>Toro irrevocably waives acceptance hereof, presentment, demand, protest and any notice not</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for herein, as well as any requirement that at any time any action be taken by any Person against any Subsidiary Borrower or any other Person.</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10.05 No Subrogation. </w:t>
      </w:r>
      <w:r>
        <w:rPr>
          <w:rFonts w:ascii="Arial" w:cs="Arial" w:eastAsia="Arial" w:hAnsi="Arial"/>
          <w:sz w:val="19"/>
          <w:szCs w:val="19"/>
          <w:color w:val="auto"/>
        </w:rPr>
        <w:t>Toro shall not exercise any right of subrogation, contribution, indemnity, reimbursement or</w:t>
      </w:r>
      <w:r>
        <w:rPr>
          <w:rFonts w:ascii="Arial" w:cs="Arial" w:eastAsia="Arial" w:hAnsi="Arial"/>
          <w:sz w:val="19"/>
          <w:szCs w:val="19"/>
          <w:b w:val="1"/>
          <w:bCs w:val="1"/>
          <w:color w:val="auto"/>
        </w:rPr>
        <w:t xml:space="preserve"> </w:t>
      </w:r>
      <w:r>
        <w:rPr>
          <w:rFonts w:ascii="Arial" w:cs="Arial" w:eastAsia="Arial" w:hAnsi="Arial"/>
          <w:sz w:val="19"/>
          <w:szCs w:val="19"/>
          <w:color w:val="auto"/>
        </w:rPr>
        <w:t>similar rights with respect to any payments it makes under this Guaranty until all of the Obligations and any amounts payable under this Guaranty have been indefeasibly paid and performed in full and the Commitments are terminated. If any amounts are paid to Toro in violation of the foregoing limitation, then such amounts shall be held in trust for the benefit of the Lenders and shall forthwith be paid to the Lenders to reduce the amount of the Obligations, whether matured or unmatured.</w:t>
      </w:r>
    </w:p>
    <w:p>
      <w:pPr>
        <w:spacing w:after="0" w:line="14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10.06 Stay of Acceleration. </w:t>
      </w:r>
      <w:r>
        <w:rPr>
          <w:rFonts w:ascii="Arial" w:cs="Arial" w:eastAsia="Arial" w:hAnsi="Arial"/>
          <w:sz w:val="19"/>
          <w:szCs w:val="19"/>
          <w:color w:val="auto"/>
        </w:rPr>
        <w:t>If acceleration of the time for payment of any amount payable by any Subsidiary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or the Notes is stayed upon the insolvency, bankruptcy or reorganization of such Subsidiary Borrower, all such amounts otherwise subject to acceleration under the terms of this Agreement shall nonetheless be payable by Toro hereunder forthwith on demand by the Administrative Agent made at the request of the Required Lenders.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11.01 Amendments, Etc. </w:t>
      </w:r>
      <w:r>
        <w:rPr>
          <w:rFonts w:ascii="Arial" w:cs="Arial" w:eastAsia="Arial" w:hAnsi="Arial"/>
          <w:sz w:val="21"/>
          <w:szCs w:val="21"/>
          <w:color w:val="auto"/>
        </w:rPr>
        <w:t>No amendment or waiver of any provision of this Agreement or any other Loan Document,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no consent to any departure by the Borrowers or any other Loan Party therefrom, shall be effective unless in writing signed by the Required Lenders and the Borrowers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amendment, waiver or consent shall:</w:t>
      </w:r>
    </w:p>
    <w:p>
      <w:pPr>
        <w:spacing w:after="0" w:line="177" w:lineRule="exact"/>
        <w:rPr>
          <w:sz w:val="20"/>
          <w:szCs w:val="20"/>
          <w:color w:val="auto"/>
        </w:rPr>
      </w:pPr>
    </w:p>
    <w:p>
      <w:pPr>
        <w:ind w:firstLine="656"/>
        <w:spacing w:after="0" w:line="263" w:lineRule="auto"/>
        <w:tabs>
          <w:tab w:leader="none" w:pos="153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waive any condition set forth in </w:t>
      </w:r>
      <w:r>
        <w:rPr>
          <w:rFonts w:ascii="Arial" w:cs="Arial" w:eastAsia="Arial" w:hAnsi="Arial"/>
          <w:sz w:val="22"/>
          <w:szCs w:val="22"/>
          <w:u w:val="single" w:color="auto"/>
          <w:color w:val="auto"/>
        </w:rPr>
        <w:t>Section 4.01(a)</w:t>
      </w:r>
      <w:r>
        <w:rPr>
          <w:rFonts w:ascii="Arial" w:cs="Arial" w:eastAsia="Arial" w:hAnsi="Arial"/>
          <w:sz w:val="22"/>
          <w:szCs w:val="22"/>
          <w:color w:val="auto"/>
        </w:rPr>
        <w:t xml:space="preserve"> or, in the case of the initial Credit Extension, </w:t>
      </w:r>
      <w:r>
        <w:rPr>
          <w:rFonts w:ascii="Arial" w:cs="Arial" w:eastAsia="Arial" w:hAnsi="Arial"/>
          <w:sz w:val="22"/>
          <w:szCs w:val="22"/>
          <w:u w:val="single" w:color="auto"/>
          <w:color w:val="auto"/>
        </w:rPr>
        <w:t>Section 4.02</w:t>
      </w:r>
      <w:r>
        <w:rPr>
          <w:rFonts w:ascii="Arial" w:cs="Arial" w:eastAsia="Arial" w:hAnsi="Arial"/>
          <w:sz w:val="22"/>
          <w:szCs w:val="22"/>
          <w:color w:val="auto"/>
        </w:rPr>
        <w:t>, without the written consent of each Lender;</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(i) extend or increase the Commitment of any Lender (or reinstate any Commitment terminated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 without the written consent of such Lender, or (ii) extend the expiry date of any Letter of Credit to a date after the Letter of Credit Expiration Date, without the written consent of each Lender;</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postpone any date fixed by this Agreement or any other Loan Document for any payment of principal, interest, fees or other amounts due to the Lenders (or any of them) hereunder (excluding mandatory prepayments) or under any other Loan Document without the written consent of each Lender directly affected thereby;</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reduce the principal of, or the rate of interest specified herein on, any Loan or L/C Borrowing, or (subject to </w:t>
      </w:r>
      <w:r>
        <w:rPr>
          <w:rFonts w:ascii="Arial" w:cs="Arial" w:eastAsia="Arial" w:hAnsi="Arial"/>
          <w:sz w:val="22"/>
          <w:szCs w:val="22"/>
          <w:u w:val="single" w:color="auto"/>
          <w:color w:val="auto"/>
        </w:rPr>
        <w:t>clause (iv)</w:t>
      </w:r>
      <w:r>
        <w:rPr>
          <w:rFonts w:ascii="Arial" w:cs="Arial" w:eastAsia="Arial" w:hAnsi="Arial"/>
          <w:sz w:val="22"/>
          <w:szCs w:val="22"/>
          <w:color w:val="auto"/>
        </w:rPr>
        <w:t xml:space="preserve"> of the second proviso to this </w:t>
      </w:r>
      <w:r>
        <w:rPr>
          <w:rFonts w:ascii="Arial" w:cs="Arial" w:eastAsia="Arial" w:hAnsi="Arial"/>
          <w:sz w:val="22"/>
          <w:szCs w:val="22"/>
          <w:u w:val="single" w:color="auto"/>
          <w:color w:val="auto"/>
        </w:rPr>
        <w:t>Section 11.01</w:t>
      </w:r>
      <w:r>
        <w:rPr>
          <w:rFonts w:ascii="Arial" w:cs="Arial" w:eastAsia="Arial" w:hAnsi="Arial"/>
          <w:sz w:val="22"/>
          <w:szCs w:val="22"/>
          <w:color w:val="auto"/>
        </w:rPr>
        <w:t>) any fees or other amounts payable hereunder or under any other Loan Document without the written consent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625" w:right="239" w:bottom="1440" w:gutter="0" w:footer="0" w:header="0"/>
        </w:sectPr>
      </w:pPr>
    </w:p>
    <w:bookmarkStart w:id="119" w:name="page120"/>
    <w:bookmarkEnd w:id="119"/>
    <w:p>
      <w:pPr>
        <w:jc w:val="both"/>
        <w:spacing w:after="0" w:line="302" w:lineRule="auto"/>
        <w:rPr>
          <w:sz w:val="20"/>
          <w:szCs w:val="20"/>
          <w:color w:val="auto"/>
        </w:rPr>
      </w:pPr>
      <w:r>
        <w:rPr>
          <w:rFonts w:ascii="Arial" w:cs="Arial" w:eastAsia="Arial" w:hAnsi="Arial"/>
          <w:sz w:val="19"/>
          <w:szCs w:val="19"/>
          <w:color w:val="auto"/>
        </w:rPr>
        <w:t xml:space="preserve">of each Lender directly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43" w:lineRule="exact"/>
        <w:rPr>
          <w:sz w:val="20"/>
          <w:szCs w:val="20"/>
          <w:color w:val="auto"/>
        </w:rPr>
      </w:pPr>
    </w:p>
    <w:p>
      <w:pPr>
        <w:ind w:firstLine="656"/>
        <w:spacing w:after="0" w:line="263" w:lineRule="auto"/>
        <w:tabs>
          <w:tab w:leader="none" w:pos="153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change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in a manner that would alter the pro rata sharing of payments or reductions in Commitments required thereby without the written consent of each Lender;</w:t>
      </w:r>
    </w:p>
    <w:p>
      <w:pPr>
        <w:spacing w:after="0" w:line="174" w:lineRule="exact"/>
        <w:rPr>
          <w:rFonts w:ascii="Arial" w:cs="Arial" w:eastAsia="Arial" w:hAnsi="Arial"/>
          <w:sz w:val="22"/>
          <w:szCs w:val="22"/>
          <w:color w:val="auto"/>
        </w:rPr>
      </w:pPr>
    </w:p>
    <w:p>
      <w:pPr>
        <w:ind w:left="1520" w:hanging="864"/>
        <w:spacing w:after="0"/>
        <w:tabs>
          <w:tab w:leader="none" w:pos="152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amend </w:t>
      </w:r>
      <w:r>
        <w:rPr>
          <w:rFonts w:ascii="Arial" w:cs="Arial" w:eastAsia="Arial" w:hAnsi="Arial"/>
          <w:sz w:val="21"/>
          <w:szCs w:val="21"/>
          <w:u w:val="single" w:color="auto"/>
          <w:color w:val="auto"/>
        </w:rPr>
        <w:t>Section 1.05</w:t>
      </w:r>
      <w:r>
        <w:rPr>
          <w:rFonts w:ascii="Arial" w:cs="Arial" w:eastAsia="Arial" w:hAnsi="Arial"/>
          <w:sz w:val="21"/>
          <w:szCs w:val="21"/>
          <w:color w:val="auto"/>
        </w:rPr>
        <w:t xml:space="preserve"> or the definition of “Alternative Currency” without the written consent of each Lender;</w:t>
      </w:r>
    </w:p>
    <w:p>
      <w:pPr>
        <w:spacing w:after="0" w:line="231" w:lineRule="exact"/>
        <w:rPr>
          <w:rFonts w:ascii="Arial" w:cs="Arial" w:eastAsia="Arial" w:hAnsi="Arial"/>
          <w:sz w:val="21"/>
          <w:szCs w:val="21"/>
          <w:color w:val="auto"/>
        </w:rPr>
      </w:pPr>
    </w:p>
    <w:p>
      <w:pPr>
        <w:jc w:val="both"/>
        <w:ind w:firstLine="656"/>
        <w:spacing w:after="0" w:line="271" w:lineRule="auto"/>
        <w:tabs>
          <w:tab w:leader="none" w:pos="1549" w:val="left"/>
        </w:tabs>
        <w:numPr>
          <w:ilvl w:val="0"/>
          <w:numId w:val="145"/>
        </w:numPr>
        <w:rPr>
          <w:rFonts w:ascii="Arial" w:cs="Arial" w:eastAsia="Arial" w:hAnsi="Arial"/>
          <w:sz w:val="21"/>
          <w:szCs w:val="21"/>
          <w:color w:val="auto"/>
        </w:rPr>
      </w:pPr>
      <w:r>
        <w:rPr>
          <w:rFonts w:ascii="Arial" w:cs="Arial" w:eastAsia="Arial" w:hAnsi="Arial"/>
          <w:sz w:val="21"/>
          <w:szCs w:val="21"/>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and</w:t>
      </w:r>
    </w:p>
    <w:p>
      <w:pPr>
        <w:spacing w:after="0" w:line="167" w:lineRule="exact"/>
        <w:rPr>
          <w:rFonts w:ascii="Arial" w:cs="Arial" w:eastAsia="Arial" w:hAnsi="Arial"/>
          <w:sz w:val="21"/>
          <w:szCs w:val="21"/>
          <w:color w:val="auto"/>
        </w:rPr>
      </w:pPr>
    </w:p>
    <w:p>
      <w:pPr>
        <w:ind w:left="1560" w:hanging="904"/>
        <w:spacing w:after="0"/>
        <w:tabs>
          <w:tab w:leader="none" w:pos="156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release Toro from the Guaranty without the written consent of each Lender;</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8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b w:val="1"/>
          <w:bCs w:val="1"/>
          <w:color w:val="auto"/>
        </w:rPr>
        <w:t>Notices; Effectiveness; Electronic Communication.</w:t>
      </w:r>
    </w:p>
    <w:p>
      <w:pPr>
        <w:spacing w:after="0" w:line="226" w:lineRule="exact"/>
        <w:rPr>
          <w:sz w:val="20"/>
          <w:szCs w:val="20"/>
          <w:color w:val="auto"/>
        </w:rPr>
      </w:pPr>
    </w:p>
    <w:p>
      <w:pPr>
        <w:jc w:val="both"/>
        <w:ind w:firstLine="656"/>
        <w:spacing w:after="0" w:line="250" w:lineRule="auto"/>
        <w:tabs>
          <w:tab w:leader="none" w:pos="1536"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xml:space="preserve">. Except in the case of notices and other communications expressly permitted to be given by telephone (and except as provided in </w:t>
      </w:r>
      <w:r>
        <w:rPr>
          <w:rFonts w:ascii="Arial" w:cs="Arial" w:eastAsia="Arial" w:hAnsi="Arial"/>
          <w:sz w:val="22"/>
          <w:szCs w:val="22"/>
          <w:u w:val="single" w:color="auto"/>
          <w:color w:val="auto"/>
        </w:rPr>
        <w:t>subsection (b)</w:t>
      </w:r>
      <w:r>
        <w:rPr>
          <w:rFonts w:ascii="Arial" w:cs="Arial" w:eastAsia="Arial" w:hAnsi="Arial"/>
          <w:sz w:val="22"/>
          <w:szCs w:val="22"/>
          <w:color w:val="auto"/>
        </w:rPr>
        <w:t xml:space="preserve"> below), all notices and other communications provided for herein shall be in writing and shall be delivered by hand or overnight courier service, mailed by certified or registered mail or sent by electronic communication as follows, and all notices and other communications expressly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20"/>
          </w:cols>
          <w:pgMar w:left="240" w:top="631"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permitted hereunder to be given by telephone shall be made to the applicable telephone number, as follows:</w:t>
      </w:r>
    </w:p>
    <w:p>
      <w:pPr>
        <w:spacing w:after="0" w:line="220" w:lineRule="exact"/>
        <w:rPr>
          <w:sz w:val="20"/>
          <w:szCs w:val="20"/>
          <w:color w:val="auto"/>
        </w:rPr>
      </w:pPr>
    </w:p>
    <w:p>
      <w:pPr>
        <w:ind w:left="660" w:firstLine="645"/>
        <w:spacing w:after="0" w:line="263" w:lineRule="auto"/>
        <w:tabs>
          <w:tab w:leader="none" w:pos="21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if to the Borrowers, the Administrative Agent, the L/C Issuer or the Swing Line Lender, to the address, electronic mail address or telephone number specified for such Person on </w:t>
      </w:r>
      <w:r>
        <w:rPr>
          <w:rFonts w:ascii="Arial" w:cs="Arial" w:eastAsia="Arial" w:hAnsi="Arial"/>
          <w:sz w:val="22"/>
          <w:szCs w:val="22"/>
          <w:u w:val="single" w:color="auto"/>
          <w:color w:val="auto"/>
        </w:rPr>
        <w:t>Schedule 11.02</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jc w:val="both"/>
        <w:ind w:left="660" w:firstLine="645"/>
        <w:spacing w:after="0" w:line="250" w:lineRule="auto"/>
        <w:tabs>
          <w:tab w:leader="none" w:pos="222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if to any other Lender, to the address,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Notices and other communications sent by hand or overnight courier service, or mailed by certified or registered mail, shall be deemed to have been given when received. Notices and other communications delivered through electronic communications to the extent provided in </w:t>
      </w:r>
      <w:r>
        <w:rPr>
          <w:rFonts w:ascii="Arial" w:cs="Arial" w:eastAsia="Arial" w:hAnsi="Arial"/>
          <w:sz w:val="22"/>
          <w:szCs w:val="22"/>
          <w:u w:val="single" w:color="auto"/>
          <w:color w:val="auto"/>
        </w:rPr>
        <w:t>subsection (b)</w:t>
      </w:r>
      <w:r>
        <w:rPr>
          <w:rFonts w:ascii="Arial" w:cs="Arial" w:eastAsia="Arial" w:hAnsi="Arial"/>
          <w:sz w:val="22"/>
          <w:szCs w:val="22"/>
          <w:color w:val="auto"/>
        </w:rPr>
        <w:t xml:space="preserve"> below, shall be effective as provided in such </w:t>
      </w:r>
      <w:r>
        <w:rPr>
          <w:rFonts w:ascii="Arial" w:cs="Arial" w:eastAsia="Arial" w:hAnsi="Arial"/>
          <w:sz w:val="22"/>
          <w:szCs w:val="22"/>
          <w:u w:val="single" w:color="auto"/>
          <w:color w:val="auto"/>
        </w:rPr>
        <w:t>subsection (b)</w:t>
      </w:r>
      <w:r>
        <w:rPr>
          <w:rFonts w:ascii="Arial" w:cs="Arial" w:eastAsia="Arial" w:hAnsi="Arial"/>
          <w:sz w:val="22"/>
          <w:szCs w:val="22"/>
          <w:color w:val="auto"/>
        </w:rPr>
        <w:t>.</w:t>
      </w:r>
    </w:p>
    <w:p>
      <w:pPr>
        <w:spacing w:after="0" w:line="186" w:lineRule="exact"/>
        <w:rPr>
          <w:sz w:val="20"/>
          <w:szCs w:val="20"/>
          <w:color w:val="auto"/>
        </w:rPr>
      </w:pPr>
    </w:p>
    <w:p>
      <w:pPr>
        <w:jc w:val="both"/>
        <w:ind w:firstLine="656"/>
        <w:spacing w:after="0" w:line="246" w:lineRule="auto"/>
        <w:tabs>
          <w:tab w:leader="none" w:pos="1549"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Electronic Communications</w:t>
      </w:r>
      <w:r>
        <w:rPr>
          <w:rFonts w:ascii="Arial" w:cs="Arial" w:eastAsia="Arial" w:hAnsi="Arial"/>
          <w:sz w:val="22"/>
          <w:szCs w:val="22"/>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to any Lender or the L/C Issuer pursuant to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if such Lender or the L/C Issuer, as applicable, has notified the Administrative Agent that it is incapable of receiving notices under such Article by electronic communication. The Administrative Agent, the L/C Issuer, the Swing Line Lender or Toro may, in its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notification that such notice or communication is available and identifying the website address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both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4" w:lineRule="exact"/>
        <w:rPr>
          <w:sz w:val="20"/>
          <w:szCs w:val="20"/>
          <w:color w:val="auto"/>
        </w:rPr>
      </w:pPr>
    </w:p>
    <w:p>
      <w:pPr>
        <w:jc w:val="both"/>
        <w:ind w:firstLine="656"/>
        <w:spacing w:after="0" w:line="248" w:lineRule="auto"/>
        <w:tabs>
          <w:tab w:leader="none" w:pos="1536"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The Platform</w:t>
      </w:r>
      <w:r>
        <w:rPr>
          <w:rFonts w:ascii="Arial" w:cs="Arial" w:eastAsia="Arial" w:hAnsi="Arial"/>
          <w:sz w:val="22"/>
          <w:szCs w:val="22"/>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20"/>
          </w:cols>
          <w:pgMar w:left="240" w:top="631" w:right="239" w:bottom="1440" w:gutter="0" w:footer="0" w:header="0"/>
        </w:sectPr>
      </w:pPr>
    </w:p>
    <w:bookmarkStart w:id="121" w:name="page122"/>
    <w:bookmarkEnd w:id="121"/>
    <w:p>
      <w:pPr>
        <w:jc w:val="both"/>
        <w:spacing w:after="0" w:line="257" w:lineRule="auto"/>
        <w:rPr>
          <w:sz w:val="20"/>
          <w:szCs w:val="20"/>
          <w:color w:val="auto"/>
        </w:rPr>
      </w:pPr>
      <w:r>
        <w:rPr>
          <w:rFonts w:ascii="Arial" w:cs="Arial" w:eastAsia="Arial" w:hAnsi="Arial"/>
          <w:sz w:val="21"/>
          <w:szCs w:val="21"/>
          <w:color w:val="auto"/>
        </w:rPr>
        <w:t>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1"/>
          <w:szCs w:val="21"/>
          <w:u w:val="single" w:color="auto"/>
          <w:color w:val="auto"/>
        </w:rPr>
        <w:t>Agent Parties</w:t>
      </w:r>
      <w:r>
        <w:rPr>
          <w:rFonts w:ascii="Arial" w:cs="Arial" w:eastAsia="Arial" w:hAnsi="Arial"/>
          <w:sz w:val="21"/>
          <w:szCs w:val="21"/>
          <w:color w:val="auto"/>
        </w:rPr>
        <w:t xml:space="preserve">”) have any liability to any Borrower, any Lender, the L/C Issuer or any other Person for losses, claims, damages, liabilities or expenses of any kind (whether in tort, contract or otherwise) (x) arising out of any Borrower’s or the Administrative Agent’s transmission of Borrower Materials or notices through the Platform, any other electronic platform or electronic messaging service, or through the Internet or (y) arising from the use by unintended recipients of such Borrower Materials obtained by such unintended recipients through interception or misdirection of electronic telecommunications or other information transmission systems in connection with this Agreement or the other Loan Documents or the transactions contemplated hereby or thereby, in each case,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188" w:lineRule="exact"/>
        <w:rPr>
          <w:sz w:val="20"/>
          <w:szCs w:val="20"/>
          <w:color w:val="auto"/>
        </w:rPr>
      </w:pPr>
    </w:p>
    <w:p>
      <w:pPr>
        <w:jc w:val="both"/>
        <w:ind w:firstLine="656"/>
        <w:spacing w:after="0" w:line="287" w:lineRule="auto"/>
        <w:tabs>
          <w:tab w:leader="none" w:pos="1549"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Borrowers, the Administrative Agent, the L/C Issuer and the Swing Line Lender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Toro, the Administrative Agent, the L/C Issuer and the Swing Line Lender.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656"/>
        <w:spacing w:after="0" w:line="292" w:lineRule="auto"/>
        <w:tabs>
          <w:tab w:leader="none" w:pos="153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Reliance by Administrative Agent, L/C Issuer and Lenders</w:t>
      </w:r>
      <w:r>
        <w:rPr>
          <w:rFonts w:ascii="Arial" w:cs="Arial" w:eastAsia="Arial" w:hAnsi="Arial"/>
          <w:sz w:val="19"/>
          <w:szCs w:val="19"/>
          <w:color w:val="auto"/>
        </w:rPr>
        <w:t>. The Administrative Agent, the L/C Issuer and the Lenders shall be entitled to rely and act upon any notices (including telephonic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20"/>
          </w:cols>
          <w:pgMar w:left="240" w:top="631" w:right="239" w:bottom="1440" w:gutter="0" w:footer="0" w:header="0"/>
        </w:sectPr>
      </w:pPr>
    </w:p>
    <w:bookmarkStart w:id="122" w:name="page123"/>
    <w:bookmarkEnd w:id="122"/>
    <w:p>
      <w:pPr>
        <w:jc w:val="both"/>
        <w:spacing w:after="0" w:line="263" w:lineRule="auto"/>
        <w:rPr>
          <w:sz w:val="20"/>
          <w:szCs w:val="20"/>
          <w:color w:val="auto"/>
        </w:rPr>
      </w:pPr>
      <w:r>
        <w:rPr>
          <w:rFonts w:ascii="Arial" w:cs="Arial" w:eastAsia="Arial" w:hAnsi="Arial"/>
          <w:sz w:val="22"/>
          <w:szCs w:val="22"/>
          <w:color w:val="auto"/>
        </w:rPr>
        <w:t>behalf of any Borrower. All telephonic notices to and other telephonic communications with the Administrative Agent may be recorded by the Administrative Agent, and each of the parties hereto hereby consents to such recording.</w:t>
      </w:r>
    </w:p>
    <w:p>
      <w:pPr>
        <w:spacing w:after="0" w:line="16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11.03 No Waiver; Cumulative Remedies; Enforcement. </w:t>
      </w:r>
      <w:r>
        <w:rPr>
          <w:rFonts w:ascii="Arial" w:cs="Arial" w:eastAsia="Arial" w:hAnsi="Arial"/>
          <w:sz w:val="19"/>
          <w:szCs w:val="19"/>
          <w:color w:val="auto"/>
        </w:rPr>
        <w:t>No failure by any Lender, the L/C Issuer or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the benefit of all the Lenders and the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in addition to the matters set forth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the preceding proviso and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11.04</w:t>
      </w:r>
      <w:r>
        <w:rPr>
          <w:sz w:val="20"/>
          <w:szCs w:val="20"/>
          <w:color w:val="auto"/>
        </w:rPr>
        <w:tab/>
      </w:r>
      <w:r>
        <w:rPr>
          <w:rFonts w:ascii="Arial" w:cs="Arial" w:eastAsia="Arial" w:hAnsi="Arial"/>
          <w:sz w:val="19"/>
          <w:szCs w:val="19"/>
          <w:b w:val="1"/>
          <w:bCs w:val="1"/>
          <w:color w:val="auto"/>
        </w:rPr>
        <w:t>Expenses; Indemnity; Damage Waiver.</w:t>
      </w:r>
    </w:p>
    <w:p>
      <w:pPr>
        <w:spacing w:after="0" w:line="226" w:lineRule="exact"/>
        <w:rPr>
          <w:sz w:val="20"/>
          <w:szCs w:val="20"/>
          <w:color w:val="auto"/>
        </w:rPr>
      </w:pPr>
    </w:p>
    <w:p>
      <w:pPr>
        <w:jc w:val="both"/>
        <w:ind w:firstLine="656"/>
        <w:spacing w:after="0" w:line="289" w:lineRule="auto"/>
        <w:tabs>
          <w:tab w:leader="none" w:pos="1536"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 Issuer in connection with the issuance, amendment, renewal or extension of any Letter of Credit or any demand for payment thereunder and (iii) all out of pocket expenses incurred by the Administrative Agent, any Lender or the L/C Issuer (including the fees, charges and disbursements of any counsel for the Administrative Agent, any Lender or the L/C Issuer), in connection with the enforcement or protection of its rights (A) in connection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20"/>
          </w:cols>
          <w:pgMar w:left="240" w:top="631" w:right="239" w:bottom="1440" w:gutter="0" w:footer="0" w:header="0"/>
        </w:sectPr>
      </w:pPr>
    </w:p>
    <w:bookmarkStart w:id="123" w:name="page124"/>
    <w:bookmarkEnd w:id="123"/>
    <w:p>
      <w:pPr>
        <w:jc w:val="both"/>
        <w:spacing w:after="0" w:line="253" w:lineRule="auto"/>
        <w:rPr>
          <w:sz w:val="20"/>
          <w:szCs w:val="20"/>
          <w:color w:val="auto"/>
        </w:rPr>
      </w:pPr>
      <w:r>
        <w:rPr>
          <w:rFonts w:ascii="Arial" w:cs="Arial" w:eastAsia="Arial" w:hAnsi="Arial"/>
          <w:sz w:val="22"/>
          <w:szCs w:val="22"/>
          <w:color w:val="auto"/>
        </w:rPr>
        <w:t>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86" w:lineRule="exact"/>
        <w:rPr>
          <w:sz w:val="20"/>
          <w:szCs w:val="20"/>
          <w:color w:val="auto"/>
        </w:rPr>
      </w:pPr>
    </w:p>
    <w:p>
      <w:pPr>
        <w:jc w:val="both"/>
        <w:ind w:firstLine="656"/>
        <w:spacing w:after="0" w:line="283" w:lineRule="auto"/>
        <w:tabs>
          <w:tab w:leader="none" w:pos="1549"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Indemnification by Toro</w:t>
      </w:r>
      <w:r>
        <w:rPr>
          <w:rFonts w:ascii="Arial" w:cs="Arial" w:eastAsia="Arial" w:hAnsi="Arial"/>
          <w:sz w:val="19"/>
          <w:szCs w:val="19"/>
          <w:color w:val="auto"/>
        </w:rPr>
        <w:t>. The Borrowers shall indemnify the Administrative Agent (and any sub-agent thereof), each Lender and the L/C Issuer,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Toro or any other Loan Party, and regardless of whether any Indemnitee is a party thereto, </w:t>
      </w:r>
      <w:r>
        <w:rPr>
          <w:rFonts w:ascii="Arial" w:cs="Arial" w:eastAsia="Arial" w:hAnsi="Arial"/>
          <w:sz w:val="19"/>
          <w:szCs w:val="19"/>
          <w:b w:val="1"/>
          <w:bCs w:val="1"/>
          <w:color w:val="auto"/>
        </w:rPr>
        <w:t>IN ALL</w:t>
      </w:r>
    </w:p>
    <w:p>
      <w:pPr>
        <w:spacing w:after="0" w:line="1" w:lineRule="exact"/>
        <w:rPr>
          <w:rFonts w:ascii="Arial" w:cs="Arial" w:eastAsia="Arial" w:hAnsi="Arial"/>
          <w:sz w:val="19"/>
          <w:szCs w:val="19"/>
          <w:color w:val="auto"/>
        </w:rPr>
      </w:pPr>
    </w:p>
    <w:p>
      <w:pPr>
        <w:jc w:val="both"/>
        <w:spacing w:after="0" w:line="256" w:lineRule="auto"/>
        <w:rPr>
          <w:rFonts w:ascii="Arial" w:cs="Arial" w:eastAsia="Arial" w:hAnsi="Arial"/>
          <w:sz w:val="19"/>
          <w:szCs w:val="19"/>
          <w:color w:val="auto"/>
        </w:rPr>
      </w:pPr>
      <w:r>
        <w:rPr>
          <w:rFonts w:ascii="Arial" w:cs="Arial" w:eastAsia="Arial" w:hAnsi="Arial"/>
          <w:sz w:val="21"/>
          <w:szCs w:val="21"/>
          <w:b w:val="1"/>
          <w:bCs w:val="1"/>
          <w:color w:val="auto"/>
        </w:rPr>
        <w:t>CASES, WHETHER OR NOT CAUSED BY OR ARISING, IN WHOLE OR IN PART, OUT OF THE COMPARATIVE, CONTRIBUTORY OR SOLE NEGLIGENCE OF THE INDEMNITEE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that such indemnity shall not, as to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Toro or any other Loan Party against an Indemnitee for breach in bad faith of such Indemnitee’s obligations hereunder or under any other Loan Document, if Toro or such other Loan Party has obtained a final and nonappealable judgment in its favor on such claim as determined by a court of competent jurisdiction. Without limiting the provisions of </w:t>
      </w:r>
      <w:r>
        <w:rPr>
          <w:rFonts w:ascii="Arial" w:cs="Arial" w:eastAsia="Arial" w:hAnsi="Arial"/>
          <w:sz w:val="21"/>
          <w:szCs w:val="21"/>
          <w:u w:val="single" w:color="auto"/>
          <w:color w:val="auto"/>
        </w:rPr>
        <w:t>Section 3.01(c),</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11.04(b)</w:t>
      </w:r>
      <w:r>
        <w:rPr>
          <w:rFonts w:ascii="Arial" w:cs="Arial" w:eastAsia="Arial" w:hAnsi="Arial"/>
          <w:sz w:val="21"/>
          <w:szCs w:val="21"/>
          <w:color w:val="auto"/>
        </w:rPr>
        <w:t xml:space="preserve"> shall not apply with respect to Taxes other than any Taxes that represent losses, claims, damages, etc. arising from any non-Tax claim.</w:t>
      </w:r>
    </w:p>
    <w:p>
      <w:pPr>
        <w:spacing w:after="0" w:line="189" w:lineRule="exact"/>
        <w:rPr>
          <w:rFonts w:ascii="Arial" w:cs="Arial" w:eastAsia="Arial" w:hAnsi="Arial"/>
          <w:sz w:val="19"/>
          <w:szCs w:val="19"/>
          <w:color w:val="auto"/>
        </w:rPr>
      </w:pPr>
    </w:p>
    <w:p>
      <w:pPr>
        <w:jc w:val="both"/>
        <w:ind w:firstLine="656"/>
        <w:spacing w:after="0" w:line="247" w:lineRule="auto"/>
        <w:tabs>
          <w:tab w:leader="none" w:pos="1536"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Reimbursement by Lenders</w:t>
      </w:r>
      <w:r>
        <w:rPr>
          <w:rFonts w:ascii="Arial" w:cs="Arial" w:eastAsia="Arial" w:hAnsi="Arial"/>
          <w:sz w:val="22"/>
          <w:szCs w:val="22"/>
          <w:color w:val="auto"/>
        </w:rPr>
        <w:t xml:space="preserve">. To the extent that the Borrowers for any reason fail to indefeasibly pay any amount required under </w:t>
      </w:r>
      <w:r>
        <w:rPr>
          <w:rFonts w:ascii="Arial" w:cs="Arial" w:eastAsia="Arial" w:hAnsi="Arial"/>
          <w:sz w:val="22"/>
          <w:szCs w:val="22"/>
          <w:u w:val="single" w:color="auto"/>
          <w:color w:val="auto"/>
        </w:rPr>
        <w:t>subsection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420"/>
          </w:cols>
          <w:pgMar w:left="240" w:top="631" w:right="239" w:bottom="1440" w:gutter="0" w:footer="0" w:header="0"/>
        </w:sectPr>
      </w:pPr>
    </w:p>
    <w:bookmarkStart w:id="124" w:name="page125"/>
    <w:bookmarkEnd w:id="124"/>
    <w:p>
      <w:pPr>
        <w:jc w:val="both"/>
        <w:spacing w:after="0" w:line="259" w:lineRule="auto"/>
        <w:rPr>
          <w:sz w:val="20"/>
          <w:szCs w:val="20"/>
          <w:color w:val="auto"/>
        </w:rPr>
      </w:pPr>
      <w:r>
        <w:rPr>
          <w:rFonts w:ascii="Arial" w:cs="Arial" w:eastAsia="Arial" w:hAnsi="Arial"/>
          <w:sz w:val="21"/>
          <w:szCs w:val="21"/>
          <w:color w:val="auto"/>
        </w:rPr>
        <w:t xml:space="preserve">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Arial" w:cs="Arial" w:eastAsia="Arial" w:hAnsi="Arial"/>
          <w:sz w:val="21"/>
          <w:szCs w:val="21"/>
          <w:u w:val="single" w:color="auto"/>
          <w:color w:val="auto"/>
        </w:rPr>
        <w:t>subsection (c)</w:t>
      </w:r>
      <w:r>
        <w:rPr>
          <w:rFonts w:ascii="Arial" w:cs="Arial" w:eastAsia="Arial" w:hAnsi="Arial"/>
          <w:sz w:val="21"/>
          <w:szCs w:val="21"/>
          <w:color w:val="auto"/>
        </w:rPr>
        <w:t xml:space="preserve"> are subject to the provisions of </w:t>
      </w:r>
      <w:r>
        <w:rPr>
          <w:rFonts w:ascii="Arial" w:cs="Arial" w:eastAsia="Arial" w:hAnsi="Arial"/>
          <w:sz w:val="21"/>
          <w:szCs w:val="21"/>
          <w:u w:val="single" w:color="auto"/>
          <w:color w:val="auto"/>
        </w:rPr>
        <w:t>Section 2.12(d)</w:t>
      </w:r>
      <w:r>
        <w:rPr>
          <w:rFonts w:ascii="Arial" w:cs="Arial" w:eastAsia="Arial" w:hAnsi="Arial"/>
          <w:sz w:val="21"/>
          <w:szCs w:val="21"/>
          <w:color w:val="auto"/>
        </w:rPr>
        <w:t>.</w:t>
      </w:r>
    </w:p>
    <w:p>
      <w:pPr>
        <w:spacing w:after="0" w:line="184" w:lineRule="exact"/>
        <w:rPr>
          <w:sz w:val="20"/>
          <w:szCs w:val="20"/>
          <w:color w:val="auto"/>
        </w:rPr>
      </w:pPr>
    </w:p>
    <w:p>
      <w:pPr>
        <w:jc w:val="both"/>
        <w:ind w:firstLine="656"/>
        <w:spacing w:after="0" w:line="288" w:lineRule="auto"/>
        <w:tabs>
          <w:tab w:leader="none" w:pos="1549"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above shall be liable for any damages arising from the use by unintended recipients of any information or other materials obtained by such unintended recipients by such Indemnitee through interception or misdirection of electronic telecommunications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60" w:lineRule="exact"/>
        <w:rPr>
          <w:rFonts w:ascii="Arial" w:cs="Arial" w:eastAsia="Arial" w:hAnsi="Arial"/>
          <w:sz w:val="19"/>
          <w:szCs w:val="19"/>
          <w:color w:val="auto"/>
        </w:rPr>
      </w:pPr>
    </w:p>
    <w:p>
      <w:pPr>
        <w:ind w:left="1540" w:hanging="884"/>
        <w:spacing w:after="0"/>
        <w:tabs>
          <w:tab w:leader="none" w:pos="1540"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thirty days after demand therefor.</w:t>
      </w:r>
    </w:p>
    <w:p>
      <w:pPr>
        <w:spacing w:after="0" w:line="254" w:lineRule="exact"/>
        <w:rPr>
          <w:rFonts w:ascii="Arial" w:cs="Arial" w:eastAsia="Arial" w:hAnsi="Arial"/>
          <w:sz w:val="19"/>
          <w:szCs w:val="19"/>
          <w:color w:val="auto"/>
        </w:rPr>
      </w:pPr>
    </w:p>
    <w:p>
      <w:pPr>
        <w:jc w:val="both"/>
        <w:ind w:firstLine="656"/>
        <w:spacing w:after="0" w:line="253" w:lineRule="auto"/>
        <w:tabs>
          <w:tab w:leader="none" w:pos="1512"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agreements in this Section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11.05 Payments Set Aside. </w:t>
      </w:r>
      <w:r>
        <w:rPr>
          <w:rFonts w:ascii="Arial" w:cs="Arial" w:eastAsia="Arial" w:hAnsi="Arial"/>
          <w:sz w:val="19"/>
          <w:szCs w:val="19"/>
          <w:color w:val="auto"/>
        </w:rPr>
        <w:t>To the extent that any payment by or on behalf of any Borrower is made to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20"/>
          </w:cols>
          <w:pgMar w:left="240" w:top="631" w:right="239" w:bottom="1440" w:gutter="0" w:footer="0" w:header="0"/>
        </w:sectPr>
      </w:pPr>
    </w:p>
    <w:bookmarkStart w:id="125" w:name="page126"/>
    <w:bookmarkEnd w:id="125"/>
    <w:p>
      <w:pPr>
        <w:jc w:val="both"/>
        <w:spacing w:after="0" w:line="250" w:lineRule="auto"/>
        <w:rPr>
          <w:sz w:val="20"/>
          <w:szCs w:val="20"/>
          <w:color w:val="auto"/>
        </w:rPr>
      </w:pPr>
      <w:r>
        <w:rPr>
          <w:rFonts w:ascii="Arial" w:cs="Arial" w:eastAsia="Arial" w:hAnsi="Arial"/>
          <w:sz w:val="22"/>
          <w:szCs w:val="22"/>
          <w:color w:val="auto"/>
        </w:rPr>
        <w:t xml:space="preserve">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of the preceding sentence shall survive the payment in full of the Obligations and the termination of this Agreement.</w:t>
      </w:r>
    </w:p>
    <w:p>
      <w:pPr>
        <w:spacing w:after="0" w:line="18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11.06</w:t>
      </w:r>
      <w:r>
        <w:rPr>
          <w:sz w:val="20"/>
          <w:szCs w:val="20"/>
          <w:color w:val="auto"/>
        </w:rPr>
        <w:tab/>
      </w:r>
      <w:r>
        <w:rPr>
          <w:rFonts w:ascii="Arial" w:cs="Arial" w:eastAsia="Arial" w:hAnsi="Arial"/>
          <w:sz w:val="18"/>
          <w:szCs w:val="18"/>
          <w:b w:val="1"/>
          <w:bCs w:val="1"/>
          <w:color w:val="auto"/>
        </w:rPr>
        <w:t>Successors and Assigns.</w:t>
      </w:r>
    </w:p>
    <w:p>
      <w:pPr>
        <w:spacing w:after="0" w:line="226" w:lineRule="exact"/>
        <w:rPr>
          <w:sz w:val="20"/>
          <w:szCs w:val="20"/>
          <w:color w:val="auto"/>
        </w:rPr>
      </w:pPr>
    </w:p>
    <w:p>
      <w:pPr>
        <w:jc w:val="both"/>
        <w:ind w:firstLine="656"/>
        <w:spacing w:after="0" w:line="285" w:lineRule="auto"/>
        <w:tabs>
          <w:tab w:leader="none" w:pos="1536" w:val="left"/>
        </w:tabs>
        <w:numPr>
          <w:ilvl w:val="1"/>
          <w:numId w:val="154"/>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of this Section, (ii) by way of participation in accordance with the provisions of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 or (iii) by way of pledge or assignment of a security interest subject to the restrictions of </w:t>
      </w:r>
      <w:r>
        <w:rPr>
          <w:rFonts w:ascii="Arial" w:cs="Arial" w:eastAsia="Arial" w:hAnsi="Arial"/>
          <w:sz w:val="19"/>
          <w:szCs w:val="19"/>
          <w:u w:val="single" w:color="auto"/>
          <w:color w:val="auto"/>
        </w:rPr>
        <w:t>subsection</w:t>
      </w:r>
    </w:p>
    <w:p>
      <w:pPr>
        <w:jc w:val="both"/>
        <w:ind w:firstLine="8"/>
        <w:spacing w:after="0" w:line="258" w:lineRule="auto"/>
        <w:tabs>
          <w:tab w:leader="none" w:pos="296" w:val="left"/>
        </w:tabs>
        <w:numPr>
          <w:ilvl w:val="0"/>
          <w:numId w:val="155"/>
        </w:numPr>
        <w:rPr>
          <w:rFonts w:ascii="Arial" w:cs="Arial" w:eastAsia="Arial" w:hAnsi="Arial"/>
          <w:sz w:val="21"/>
          <w:szCs w:val="21"/>
          <w:u w:val="single" w:color="auto"/>
          <w:color w:val="auto"/>
        </w:rPr>
      </w:pPr>
      <w:r>
        <w:rPr>
          <w:rFonts w:ascii="Arial" w:cs="Arial" w:eastAsia="Arial" w:hAnsi="Arial"/>
          <w:sz w:val="21"/>
          <w:szCs w:val="21"/>
          <w:color w:val="auto"/>
        </w:rPr>
        <w:t xml:space="preserve">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21"/>
          <w:szCs w:val="21"/>
          <w:u w:val="single" w:color="auto"/>
          <w:color w:val="auto"/>
        </w:rPr>
        <w:t>subsection (d)</w:t>
      </w:r>
      <w:r>
        <w:rPr>
          <w:rFonts w:ascii="Arial" w:cs="Arial" w:eastAsia="Arial" w:hAnsi="Arial"/>
          <w:sz w:val="21"/>
          <w:szCs w:val="21"/>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183" w:lineRule="exact"/>
        <w:rPr>
          <w:rFonts w:ascii="Arial" w:cs="Arial" w:eastAsia="Arial" w:hAnsi="Arial"/>
          <w:sz w:val="21"/>
          <w:szCs w:val="21"/>
          <w:u w:val="single" w:color="auto"/>
          <w:color w:val="auto"/>
        </w:rPr>
      </w:pPr>
    </w:p>
    <w:p>
      <w:pPr>
        <w:jc w:val="both"/>
        <w:ind w:firstLine="656"/>
        <w:spacing w:after="0" w:line="250" w:lineRule="auto"/>
        <w:tabs>
          <w:tab w:leader="none" w:pos="1549" w:val="left"/>
        </w:tabs>
        <w:numPr>
          <w:ilvl w:val="1"/>
          <w:numId w:val="155"/>
        </w:numPr>
        <w:rPr>
          <w:rFonts w:ascii="Arial" w:cs="Arial" w:eastAsia="Arial" w:hAnsi="Arial"/>
          <w:sz w:val="22"/>
          <w:szCs w:val="22"/>
          <w:color w:val="auto"/>
        </w:rPr>
      </w:pPr>
      <w:r>
        <w:rPr>
          <w:rFonts w:ascii="Arial" w:cs="Arial" w:eastAsia="Arial" w:hAnsi="Arial"/>
          <w:sz w:val="22"/>
          <w:szCs w:val="22"/>
          <w:u w:val="single" w:color="auto"/>
          <w:color w:val="auto"/>
        </w:rPr>
        <w:t>Assignments by Lenders</w:t>
      </w:r>
      <w:r>
        <w:rPr>
          <w:rFonts w:ascii="Arial" w:cs="Arial" w:eastAsia="Arial" w:hAnsi="Arial"/>
          <w:sz w:val="22"/>
          <w:szCs w:val="22"/>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22"/>
          <w:szCs w:val="22"/>
          <w:u w:val="single" w:color="auto"/>
          <w:color w:val="auto"/>
        </w:rPr>
        <w:t>subsection (b)</w:t>
      </w:r>
      <w:r>
        <w:rPr>
          <w:rFonts w:ascii="Arial" w:cs="Arial" w:eastAsia="Arial" w:hAnsi="Arial"/>
          <w:sz w:val="22"/>
          <w:szCs w:val="22"/>
          <w:color w:val="auto"/>
        </w:rPr>
        <w:t xml:space="preserve">, participations in L/C Obligations and in Swing Line Loans) at the time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assignment shall be subject to the following conditions:</w:t>
      </w:r>
    </w:p>
    <w:p>
      <w:pPr>
        <w:spacing w:after="0" w:line="188" w:lineRule="exact"/>
        <w:rPr>
          <w:rFonts w:ascii="Arial" w:cs="Arial" w:eastAsia="Arial" w:hAnsi="Arial"/>
          <w:sz w:val="22"/>
          <w:szCs w:val="22"/>
          <w:color w:val="auto"/>
        </w:rPr>
      </w:pPr>
    </w:p>
    <w:p>
      <w:pPr>
        <w:ind w:left="2160" w:hanging="855"/>
        <w:spacing w:after="0"/>
        <w:tabs>
          <w:tab w:leader="none" w:pos="2160" w:val="left"/>
        </w:tabs>
        <w:numPr>
          <w:ilvl w:val="2"/>
          <w:numId w:val="155"/>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653"/>
        <w:spacing w:after="0" w:line="253" w:lineRule="auto"/>
        <w:tabs>
          <w:tab w:leader="none" w:pos="2896" w:val="left"/>
        </w:tabs>
        <w:numPr>
          <w:ilvl w:val="3"/>
          <w:numId w:val="155"/>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 and the Loans at the time owing to it under or in the case of an assignment to a Lender, an Affiliate of a Lender or an Approved Fund, no minimum amount need be assigned; and</w:t>
      </w:r>
    </w:p>
    <w:p>
      <w:pPr>
        <w:spacing w:after="0" w:line="185" w:lineRule="exact"/>
        <w:rPr>
          <w:rFonts w:ascii="Arial" w:cs="Arial" w:eastAsia="Arial" w:hAnsi="Arial"/>
          <w:sz w:val="22"/>
          <w:szCs w:val="22"/>
          <w:color w:val="auto"/>
        </w:rPr>
      </w:pPr>
    </w:p>
    <w:p>
      <w:pPr>
        <w:jc w:val="both"/>
        <w:ind w:left="1300" w:firstLine="653"/>
        <w:spacing w:after="0" w:line="292" w:lineRule="auto"/>
        <w:tabs>
          <w:tab w:leader="none" w:pos="2884" w:val="left"/>
        </w:tabs>
        <w:numPr>
          <w:ilvl w:val="3"/>
          <w:numId w:val="155"/>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subsection (b)(i)(A)</w:t>
      </w:r>
      <w:r>
        <w:rPr>
          <w:rFonts w:ascii="Arial" w:cs="Arial" w:eastAsia="Arial" w:hAnsi="Arial"/>
          <w:sz w:val="19"/>
          <w:szCs w:val="19"/>
          <w:color w:val="auto"/>
        </w:rPr>
        <w:t xml:space="preserve"> of this Section, the aggregate amount of the applicable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Toro otherwise consents (each such consent not to be unreasonably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420"/>
          </w:cols>
          <w:pgMar w:left="240" w:top="631" w:right="239" w:bottom="1440" w:gutter="0" w:footer="0" w:header="0"/>
        </w:sectPr>
      </w:pPr>
    </w:p>
    <w:bookmarkStart w:id="126" w:name="page127"/>
    <w:bookmarkEnd w:id="126"/>
    <w:p>
      <w:pPr>
        <w:jc w:val="both"/>
        <w:ind w:left="100"/>
        <w:spacing w:after="0" w:line="250" w:lineRule="auto"/>
        <w:rPr>
          <w:sz w:val="20"/>
          <w:szCs w:val="20"/>
          <w:color w:val="auto"/>
        </w:rPr>
      </w:pPr>
      <w:r>
        <w:rPr>
          <w:rFonts w:ascii="Arial" w:cs="Arial" w:eastAsia="Arial" w:hAnsi="Arial"/>
          <w:sz w:val="22"/>
          <w:szCs w:val="22"/>
          <w:color w:val="auto"/>
        </w:rPr>
        <w:t xml:space="preserve">withheld or delayed);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8" w:lineRule="exact"/>
        <w:rPr>
          <w:sz w:val="20"/>
          <w:szCs w:val="20"/>
          <w:color w:val="auto"/>
        </w:rPr>
      </w:pPr>
    </w:p>
    <w:p>
      <w:pPr>
        <w:jc w:val="both"/>
        <w:ind w:left="-540" w:firstLine="645"/>
        <w:spacing w:after="0" w:line="250" w:lineRule="auto"/>
        <w:tabs>
          <w:tab w:leader="none" w:pos="1021"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shall not apply to the Swing Line Lender’s rights and obligations in respect of Swing Line Loans;</w:t>
      </w:r>
    </w:p>
    <w:p>
      <w:pPr>
        <w:spacing w:after="0" w:line="188" w:lineRule="exact"/>
        <w:rPr>
          <w:rFonts w:ascii="Arial" w:cs="Arial" w:eastAsia="Arial" w:hAnsi="Arial"/>
          <w:sz w:val="22"/>
          <w:szCs w:val="22"/>
          <w:color w:val="auto"/>
        </w:rPr>
      </w:pPr>
    </w:p>
    <w:p>
      <w:pPr>
        <w:ind w:left="-540" w:right="20" w:firstLine="645"/>
        <w:spacing w:after="0" w:line="263" w:lineRule="auto"/>
        <w:tabs>
          <w:tab w:leader="none" w:pos="1081"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xml:space="preserve">. No consent shall be required for any assignment except to the extent required by </w:t>
      </w:r>
      <w:r>
        <w:rPr>
          <w:rFonts w:ascii="Arial" w:cs="Arial" w:eastAsia="Arial" w:hAnsi="Arial"/>
          <w:sz w:val="22"/>
          <w:szCs w:val="22"/>
          <w:u w:val="single" w:color="auto"/>
          <w:color w:val="auto"/>
        </w:rPr>
        <w:t>subsection (b)(i)(B)</w:t>
      </w:r>
      <w:r>
        <w:rPr>
          <w:rFonts w:ascii="Arial" w:cs="Arial" w:eastAsia="Arial" w:hAnsi="Arial"/>
          <w:sz w:val="22"/>
          <w:szCs w:val="22"/>
          <w:color w:val="auto"/>
        </w:rPr>
        <w:t xml:space="preserve"> of this Section and, in addition:</w:t>
      </w:r>
    </w:p>
    <w:p>
      <w:pPr>
        <w:spacing w:after="0" w:line="174" w:lineRule="exact"/>
        <w:rPr>
          <w:rFonts w:ascii="Arial" w:cs="Arial" w:eastAsia="Arial" w:hAnsi="Arial"/>
          <w:sz w:val="22"/>
          <w:szCs w:val="22"/>
          <w:color w:val="auto"/>
        </w:rPr>
      </w:pPr>
    </w:p>
    <w:p>
      <w:pPr>
        <w:jc w:val="both"/>
        <w:ind w:left="100" w:firstLine="653"/>
        <w:spacing w:after="0" w:line="246" w:lineRule="auto"/>
        <w:tabs>
          <w:tab w:leader="none" w:pos="1696" w:val="left"/>
        </w:tabs>
        <w:numPr>
          <w:ilvl w:val="1"/>
          <w:numId w:val="156"/>
        </w:numPr>
        <w:rPr>
          <w:rFonts w:ascii="Arial" w:cs="Arial" w:eastAsia="Arial" w:hAnsi="Arial"/>
          <w:sz w:val="22"/>
          <w:szCs w:val="22"/>
          <w:color w:val="auto"/>
        </w:rPr>
      </w:pPr>
      <w:r>
        <w:rPr>
          <w:rFonts w:ascii="Arial" w:cs="Arial" w:eastAsia="Arial" w:hAnsi="Arial"/>
          <w:sz w:val="22"/>
          <w:szCs w:val="22"/>
          <w:color w:val="auto"/>
        </w:rPr>
        <w:t xml:space="preserve">the consent of Toro (such consent not to be unreasonably withheld) shall be required unless (1) an Event of Default has occurred and is continuing at the time of such assignment or (2) such assignment is to a Lender, an Affiliate of a Lender or an Approved Fund;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Toro shall be deemed to have consented to any such assignment unless it shall object thereto by written notice to the Administrative Agent within ten (10) days after having received notice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further that Toro’s consent shall be deemed reasonably withheld where such assignment would result in additional or increased costs to any Borrower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3.04</w:t>
      </w:r>
      <w:r>
        <w:rPr>
          <w:rFonts w:ascii="Arial" w:cs="Arial" w:eastAsia="Arial" w:hAnsi="Arial"/>
          <w:sz w:val="22"/>
          <w:szCs w:val="22"/>
          <w:color w:val="auto"/>
        </w:rPr>
        <w:t>.</w:t>
      </w:r>
    </w:p>
    <w:p>
      <w:pPr>
        <w:spacing w:after="0" w:line="197" w:lineRule="exact"/>
        <w:rPr>
          <w:rFonts w:ascii="Arial" w:cs="Arial" w:eastAsia="Arial" w:hAnsi="Arial"/>
          <w:sz w:val="22"/>
          <w:szCs w:val="22"/>
          <w:color w:val="auto"/>
        </w:rPr>
      </w:pPr>
    </w:p>
    <w:p>
      <w:pPr>
        <w:jc w:val="both"/>
        <w:ind w:left="100" w:firstLine="653"/>
        <w:spacing w:after="0" w:line="312" w:lineRule="auto"/>
        <w:tabs>
          <w:tab w:leader="none" w:pos="1684"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the consent of the Administrative Agent (such consent not to be unreasonably withheld or delayed) shall be required for assignments in respect of any Commitment if such assignment is to a Person that is not a Lender with a Commitment, an Affiliate of such Lender or an Approved Fund with respect to such Lender;</w:t>
      </w:r>
    </w:p>
    <w:p>
      <w:pPr>
        <w:spacing w:after="0" w:line="133" w:lineRule="exact"/>
        <w:rPr>
          <w:rFonts w:ascii="Arial" w:cs="Arial" w:eastAsia="Arial" w:hAnsi="Arial"/>
          <w:sz w:val="19"/>
          <w:szCs w:val="19"/>
          <w:color w:val="auto"/>
        </w:rPr>
      </w:pPr>
    </w:p>
    <w:p>
      <w:pPr>
        <w:jc w:val="both"/>
        <w:ind w:left="100" w:firstLine="653"/>
        <w:spacing w:after="0" w:line="253" w:lineRule="auto"/>
        <w:tabs>
          <w:tab w:leader="none" w:pos="1684"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85" w:lineRule="exact"/>
        <w:rPr>
          <w:rFonts w:ascii="Arial" w:cs="Arial" w:eastAsia="Arial" w:hAnsi="Arial"/>
          <w:sz w:val="22"/>
          <w:szCs w:val="22"/>
          <w:color w:val="auto"/>
        </w:rPr>
      </w:pPr>
    </w:p>
    <w:p>
      <w:pPr>
        <w:ind w:left="100" w:firstLine="653"/>
        <w:spacing w:after="0" w:line="263" w:lineRule="auto"/>
        <w:tabs>
          <w:tab w:leader="none" w:pos="1696"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consent of the Swing Line Lender (such consent not to be unreasonably withheld or delayed) shall be required for any assignment.</w:t>
      </w:r>
    </w:p>
    <w:p>
      <w:pPr>
        <w:spacing w:after="0" w:line="174" w:lineRule="exact"/>
        <w:rPr>
          <w:rFonts w:ascii="Arial" w:cs="Arial" w:eastAsia="Arial" w:hAnsi="Arial"/>
          <w:sz w:val="22"/>
          <w:szCs w:val="22"/>
          <w:color w:val="auto"/>
        </w:rPr>
      </w:pPr>
    </w:p>
    <w:p>
      <w:pPr>
        <w:jc w:val="both"/>
        <w:ind w:left="-540" w:firstLine="645"/>
        <w:spacing w:after="0" w:line="248" w:lineRule="auto"/>
        <w:tabs>
          <w:tab w:leader="none" w:pos="1068"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92" w:lineRule="exact"/>
        <w:rPr>
          <w:rFonts w:ascii="Arial" w:cs="Arial" w:eastAsia="Arial" w:hAnsi="Arial"/>
          <w:sz w:val="22"/>
          <w:szCs w:val="22"/>
          <w:color w:val="auto"/>
        </w:rPr>
      </w:pPr>
    </w:p>
    <w:p>
      <w:pPr>
        <w:ind w:left="-540" w:firstLine="645"/>
        <w:spacing w:after="0" w:line="263" w:lineRule="auto"/>
        <w:tabs>
          <w:tab w:leader="none" w:pos="1009"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No Assignment to Certain Persons</w:t>
      </w:r>
      <w:r>
        <w:rPr>
          <w:rFonts w:ascii="Arial" w:cs="Arial" w:eastAsia="Arial" w:hAnsi="Arial"/>
          <w:sz w:val="22"/>
          <w:szCs w:val="22"/>
          <w:color w:val="auto"/>
        </w:rPr>
        <w:t>. No such assignment shall be made (A) to any Borrower or any Borrower’s Affiliates or Subsidiaries, or (B) to any</w:t>
      </w:r>
    </w:p>
    <w:p>
      <w:pPr>
        <w:spacing w:after="0" w:line="200" w:lineRule="exact"/>
        <w:rPr>
          <w:sz w:val="20"/>
          <w:szCs w:val="20"/>
          <w:color w:val="auto"/>
        </w:rPr>
      </w:pPr>
    </w:p>
    <w:p>
      <w:pPr>
        <w:spacing w:after="0" w:line="21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0220"/>
          </w:cols>
          <w:pgMar w:left="1440" w:top="631" w:right="239" w:bottom="1440" w:gutter="0" w:footer="0" w:header="0"/>
        </w:sectPr>
      </w:pPr>
    </w:p>
    <w:bookmarkStart w:id="127" w:name="page128"/>
    <w:bookmarkEnd w:id="127"/>
    <w:p>
      <w:pPr>
        <w:ind w:left="660"/>
        <w:spacing w:after="0" w:line="263" w:lineRule="auto"/>
        <w:rPr>
          <w:sz w:val="20"/>
          <w:szCs w:val="20"/>
          <w:color w:val="auto"/>
        </w:rPr>
      </w:pPr>
      <w:r>
        <w:rPr>
          <w:rFonts w:ascii="Arial" w:cs="Arial" w:eastAsia="Arial" w:hAnsi="Arial"/>
          <w:sz w:val="22"/>
          <w:szCs w:val="22"/>
          <w:color w:val="auto"/>
        </w:rPr>
        <w:t xml:space="preserve">Defaulting Lender or any of its Subsidiaries, or any Person who, upon becoming a Lender hereunder, would constitute any of the foregoing Persons described in this </w:t>
      </w:r>
      <w:r>
        <w:rPr>
          <w:rFonts w:ascii="Arial" w:cs="Arial" w:eastAsia="Arial" w:hAnsi="Arial"/>
          <w:sz w:val="22"/>
          <w:szCs w:val="22"/>
          <w:u w:val="single" w:color="auto"/>
          <w:color w:val="auto"/>
        </w:rPr>
        <w:t>clause (B)</w:t>
      </w:r>
      <w:r>
        <w:rPr>
          <w:rFonts w:ascii="Arial" w:cs="Arial" w:eastAsia="Arial" w:hAnsi="Arial"/>
          <w:sz w:val="22"/>
          <w:szCs w:val="22"/>
          <w:color w:val="auto"/>
        </w:rPr>
        <w:t>, or (C) to a natural person.</w:t>
      </w:r>
    </w:p>
    <w:p>
      <w:pPr>
        <w:spacing w:after="0" w:line="175" w:lineRule="exact"/>
        <w:rPr>
          <w:sz w:val="20"/>
          <w:szCs w:val="20"/>
          <w:color w:val="auto"/>
        </w:rPr>
      </w:pPr>
    </w:p>
    <w:p>
      <w:pPr>
        <w:jc w:val="both"/>
        <w:ind w:left="660" w:firstLine="645"/>
        <w:spacing w:after="0" w:line="286" w:lineRule="auto"/>
        <w:tabs>
          <w:tab w:leader="none" w:pos="2268"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Toro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w:t>
      </w:r>
    </w:p>
    <w:p>
      <w:pPr>
        <w:spacing w:after="0" w:line="200" w:lineRule="exact"/>
        <w:rPr>
          <w:sz w:val="20"/>
          <w:szCs w:val="20"/>
          <w:color w:val="auto"/>
        </w:rPr>
      </w:pPr>
    </w:p>
    <w:p>
      <w:pPr>
        <w:spacing w:after="0" w:line="217" w:lineRule="exact"/>
        <w:rPr>
          <w:sz w:val="20"/>
          <w:szCs w:val="20"/>
          <w:color w:val="auto"/>
        </w:rPr>
      </w:pPr>
    </w:p>
    <w:p>
      <w:pPr>
        <w:jc w:val="both"/>
        <w:ind w:firstLine="656"/>
        <w:spacing w:after="0" w:line="265" w:lineRule="auto"/>
        <w:tabs>
          <w:tab w:leader="none" w:pos="1536"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Register</w:t>
      </w:r>
      <w:r>
        <w:rPr>
          <w:rFonts w:ascii="Arial" w:cs="Arial" w:eastAsia="Arial" w:hAnsi="Arial"/>
          <w:sz w:val="21"/>
          <w:szCs w:val="21"/>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631" w:right="239" w:bottom="1440" w:gutter="0" w:footer="0" w:header="0"/>
        </w:sectPr>
      </w:pPr>
    </w:p>
    <w:bookmarkStart w:id="128" w:name="page129"/>
    <w:bookmarkEnd w:id="128"/>
    <w:p>
      <w:pPr>
        <w:jc w:val="both"/>
        <w:spacing w:after="0" w:line="297" w:lineRule="auto"/>
        <w:rPr>
          <w:sz w:val="20"/>
          <w:szCs w:val="20"/>
          <w:color w:val="auto"/>
        </w:rPr>
      </w:pPr>
      <w:r>
        <w:rPr>
          <w:rFonts w:ascii="Arial" w:cs="Arial" w:eastAsia="Arial" w:hAnsi="Arial"/>
          <w:sz w:val="19"/>
          <w:szCs w:val="19"/>
          <w:color w:val="auto"/>
        </w:rPr>
        <w:t>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each of the Borrowers and any Lender, at any reasonable time and from time to time upon reasonable prior notice.</w:t>
      </w:r>
    </w:p>
    <w:p>
      <w:pPr>
        <w:spacing w:after="0" w:line="147" w:lineRule="exact"/>
        <w:rPr>
          <w:sz w:val="20"/>
          <w:szCs w:val="20"/>
          <w:color w:val="auto"/>
        </w:rPr>
      </w:pPr>
    </w:p>
    <w:p>
      <w:pPr>
        <w:jc w:val="both"/>
        <w:ind w:firstLine="656"/>
        <w:spacing w:after="0" w:line="285" w:lineRule="auto"/>
        <w:tabs>
          <w:tab w:leader="none" w:pos="1549"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any Borrower or the Administrative Agent, sell participations to any Person (other than a natural person, a Defaulting Lender or any Borrower or any Affiliate or Subsidiary of any Borrower)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w:t>
      </w:r>
    </w:p>
    <w:p>
      <w:pPr>
        <w:jc w:val="both"/>
        <w:ind w:firstLine="8"/>
        <w:spacing w:after="0" w:line="302" w:lineRule="auto"/>
        <w:tabs>
          <w:tab w:leader="none" w:pos="393"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without regard to the existence of any participation.</w:t>
      </w:r>
    </w:p>
    <w:p>
      <w:pPr>
        <w:spacing w:after="0" w:line="1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of this Section, each Borrower agrees that each Participant shall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of this Section (it being understood that the documentation required under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agrees to be subject to the provisions of </w:t>
      </w:r>
      <w:r>
        <w:rPr>
          <w:rFonts w:ascii="Arial" w:cs="Arial" w:eastAsia="Arial" w:hAnsi="Arial"/>
          <w:sz w:val="19"/>
          <w:szCs w:val="19"/>
          <w:u w:val="single" w:color="auto"/>
          <w:color w:val="auto"/>
        </w:rPr>
        <w:t>Sections 3.06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11.13</w:t>
      </w:r>
      <w:r>
        <w:rPr>
          <w:rFonts w:ascii="Arial" w:cs="Arial" w:eastAsia="Arial" w:hAnsi="Arial"/>
          <w:sz w:val="19"/>
          <w:szCs w:val="19"/>
          <w:color w:val="auto"/>
        </w:rPr>
        <w:t xml:space="preserve"> as if it were an assignee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(B) shall not be entitled to receive any greater payment under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with respect to any Participant. To the extent permitted by law, each Participant also shall be entitled to the benefits of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as though it were a Lender.</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Lender that sells a participation shall, acting solely for this purpose as an agent of the Borrowers, maintain a register on which it enters the name and address of each Participant and the principal amounts (and stated interest) of each Participant’s interest in the Loans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20"/>
          </w:cols>
          <w:pgMar w:left="240" w:top="631" w:right="239" w:bottom="1440" w:gutter="0" w:footer="0" w:header="0"/>
        </w:sectPr>
      </w:pPr>
    </w:p>
    <w:bookmarkStart w:id="129" w:name="page130"/>
    <w:bookmarkEnd w:id="129"/>
    <w:p>
      <w:pPr>
        <w:jc w:val="both"/>
        <w:spacing w:after="0" w:line="259" w:lineRule="auto"/>
        <w:rPr>
          <w:sz w:val="20"/>
          <w:szCs w:val="20"/>
          <w:color w:val="auto"/>
        </w:rPr>
      </w:pPr>
      <w:r>
        <w:rPr>
          <w:rFonts w:ascii="Arial" w:cs="Arial" w:eastAsia="Arial" w:hAnsi="Arial"/>
          <w:sz w:val="21"/>
          <w:szCs w:val="21"/>
          <w:color w:val="auto"/>
        </w:rPr>
        <w:t>other obligations under the Loan Documents (the “</w:t>
      </w:r>
      <w:r>
        <w:rPr>
          <w:rFonts w:ascii="Arial" w:cs="Arial" w:eastAsia="Arial" w:hAnsi="Arial"/>
          <w:sz w:val="21"/>
          <w:szCs w:val="21"/>
          <w:u w:val="single" w:color="auto"/>
          <w:color w:val="auto"/>
        </w:rPr>
        <w:t>Participant Register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jc w:val="both"/>
        <w:ind w:firstLine="656"/>
        <w:spacing w:after="0" w:line="247" w:lineRule="auto"/>
        <w:tabs>
          <w:tab w:leader="none" w:pos="1536"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Limitation upon Participant Rights</w:t>
      </w:r>
      <w:r>
        <w:rPr>
          <w:rFonts w:ascii="Arial" w:cs="Arial" w:eastAsia="Arial" w:hAnsi="Arial"/>
          <w:sz w:val="22"/>
          <w:szCs w:val="22"/>
          <w:color w:val="auto"/>
        </w:rPr>
        <w:t xml:space="preserve">. A Participant shall not be entitled to receive any greater payment under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3.04</w:t>
      </w:r>
      <w:r>
        <w:rPr>
          <w:rFonts w:ascii="Arial" w:cs="Arial" w:eastAsia="Arial" w:hAnsi="Arial"/>
          <w:sz w:val="22"/>
          <w:szCs w:val="22"/>
          <w:color w:val="auto"/>
        </w:rPr>
        <w:t xml:space="preserve"> than the applicable Lender would have been entitled to receive with respect to the participation sold to such Participant, unless the sale of the participation to such Participant is made with Toro’s prior written consent. A Participant that would be a Foreign Lender if it were a Lender shall not be entitled to the benefits of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unless Toro is notified of the participation sold to such Participant and such Participant agrees, for the benefit of the Borrowers, to comply with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as though it were a Lender.</w:t>
      </w:r>
    </w:p>
    <w:p>
      <w:pPr>
        <w:spacing w:after="0" w:line="193" w:lineRule="exact"/>
        <w:rPr>
          <w:rFonts w:ascii="Arial" w:cs="Arial" w:eastAsia="Arial" w:hAnsi="Arial"/>
          <w:sz w:val="22"/>
          <w:szCs w:val="22"/>
          <w:color w:val="auto"/>
        </w:rPr>
      </w:pPr>
    </w:p>
    <w:p>
      <w:pPr>
        <w:jc w:val="both"/>
        <w:ind w:firstLine="656"/>
        <w:spacing w:after="0" w:line="302" w:lineRule="auto"/>
        <w:tabs>
          <w:tab w:leader="none" w:pos="1512"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42" w:lineRule="exact"/>
        <w:rPr>
          <w:rFonts w:ascii="Arial" w:cs="Arial" w:eastAsia="Arial" w:hAnsi="Arial"/>
          <w:sz w:val="19"/>
          <w:szCs w:val="19"/>
          <w:color w:val="auto"/>
        </w:rPr>
      </w:pPr>
    </w:p>
    <w:p>
      <w:pPr>
        <w:jc w:val="both"/>
        <w:ind w:firstLine="656"/>
        <w:spacing w:after="0" w:line="286" w:lineRule="auto"/>
        <w:tabs>
          <w:tab w:leader="none" w:pos="1549"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Resignation as L/C Issuer or Swing Line Lender after Assignment</w:t>
      </w:r>
      <w:r>
        <w:rPr>
          <w:rFonts w:ascii="Arial" w:cs="Arial" w:eastAsia="Arial" w:hAnsi="Arial"/>
          <w:sz w:val="19"/>
          <w:szCs w:val="19"/>
          <w:color w:val="auto"/>
        </w:rPr>
        <w:t xml:space="preserve">. Notwithstanding anything to the contrary contained herein, if at any time Bank of America assigns all of its Commitment and Loans pursuant to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above, Bank of America may, (i) upon 30 days’ notice to Toro and the Lenders, resign as L/C Issuer and/or (ii) upon 30 days’ notice to Toro, resign as Swing Line Lender. In the event of any such resignation as L/C Issuer or Swing Line Lender, Toro shall be entitled to appoint from among the Lenders a successor L/C Issuer or Swing Line Lender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failure by Toro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of a successor L/C Issuer and/or Swing Line Lender, (a) such successor shall succeed to and become vested with all of the rights,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420"/>
          </w:cols>
          <w:pgMar w:left="240" w:top="631" w:right="239" w:bottom="1440" w:gutter="0" w:footer="0" w:header="0"/>
        </w:sectPr>
      </w:pPr>
    </w:p>
    <w:bookmarkStart w:id="130" w:name="page131"/>
    <w:bookmarkEnd w:id="130"/>
    <w:p>
      <w:pPr>
        <w:jc w:val="both"/>
        <w:spacing w:after="0" w:line="263" w:lineRule="auto"/>
        <w:rPr>
          <w:sz w:val="20"/>
          <w:szCs w:val="20"/>
          <w:color w:val="auto"/>
        </w:rPr>
      </w:pPr>
      <w:r>
        <w:rPr>
          <w:rFonts w:ascii="Arial" w:cs="Arial" w:eastAsia="Arial" w:hAnsi="Arial"/>
          <w:sz w:val="21"/>
          <w:szCs w:val="21"/>
          <w:color w:val="auto"/>
        </w:rPr>
        <w:t>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whereupon such substitute letters of credit or other arrangements shall be deemed to be, and the Letters of Credit issued by the retiring L/C Issuer shall cease to be Letters of Credit hereunder.</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11.07 Treatment of Certain Information; Confidentiality</w:t>
      </w:r>
      <w:r>
        <w:rPr>
          <w:rFonts w:ascii="Arial" w:cs="Arial" w:eastAsia="Arial" w:hAnsi="Arial"/>
          <w:sz w:val="19"/>
          <w:szCs w:val="19"/>
          <w:color w:val="auto"/>
        </w:rPr>
        <w:t>. Each of the Administrative Agent, the Lenders and the L/C</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Issuer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w:t>
      </w:r>
    </w:p>
    <w:p>
      <w:pPr>
        <w:spacing w:after="0" w:line="3" w:lineRule="exact"/>
        <w:rPr>
          <w:sz w:val="20"/>
          <w:szCs w:val="20"/>
          <w:color w:val="auto"/>
        </w:rPr>
      </w:pPr>
    </w:p>
    <w:p>
      <w:pPr>
        <w:jc w:val="both"/>
        <w:ind w:firstLine="8"/>
        <w:spacing w:after="0" w:line="257" w:lineRule="auto"/>
        <w:tabs>
          <w:tab w:leader="none" w:pos="344" w:val="left"/>
        </w:tabs>
        <w:numPr>
          <w:ilvl w:val="0"/>
          <w:numId w:val="162"/>
        </w:numPr>
        <w:rPr>
          <w:rFonts w:ascii="Arial" w:cs="Arial" w:eastAsia="Arial" w:hAnsi="Arial"/>
          <w:sz w:val="21"/>
          <w:szCs w:val="21"/>
          <w:color w:val="auto"/>
        </w:rPr>
      </w:pPr>
      <w:r>
        <w:rPr>
          <w:rFonts w:ascii="Arial" w:cs="Arial" w:eastAsia="Arial" w:hAnsi="Arial"/>
          <w:sz w:val="21"/>
          <w:szCs w:val="21"/>
          <w:color w:val="auto"/>
        </w:rPr>
        <w:t>any actual or prospective counterparty (or its advisors) to any swap or derivative transaction relating to a Borrower and its obligations, (g) on a confidential basis to (i) any rating agency in connection with rating Toro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Toro or (i) to the extent such Information (x) becomes publicly available other than as a result of a breach of this Section or (y) becomes available to the Administrative Agent, any Lender, the L/C Issuer or any of their respective Affiliates on a nonconfidential basis from a source other than any Borrower.</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For purposes of this Section, “</w:t>
      </w:r>
      <w:r>
        <w:rPr>
          <w:rFonts w:ascii="Arial" w:cs="Arial" w:eastAsia="Arial" w:hAnsi="Arial"/>
          <w:sz w:val="21"/>
          <w:szCs w:val="21"/>
          <w:u w:val="single" w:color="auto"/>
          <w:color w:val="auto"/>
        </w:rPr>
        <w:t>Information</w:t>
      </w:r>
      <w:r>
        <w:rPr>
          <w:rFonts w:ascii="Arial" w:cs="Arial" w:eastAsia="Arial" w:hAnsi="Arial"/>
          <w:sz w:val="21"/>
          <w:szCs w:val="21"/>
          <w:color w:val="auto"/>
        </w:rPr>
        <w:t>” means all information received from any Borrower or any Subsidiary relating to any Borrower or any Subsidiary or any of their respective businesses, other than any such information that is available to the Administrative Agent, any Lender or the L/C Issuer on a nonconfidential basis prior to disclosure by any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Each of the Administrative Agent, the Lenders and the L/C Issuer acknowledges that (a) the Information may include material non-public information concerning any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20"/>
          </w:cols>
          <w:pgMar w:left="240" w:top="631" w:right="239" w:bottom="1440" w:gutter="0" w:footer="0" w:header="0"/>
        </w:sectPr>
      </w:pPr>
    </w:p>
    <w:bookmarkStart w:id="131" w:name="page132"/>
    <w:bookmarkEnd w:id="131"/>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11.08 Right of Setoff. </w:t>
      </w:r>
      <w:r>
        <w:rPr>
          <w:rFonts w:ascii="Arial" w:cs="Arial" w:eastAsia="Arial" w:hAnsi="Arial"/>
          <w:sz w:val="19"/>
          <w:szCs w:val="19"/>
          <w:color w:val="auto"/>
        </w:rPr>
        <w:t>If an Event of Default shall have occurred and be continuing, each Lender, the L/C Issuer and each</w:t>
      </w:r>
      <w:r>
        <w:rPr>
          <w:rFonts w:ascii="Arial" w:cs="Arial" w:eastAsia="Arial" w:hAnsi="Arial"/>
          <w:sz w:val="19"/>
          <w:szCs w:val="19"/>
          <w:b w:val="1"/>
          <w:bCs w:val="1"/>
          <w:color w:val="auto"/>
        </w:rPr>
        <w:t xml:space="preserve"> </w:t>
      </w:r>
      <w:r>
        <w:rPr>
          <w:rFonts w:ascii="Arial" w:cs="Arial" w:eastAsia="Arial" w:hAnsi="Arial"/>
          <w:sz w:val="19"/>
          <w:szCs w:val="19"/>
          <w:color w:val="auto"/>
        </w:rPr>
        <w:t>of their respective Affiliates is hereby authorized at any time and from time to time, after obtaining the prior written consent of the Administrative Agent</w:t>
      </w:r>
      <w:r>
        <w:rPr>
          <w:rFonts w:ascii="Arial" w:cs="Arial" w:eastAsia="Arial" w:hAnsi="Arial"/>
          <w:sz w:val="19"/>
          <w:szCs w:val="19"/>
          <w:b w:val="1"/>
          <w:bCs w:val="1"/>
          <w:color w:val="FF0000"/>
        </w:rPr>
        <w:t>,</w:t>
      </w:r>
      <w:r>
        <w:rPr>
          <w:rFonts w:ascii="Arial" w:cs="Arial" w:eastAsia="Arial" w:hAnsi="Arial"/>
          <w:sz w:val="19"/>
          <w:szCs w:val="19"/>
          <w:color w:val="auto"/>
        </w:rPr>
        <w:t xml:space="preserv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obligations of such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or such Loan Party may be contingent or unmatured or are owed to a branch or office of such Lender or the L/C Issuer different from the branch or office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Toro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11.09 Interest Rate Limitation. </w:t>
      </w:r>
      <w:r>
        <w:rPr>
          <w:rFonts w:ascii="Arial" w:cs="Arial" w:eastAsia="Arial" w:hAnsi="Arial"/>
          <w:sz w:val="21"/>
          <w:szCs w:val="21"/>
          <w:color w:val="auto"/>
        </w:rPr>
        <w:t>Notwithstanding anything to the contrary contained in any Loan Document, the interest</w:t>
      </w:r>
      <w:r>
        <w:rPr>
          <w:rFonts w:ascii="Arial" w:cs="Arial" w:eastAsia="Arial" w:hAnsi="Arial"/>
          <w:sz w:val="21"/>
          <w:szCs w:val="21"/>
          <w:b w:val="1"/>
          <w:bCs w:val="1"/>
          <w:color w:val="auto"/>
        </w:rPr>
        <w:t xml:space="preserve"> </w:t>
      </w:r>
      <w:r>
        <w:rPr>
          <w:rFonts w:ascii="Arial" w:cs="Arial" w:eastAsia="Arial" w:hAnsi="Arial"/>
          <w:sz w:val="21"/>
          <w:szCs w:val="21"/>
          <w:color w:val="auto"/>
        </w:rPr>
        <w:t>paid or agreed to be paid under the Loan Documents shall not exceed the maximum rate of non-usurious interest permitted by applicable Law (the “</w:t>
      </w:r>
      <w:r>
        <w:rPr>
          <w:rFonts w:ascii="Arial" w:cs="Arial" w:eastAsia="Arial" w:hAnsi="Arial"/>
          <w:sz w:val="21"/>
          <w:szCs w:val="21"/>
          <w:u w:val="single" w:color="auto"/>
          <w:color w:val="auto"/>
        </w:rPr>
        <w:t>Maximum Rate</w:t>
      </w:r>
      <w:r>
        <w:rPr>
          <w:rFonts w:ascii="Arial" w:cs="Arial" w:eastAsia="Arial" w:hAnsi="Arial"/>
          <w:sz w:val="21"/>
          <w:szCs w:val="21"/>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11.10 Counterparts; Integration; Effectiveness. </w:t>
      </w:r>
      <w:r>
        <w:rPr>
          <w:rFonts w:ascii="Arial" w:cs="Arial" w:eastAsia="Arial" w:hAnsi="Arial"/>
          <w:sz w:val="19"/>
          <w:szCs w:val="19"/>
          <w:color w:val="auto"/>
        </w:rPr>
        <w:t>This Agreement and the other Loan Documents may be executed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and the other Loan Documents shall become effective when it shall have been executed by the Administrative Agent and when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20"/>
          </w:cols>
          <w:pgMar w:left="240" w:top="625" w:right="239" w:bottom="1440" w:gutter="0" w:footer="0" w:header="0"/>
        </w:sectPr>
      </w:pPr>
    </w:p>
    <w:bookmarkStart w:id="132" w:name="page133"/>
    <w:bookmarkEnd w:id="132"/>
    <w:p>
      <w:pPr>
        <w:jc w:val="both"/>
        <w:spacing w:after="0" w:line="250" w:lineRule="auto"/>
        <w:rPr>
          <w:sz w:val="20"/>
          <w:szCs w:val="20"/>
          <w:color w:val="auto"/>
        </w:rPr>
      </w:pPr>
      <w:r>
        <w:rPr>
          <w:rFonts w:ascii="Arial" w:cs="Arial" w:eastAsia="Arial" w:hAnsi="Arial"/>
          <w:sz w:val="22"/>
          <w:szCs w:val="22"/>
          <w:color w:val="auto"/>
        </w:rPr>
        <w:t>Administrative Agent shall have received counterparts hereof that, when taken together, bear the signatures of each of the other parties hereto. Delivery of an executed counterpart of a signature page of this Agreement and any other Loan Document by telecopy or other electronic imaging means (including PDF) shall be effective as delivery of a manually executed counterpart of this Agreement and the other Loan Documents.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11.11 Survival of Representations and Warranties. </w:t>
      </w:r>
      <w:r>
        <w:rPr>
          <w:rFonts w:ascii="Arial" w:cs="Arial" w:eastAsia="Arial" w:hAnsi="Arial"/>
          <w:sz w:val="19"/>
          <w:szCs w:val="19"/>
          <w:color w:val="auto"/>
        </w:rPr>
        <w:t>All representations and warranties made hereunder and in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4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11.12 Severability. </w:t>
      </w:r>
      <w:r>
        <w:rPr>
          <w:rFonts w:ascii="Arial" w:cs="Arial" w:eastAsia="Arial" w:hAnsi="Arial"/>
          <w:sz w:val="19"/>
          <w:szCs w:val="19"/>
          <w:color w:val="auto"/>
        </w:rPr>
        <w:t>If any provision of this Agreement or the other Loan Documents is held to be illegal,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11.12</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11.13 Replacement of Lenders. </w:t>
      </w:r>
      <w:r>
        <w:rPr>
          <w:rFonts w:ascii="Arial" w:cs="Arial" w:eastAsia="Arial" w:hAnsi="Arial"/>
          <w:sz w:val="19"/>
          <w:szCs w:val="19"/>
          <w:color w:val="auto"/>
        </w:rPr>
        <w:t>If (i) any Lender requests compensation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3.04</w:t>
      </w:r>
      <w:r>
        <w:rPr>
          <w:rFonts w:ascii="Arial" w:cs="Arial" w:eastAsia="Arial" w:hAnsi="Arial"/>
          <w:sz w:val="19"/>
          <w:szCs w:val="19"/>
          <w:color w:val="auto"/>
        </w:rPr>
        <w:t>, (ii) any Borrower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(iii) any Lender is a Non-Consenting Lender (as defined below), or (iv) any Lender is a Defaulting Lender, then Toro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1" w:lineRule="exact"/>
        <w:rPr>
          <w:sz w:val="20"/>
          <w:szCs w:val="20"/>
          <w:color w:val="auto"/>
        </w:rPr>
      </w:pPr>
    </w:p>
    <w:p>
      <w:pPr>
        <w:ind w:left="1540" w:hanging="884"/>
        <w:spacing w:after="0"/>
        <w:tabs>
          <w:tab w:leader="none" w:pos="154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the Borrowers shall have paid to the Administrative Agent the assignment fee specified in </w:t>
      </w:r>
      <w:r>
        <w:rPr>
          <w:rFonts w:ascii="Arial" w:cs="Arial" w:eastAsia="Arial" w:hAnsi="Arial"/>
          <w:sz w:val="19"/>
          <w:szCs w:val="19"/>
          <w:u w:val="single" w:color="auto"/>
          <w:color w:val="auto"/>
        </w:rPr>
        <w:t>Section 11.06(b)</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such Lender shall have received payment of an amount equal to the outstanding principal of its Loans and L/C Advances, accrued interest thereon, accrued fees and all other amounts payable to it hereunder and under the other Loan Documents (including any amounts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420"/>
          </w:cols>
          <w:pgMar w:left="240" w:top="631" w:right="239" w:bottom="1440" w:gutter="0" w:footer="0" w:header="0"/>
        </w:sectPr>
      </w:pPr>
    </w:p>
    <w:bookmarkStart w:id="133" w:name="page134"/>
    <w:bookmarkEnd w:id="133"/>
    <w:p>
      <w:pPr>
        <w:spacing w:after="0" w:line="263" w:lineRule="auto"/>
        <w:rPr>
          <w:sz w:val="20"/>
          <w:szCs w:val="20"/>
          <w:color w:val="auto"/>
        </w:rPr>
      </w:pPr>
      <w:r>
        <w:rPr>
          <w:rFonts w:ascii="Arial" w:cs="Arial" w:eastAsia="Arial" w:hAnsi="Arial"/>
          <w:sz w:val="22"/>
          <w:szCs w:val="22"/>
          <w:color w:val="auto"/>
        </w:rPr>
        <w:t xml:space="preserve">under </w:t>
      </w:r>
      <w:r>
        <w:rPr>
          <w:rFonts w:ascii="Arial" w:cs="Arial" w:eastAsia="Arial" w:hAnsi="Arial"/>
          <w:sz w:val="22"/>
          <w:szCs w:val="22"/>
          <w:u w:val="single" w:color="auto"/>
          <w:color w:val="auto"/>
        </w:rPr>
        <w:t>Section 3.05</w:t>
      </w:r>
      <w:r>
        <w:rPr>
          <w:rFonts w:ascii="Arial" w:cs="Arial" w:eastAsia="Arial" w:hAnsi="Arial"/>
          <w:sz w:val="22"/>
          <w:szCs w:val="22"/>
          <w:color w:val="auto"/>
        </w:rPr>
        <w:t>) from the assignee (to the extent of such outstanding principal and accrued interest and fees) or the Borrowers (in the case of all other amounts);</w:t>
      </w:r>
    </w:p>
    <w:p>
      <w:pPr>
        <w:spacing w:after="0" w:line="175" w:lineRule="exact"/>
        <w:rPr>
          <w:sz w:val="20"/>
          <w:szCs w:val="20"/>
          <w:color w:val="auto"/>
        </w:rPr>
      </w:pPr>
    </w:p>
    <w:p>
      <w:pPr>
        <w:jc w:val="both"/>
        <w:ind w:firstLine="656"/>
        <w:spacing w:after="0" w:line="253" w:lineRule="auto"/>
        <w:tabs>
          <w:tab w:leader="none" w:pos="153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xml:space="preserve">in the case of any such assignment resulting from a claim for compensation under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or payments required to be made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such assignment will result in a reduction in such compensation or payments thereafter;</w:t>
      </w:r>
    </w:p>
    <w:p>
      <w:pPr>
        <w:spacing w:after="0" w:line="185" w:lineRule="exact"/>
        <w:rPr>
          <w:rFonts w:ascii="Arial" w:cs="Arial" w:eastAsia="Arial" w:hAnsi="Arial"/>
          <w:sz w:val="22"/>
          <w:szCs w:val="22"/>
          <w:color w:val="auto"/>
        </w:rPr>
      </w:pPr>
    </w:p>
    <w:p>
      <w:pPr>
        <w:ind w:left="1560" w:hanging="904"/>
        <w:spacing w:after="0"/>
        <w:tabs>
          <w:tab w:leader="none" w:pos="156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Laws; and</w:t>
      </w:r>
    </w:p>
    <w:p>
      <w:pPr>
        <w:spacing w:after="0" w:line="219" w:lineRule="exact"/>
        <w:rPr>
          <w:rFonts w:ascii="Arial" w:cs="Arial" w:eastAsia="Arial" w:hAnsi="Arial"/>
          <w:sz w:val="22"/>
          <w:szCs w:val="22"/>
          <w:color w:val="auto"/>
        </w:rPr>
      </w:pPr>
    </w:p>
    <w:p>
      <w:pPr>
        <w:ind w:firstLine="656"/>
        <w:spacing w:after="0" w:line="263" w:lineRule="auto"/>
        <w:tabs>
          <w:tab w:leader="none" w:pos="153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in the case of an assignment resulting from a Lender becoming a Non-Consenting Lender, the applicable assignee shall have consented to the applicable amendment, waiver or consent.</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A Lender shall not be required to make any such assignment or delegation if, prior thereto, as a result of a waiver by such Lender or otherwise, the circumstances entitling Toro to require such assignment and delegation cease to apply.</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Section 11.13</w:t>
      </w:r>
      <w:r>
        <w:rPr>
          <w:rFonts w:ascii="Arial" w:cs="Arial" w:eastAsia="Arial" w:hAnsi="Arial"/>
          <w:sz w:val="22"/>
          <w:szCs w:val="22"/>
          <w:color w:val="auto"/>
        </w:rPr>
        <w:t xml:space="preserve">, a “Non-Consenting Lender” means a Lender that fails to approve an amendment, waiver or consent requested by Toro that (a) requires the approval of all Lenders or all affected Lenders in accordance with the terms of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and (b) has been approved by the Required Lenders.</w:t>
      </w:r>
    </w:p>
    <w:p>
      <w:pPr>
        <w:spacing w:after="0" w:line="18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11.14</w:t>
      </w:r>
      <w:r>
        <w:rPr>
          <w:sz w:val="20"/>
          <w:szCs w:val="20"/>
          <w:color w:val="auto"/>
        </w:rPr>
        <w:tab/>
      </w:r>
      <w:r>
        <w:rPr>
          <w:rFonts w:ascii="Arial" w:cs="Arial" w:eastAsia="Arial" w:hAnsi="Arial"/>
          <w:sz w:val="19"/>
          <w:szCs w:val="19"/>
          <w:b w:val="1"/>
          <w:bCs w:val="1"/>
          <w:color w:val="auto"/>
        </w:rPr>
        <w:t>Governing Law; Jurisdiction; Etc.</w:t>
      </w:r>
    </w:p>
    <w:p>
      <w:pPr>
        <w:spacing w:after="0" w:line="226" w:lineRule="exact"/>
        <w:rPr>
          <w:sz w:val="20"/>
          <w:szCs w:val="20"/>
          <w:color w:val="auto"/>
        </w:rPr>
      </w:pPr>
    </w:p>
    <w:p>
      <w:pPr>
        <w:jc w:val="both"/>
        <w:ind w:firstLine="656"/>
        <w:spacing w:after="0" w:line="247" w:lineRule="auto"/>
        <w:tabs>
          <w:tab w:leader="none" w:pos="1536"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3" w:lineRule="exact"/>
        <w:rPr>
          <w:rFonts w:ascii="Arial" w:cs="Arial" w:eastAsia="Arial" w:hAnsi="Arial"/>
          <w:sz w:val="22"/>
          <w:szCs w:val="22"/>
          <w:color w:val="auto"/>
        </w:rPr>
      </w:pPr>
    </w:p>
    <w:p>
      <w:pPr>
        <w:jc w:val="both"/>
        <w:ind w:firstLine="656"/>
        <w:spacing w:after="0" w:line="245" w:lineRule="auto"/>
        <w:tabs>
          <w:tab w:leader="none" w:pos="1549"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SUBMISSION TO JURISDICTION</w:t>
      </w:r>
      <w:r>
        <w:rPr>
          <w:rFonts w:ascii="Arial" w:cs="Arial" w:eastAsia="Arial" w:hAnsi="Arial"/>
          <w:sz w:val="22"/>
          <w:szCs w:val="22"/>
          <w:color w:val="auto"/>
        </w:rPr>
        <w:t>.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20"/>
          </w:cols>
          <w:pgMar w:left="240" w:top="631" w:right="239" w:bottom="1440" w:gutter="0" w:footer="0" w:header="0"/>
        </w:sectPr>
      </w:pPr>
    </w:p>
    <w:bookmarkStart w:id="134" w:name="page135"/>
    <w:bookmarkEnd w:id="134"/>
    <w:p>
      <w:pPr>
        <w:jc w:val="both"/>
        <w:spacing w:after="0" w:line="260" w:lineRule="auto"/>
        <w:rPr>
          <w:sz w:val="20"/>
          <w:szCs w:val="20"/>
          <w:color w:val="auto"/>
        </w:rPr>
      </w:pPr>
      <w:r>
        <w:rPr>
          <w:rFonts w:ascii="Arial" w:cs="Arial" w:eastAsia="Arial" w:hAnsi="Arial"/>
          <w:sz w:val="21"/>
          <w:szCs w:val="21"/>
          <w:color w:val="auto"/>
        </w:rPr>
        <w:t>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ANY OTHER LOAN PARTY OR ITS PROPERTIES IN THE COURTS OF ANY JURISDICTION.</w:t>
      </w:r>
    </w:p>
    <w:p>
      <w:pPr>
        <w:spacing w:after="0" w:line="181" w:lineRule="exact"/>
        <w:rPr>
          <w:sz w:val="20"/>
          <w:szCs w:val="20"/>
          <w:color w:val="auto"/>
        </w:rPr>
      </w:pPr>
    </w:p>
    <w:p>
      <w:pPr>
        <w:jc w:val="both"/>
        <w:ind w:firstLine="656"/>
        <w:spacing w:after="0" w:line="246" w:lineRule="auto"/>
        <w:tabs>
          <w:tab w:leader="none" w:pos="1536"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WAIVER OF VENUE</w:t>
      </w:r>
      <w:r>
        <w:rPr>
          <w:rFonts w:ascii="Arial" w:cs="Arial" w:eastAsia="Arial" w:hAnsi="Arial"/>
          <w:sz w:val="22"/>
          <w:szCs w:val="22"/>
          <w:color w:val="auto"/>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7"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xml:space="preserve">. EACH PARTY HERETO IRREVOCABLY CONSENTS TO SERVICE OF PROCESS IN THE MANNER PROVIDED FOR NOTICES IN </w:t>
      </w:r>
      <w:r>
        <w:rPr>
          <w:rFonts w:ascii="Arial" w:cs="Arial" w:eastAsia="Arial" w:hAnsi="Arial"/>
          <w:sz w:val="22"/>
          <w:szCs w:val="22"/>
          <w:u w:val="single" w:color="auto"/>
          <w:color w:val="auto"/>
        </w:rPr>
        <w:t>SECTION 11.02</w:t>
      </w:r>
      <w:r>
        <w:rPr>
          <w:rFonts w:ascii="Arial" w:cs="Arial" w:eastAsia="Arial" w:hAnsi="Arial"/>
          <w:sz w:val="22"/>
          <w:szCs w:val="22"/>
          <w:color w:val="auto"/>
        </w:rPr>
        <w:t>. NOTHING IN THIS AGREEMENT WILL AFFECT THE RIGHT OF ANY PARTY HERETO TO SERVE PROCESS IN ANY OTHER MANNER PERMITTED BY APPLICABLE LAW.</w:t>
      </w:r>
    </w:p>
    <w:p>
      <w:pPr>
        <w:spacing w:after="0" w:line="18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11.15 Waiver of Jury Trial. </w:t>
      </w:r>
      <w:r>
        <w:rPr>
          <w:rFonts w:ascii="Arial" w:cs="Arial" w:eastAsia="Arial" w:hAnsi="Arial"/>
          <w:sz w:val="19"/>
          <w:szCs w:val="19"/>
          <w:color w:val="auto"/>
        </w:rPr>
        <w:t>EACH PARTY HERETO HEREBY IRREVOCABLY WAIVES, TO THE FULLEST</w:t>
      </w:r>
      <w:r>
        <w:rPr>
          <w:rFonts w:ascii="Arial" w:cs="Arial" w:eastAsia="Arial" w:hAnsi="Arial"/>
          <w:sz w:val="19"/>
          <w:szCs w:val="19"/>
          <w:b w:val="1"/>
          <w:bCs w:val="1"/>
          <w:color w:val="auto"/>
        </w:rPr>
        <w:t xml:space="preserve"> </w:t>
      </w:r>
      <w:r>
        <w:rPr>
          <w:rFonts w:ascii="Arial" w:cs="Arial" w:eastAsia="Arial" w:hAnsi="Arial"/>
          <w:sz w:val="19"/>
          <w:szCs w:val="19"/>
          <w:color w:val="auto"/>
        </w:rPr>
        <w:t>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4" w:lineRule="exact"/>
        <w:rPr>
          <w:sz w:val="20"/>
          <w:szCs w:val="20"/>
          <w:color w:val="auto"/>
        </w:rPr>
      </w:pPr>
    </w:p>
    <w:p>
      <w:pPr>
        <w:jc w:val="both"/>
        <w:ind w:firstLine="8"/>
        <w:spacing w:after="0" w:line="245" w:lineRule="auto"/>
        <w:tabs>
          <w:tab w:leader="none" w:pos="36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11.16 USA PATRIOT Act Notice. </w:t>
      </w:r>
      <w:r>
        <w:rPr>
          <w:rFonts w:ascii="Arial" w:cs="Arial" w:eastAsia="Arial" w:hAnsi="Arial"/>
          <w:sz w:val="21"/>
          <w:szCs w:val="21"/>
          <w:color w:val="auto"/>
        </w:rPr>
        <w:t>Each Lender that is subject to the Act and the Administrative Agent (for itself and not</w:t>
      </w:r>
      <w:r>
        <w:rPr>
          <w:rFonts w:ascii="Arial" w:cs="Arial" w:eastAsia="Arial" w:hAnsi="Arial"/>
          <w:sz w:val="21"/>
          <w:szCs w:val="21"/>
          <w:b w:val="1"/>
          <w:bCs w:val="1"/>
          <w:color w:val="auto"/>
        </w:rPr>
        <w:t xml:space="preserve"> </w:t>
      </w:r>
      <w:r>
        <w:rPr>
          <w:rFonts w:ascii="Arial" w:cs="Arial" w:eastAsia="Arial" w:hAnsi="Arial"/>
          <w:sz w:val="21"/>
          <w:szCs w:val="21"/>
          <w:color w:val="auto"/>
        </w:rPr>
        <w:t>on behalf of any Lender) hereby notifies the Borrowers that pursuant to the requirements of the Act, it is required to obtain, verify and record information that identifies the Borrowers, which information includes the name and address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20"/>
          </w:cols>
          <w:pgMar w:left="240" w:top="631" w:right="239" w:bottom="1440" w:gutter="0" w:footer="0" w:header="0"/>
        </w:sectPr>
      </w:pPr>
    </w:p>
    <w:bookmarkStart w:id="135" w:name="page136"/>
    <w:bookmarkEnd w:id="135"/>
    <w:p>
      <w:pPr>
        <w:jc w:val="both"/>
        <w:spacing w:after="0" w:line="248" w:lineRule="auto"/>
        <w:rPr>
          <w:sz w:val="20"/>
          <w:szCs w:val="20"/>
          <w:color w:val="auto"/>
        </w:rPr>
      </w:pPr>
      <w:r>
        <w:rPr>
          <w:rFonts w:ascii="Arial" w:cs="Arial" w:eastAsia="Arial" w:hAnsi="Arial"/>
          <w:sz w:val="22"/>
          <w:szCs w:val="22"/>
          <w:color w:val="auto"/>
        </w:rPr>
        <w:t>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11.17</w:t>
      </w:r>
      <w:r>
        <w:rPr>
          <w:sz w:val="20"/>
          <w:szCs w:val="20"/>
          <w:color w:val="auto"/>
        </w:rPr>
        <w:tab/>
      </w:r>
      <w:r>
        <w:rPr>
          <w:rFonts w:ascii="Arial" w:cs="Arial" w:eastAsia="Arial" w:hAnsi="Arial"/>
          <w:sz w:val="19"/>
          <w:szCs w:val="19"/>
          <w:b w:val="1"/>
          <w:bCs w:val="1"/>
          <w:color w:val="auto"/>
        </w:rPr>
        <w:t>Liability of the Borrowers.</w:t>
      </w:r>
    </w:p>
    <w:p>
      <w:pPr>
        <w:spacing w:after="0" w:line="226" w:lineRule="exact"/>
        <w:rPr>
          <w:sz w:val="20"/>
          <w:szCs w:val="20"/>
          <w:color w:val="auto"/>
        </w:rPr>
      </w:pPr>
    </w:p>
    <w:p>
      <w:pPr>
        <w:jc w:val="both"/>
        <w:ind w:firstLine="656"/>
        <w:spacing w:after="0" w:line="289" w:lineRule="auto"/>
        <w:tabs>
          <w:tab w:leader="none" w:pos="153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To the extent TCC becomes a Borrower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all obligations of Toro and TCC or either one of them under this Agreement and the other Loan Documents to which they are a party, shall be joint and several obligations of Toro and TCC (each of the foregoing, a “</w:t>
      </w:r>
      <w:r>
        <w:rPr>
          <w:rFonts w:ascii="Arial" w:cs="Arial" w:eastAsia="Arial" w:hAnsi="Arial"/>
          <w:sz w:val="19"/>
          <w:szCs w:val="19"/>
          <w:u w:val="single" w:color="auto"/>
          <w:color w:val="auto"/>
        </w:rPr>
        <w:t>Joint Borrower</w:t>
      </w:r>
      <w:r>
        <w:rPr>
          <w:rFonts w:ascii="Arial" w:cs="Arial" w:eastAsia="Arial" w:hAnsi="Arial"/>
          <w:sz w:val="19"/>
          <w:szCs w:val="19"/>
          <w:color w:val="auto"/>
        </w:rPr>
        <w:t xml:space="preserve">”). Only Toro shall be liable as a guarantor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hereof for the obligations of the Subsidiary Borrowers under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hereof. All obligations of the Subsidiary Borrowers (other than TCC) under this Agreement and all of the other Loan Documents shall be several and not joint, the result of which shall be that each such Subsidiary Borrower is obligated to repay only those Loans made by the Lenders to such Subsidiary Borrower and interest, fees, expenses and other obligations owing by such Subsidiary Borrower in connection with such Loans; and no Subsidiary Borrower (other than TCC) shall be liable, jointly with the Borrower or otherwise, in respect of any Credit Extensions made to, or on behalf of, the Borrower, or any interest, costs, fees, expenses, taxes, and indemnities related to such Credit Extensions.</w:t>
      </w:r>
    </w:p>
    <w:p>
      <w:pPr>
        <w:spacing w:after="0" w:line="157" w:lineRule="exact"/>
        <w:rPr>
          <w:rFonts w:ascii="Arial" w:cs="Arial" w:eastAsia="Arial" w:hAnsi="Arial"/>
          <w:sz w:val="19"/>
          <w:szCs w:val="19"/>
          <w:color w:val="auto"/>
        </w:rPr>
      </w:pPr>
    </w:p>
    <w:p>
      <w:pPr>
        <w:jc w:val="both"/>
        <w:ind w:firstLine="656"/>
        <w:spacing w:after="0" w:line="287" w:lineRule="auto"/>
        <w:tabs>
          <w:tab w:leader="none" w:pos="154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To the extent TCC becomes a Borrower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each Joint Borrower agrees that no Lender shall have any responsibility to inquire into the apportionment, allocation or disposition of the proceeds of any Credit Extension as among the Joint Borrowers, and acknowledges that its liability hereunder shall not be reduced or diminished by the identity of the Joint Borrower giving or receiving of notices and other communications, making requests for, or effecting conversions or continuations of, Loans or Letters of Credit, executing and delivering certificates, or receiving or allocating disbursements from the Lenders. Each Joint Borrower acknowledges that the handling of this credit facility on a joint borrowing basis as set forth in this Agreement is solely an accommodation to Joint Borrowers and is done at their request. Each Joint Borrower agrees that no Lender shall incur any liability to any Joint Borrower as a result thereof. Each Joint Borrower represents and warrants to the Lenders that the request for joint handling of the Loans, L/C Obligations and other Obligations made hereunder was made because the Joint Borrowers are engaged in related operations and are interdependent. Each Joint Borrower expects to derive benefit, directly or indirectly, from such availability because the successful operation of Joint Borrowers is dependent on the continued successful performance of the functions of the group.</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firstLine="656"/>
        <w:spacing w:after="0" w:line="247" w:lineRule="auto"/>
        <w:tabs>
          <w:tab w:leader="none" w:pos="153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Each Borrower (including each Subsidiary Borrower) irrevocably appoints Toro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Borrower hereunder. Any acknowledgment, consent, direction, certification or other action which might otherwise be valid or effective only if given or taken by all Borrowers, or by each Borrower acting singly, shall be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420"/>
          </w:cols>
          <w:pgMar w:left="240" w:top="631" w:right="239" w:bottom="1440" w:gutter="0" w:footer="0" w:header="0"/>
        </w:sectPr>
      </w:pPr>
    </w:p>
    <w:bookmarkStart w:id="136" w:name="page137"/>
    <w:bookmarkEnd w:id="136"/>
    <w:p>
      <w:pPr>
        <w:jc w:val="both"/>
        <w:spacing w:after="0" w:line="271" w:lineRule="auto"/>
        <w:rPr>
          <w:sz w:val="20"/>
          <w:szCs w:val="20"/>
          <w:color w:val="auto"/>
        </w:rPr>
      </w:pPr>
      <w:r>
        <w:rPr>
          <w:rFonts w:ascii="Arial" w:cs="Arial" w:eastAsia="Arial" w:hAnsi="Arial"/>
          <w:sz w:val="21"/>
          <w:szCs w:val="21"/>
          <w:color w:val="auto"/>
        </w:rPr>
        <w:t>valid and effective if given or taken only by Toro, whether or not any such other Borrower joins therein. Any notice, demand, consent, acknowledgement, direction, certification or other communication delivered to Toro in accordance with the terms of this Agreement or any other Loan Document shall be deemed to have been delivered to each Borrower.</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11.18 Judgment Currency. </w:t>
      </w:r>
      <w:r>
        <w:rPr>
          <w:rFonts w:ascii="Arial" w:cs="Arial" w:eastAsia="Arial" w:hAnsi="Arial"/>
          <w:sz w:val="19"/>
          <w:szCs w:val="19"/>
          <w:color w:val="auto"/>
        </w:rPr>
        <w:t>If, for the purposes of obtaining judgment in any court, it is necessary to convert a sum due</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the L/C Issuer or any Lender hereunder or under the other Loan Documents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the L/C Issuer or such Lender, as the case may be, of any sum adjudged to be so due in the Judgment Currency, the Administrative Agent, the L/C Issuer or such Lender, as the case may be, may in accordance with normal banking procedures purchase the Agreement Currency with the Judgment Currency. If the amount of the Agreement Currency so purchased is less than the sum originally due to the Administrative Agent, the L/C Issuer or any Lender from any Borrower in the Agreement Currency, such Borrower agrees, as a separate obligation and notwithstanding any such judgment, to indemnify the Administrative Agent, the L/C Issuer or such Lender, as the case may be, against such loss. If the amount of the Agreement Currency so purchased is greater than the sum originally due to the Administrative Agent, the L/C Issuer or any Lender in such currency, the Administrative Agent, the L/C Issuer or such Lender, as the case may be, agrees to return the amount of any excess to such Borrower (or to any other Person who may be entitled thereto under applicable law).</w:t>
      </w:r>
    </w:p>
    <w:p>
      <w:pPr>
        <w:spacing w:after="0" w:line="1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11.19 Automatic Debits of Principal, Interest, Fees. </w:t>
      </w:r>
      <w:r>
        <w:rPr>
          <w:rFonts w:ascii="Arial" w:cs="Arial" w:eastAsia="Arial" w:hAnsi="Arial"/>
          <w:sz w:val="19"/>
          <w:szCs w:val="19"/>
          <w:color w:val="auto"/>
        </w:rPr>
        <w:t>With respect to any principal, interest, facility fee, arrangement fee,</w:t>
      </w:r>
      <w:r>
        <w:rPr>
          <w:rFonts w:ascii="Arial" w:cs="Arial" w:eastAsia="Arial" w:hAnsi="Arial"/>
          <w:sz w:val="19"/>
          <w:szCs w:val="19"/>
          <w:b w:val="1"/>
          <w:bCs w:val="1"/>
          <w:color w:val="auto"/>
        </w:rPr>
        <w:t xml:space="preserve"> </w:t>
      </w:r>
      <w:r>
        <w:rPr>
          <w:rFonts w:ascii="Arial" w:cs="Arial" w:eastAsia="Arial" w:hAnsi="Arial"/>
          <w:sz w:val="19"/>
          <w:szCs w:val="19"/>
          <w:color w:val="auto"/>
        </w:rPr>
        <w:t>letter of credit fee or other fee, or any other cost or expense (including Attorney Costs) due and payable to the Administrative Agent, Bank of America, the Swing Line Lender, the L/C Issuer or any Arranger under the Loan Documents, the Borrowers hereby irrevocably authorize Bank of America to debit any deposit account of any Borrower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 will be reversed (in whole or in part, in Bank of America’s sole discretion) and such amount not debited shall be deemed to be unpaid. No such debit under this Section shall be deemed a set-off.</w:t>
      </w:r>
    </w:p>
    <w:p>
      <w:pPr>
        <w:spacing w:after="0" w:line="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b w:val="1"/>
          <w:bCs w:val="1"/>
          <w:color w:val="auto"/>
        </w:rPr>
        <w:t xml:space="preserve">11.20 Termination of Existing Credit Agreement. </w:t>
      </w:r>
      <w:r>
        <w:rPr>
          <w:rFonts w:ascii="Arial" w:cs="Arial" w:eastAsia="Arial" w:hAnsi="Arial"/>
          <w:sz w:val="22"/>
          <w:szCs w:val="22"/>
          <w:color w:val="auto"/>
        </w:rPr>
        <w:t>In connection with the delivery of evidence of termination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Existing Credit Agreement required as a condition to the effectiveness of this Agreement pursuant to </w:t>
      </w:r>
      <w:r>
        <w:rPr>
          <w:rFonts w:ascii="Arial" w:cs="Arial" w:eastAsia="Arial" w:hAnsi="Arial"/>
          <w:sz w:val="22"/>
          <w:szCs w:val="22"/>
          <w:u w:val="single" w:color="auto"/>
          <w:color w:val="auto"/>
        </w:rPr>
        <w:t>Section 4.01(a)(x)</w:t>
      </w:r>
      <w:r>
        <w:rPr>
          <w:rFonts w:ascii="Arial" w:cs="Arial" w:eastAsia="Arial" w:hAnsi="Arial"/>
          <w:sz w:val="22"/>
          <w:szCs w:val="22"/>
          <w:color w:val="auto"/>
        </w:rPr>
        <w:t>, each of the Lenders, upon delivery of such evidence, in its capacity as a Lender under the Existing Credit Agreement, waives any notice requirement under the Existing Credit Agreement with which the Borrowers would otherwise be obligated to comply in order to terminate the Existing Credit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420"/>
          </w:cols>
          <w:pgMar w:left="240" w:top="631" w:right="239" w:bottom="1440" w:gutter="0" w:footer="0" w:header="0"/>
        </w:sectPr>
      </w:pPr>
    </w:p>
    <w:bookmarkStart w:id="137" w:name="page138"/>
    <w:bookmarkEnd w:id="137"/>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11.21 No Advisory or Fiduciary Responsibility. </w:t>
      </w:r>
      <w:r>
        <w:rPr>
          <w:rFonts w:ascii="Arial" w:cs="Arial" w:eastAsia="Arial" w:hAnsi="Arial"/>
          <w:sz w:val="19"/>
          <w:szCs w:val="19"/>
          <w:color w:val="auto"/>
        </w:rPr>
        <w:t>In connection with all aspects of each transaction contemplated hereby</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in connection with any amendment, waiver or other modification hereof or of any other Loan Document), each Borrower and each other Loan Party acknowledges and agrees, and acknowledges its Affiliates’ understanding, that: (i) (A) the arranging and other services regarding this Agreement provided by the Administrative Agent and the Arrangers are arm’s-length commercial transactions between such Borrower, each other Loan Party and their respective Affiliates, on the one hand, and the Administrative Agent and the Arrangers on the other hand, (B) each of such Borrower and the other Loan Parties has consulted its own legal, accounting, regulatory and tax advisors to the extent it has deemed appropriate, and (C) such Borrower and each other Loan Party is capable of evaluating, and understands and accepts, the terms, risks and conditions of the transactions contemplated hereby and by the other Loan Documents; (ii)(A) the Administrative Agent and the Arrangers each is and has been acting solely as a principal and, except as expressly agreed in writing by the relevant parties, has not been, is not, and will not be acting as an advisor, agent or fiduciary for such Borrower, any other Loan Party or any of their respective Affiliates or any other Person and (B) neither the Administrative Agent nor the Arrangers has any obligation to such Borrower, any other Loan Party or any of their respective Affiliates with respect to the transactions contemplated hereby except those obligations expressly set forth herein and in the other Loan Documents; and (iii) the Administrative Agent and the Arrangers and their respective Affiliates may be engaged in a broad range of transactions that involve interests that differ from those of such Borrower, the other Loan Parties and their respective Affiliates, and neither the Administrative Agent nor the Arrangers has any obligation to disclose any of such interests to such Borrower, any other Loan Party or any of their respective Affiliates. To the fullest extent permitted by law, each of the Borrowers and each other Loan Party hereby waives and releases any claims that it may have against the Administrative Agent or any Arranger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11.22 Electronic Execution of Assignments and Certain Other Documents. </w:t>
      </w:r>
      <w:r>
        <w:rPr>
          <w:rFonts w:ascii="Arial" w:cs="Arial" w:eastAsia="Arial" w:hAnsi="Arial"/>
          <w:sz w:val="19"/>
          <w:szCs w:val="19"/>
          <w:color w:val="auto"/>
        </w:rPr>
        <w:t>The words “execute,” “execution,”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“signed,” “signature,” and words of like import in or related to any document to be signed in connection with this Agreement and the transactions contemplated hereby (including without limitation Assignment and Assumptions, amendments or other modifications,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without limiting the foregoing, upon the request of the Administrative Agent, any electronic signature shall be promptly followed by such manually executed counterpart.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420"/>
          </w:cols>
          <w:pgMar w:left="240" w:top="625" w:right="239" w:bottom="1440" w:gutter="0" w:footer="0" w:header="0"/>
        </w:sectPr>
      </w:pPr>
    </w:p>
    <w:bookmarkStart w:id="138" w:name="page139"/>
    <w:bookmarkEnd w:id="138"/>
    <w:p>
      <w:pPr>
        <w:jc w:val="both"/>
        <w:ind w:firstLine="648"/>
        <w:spacing w:after="0" w:line="252" w:lineRule="auto"/>
        <w:rPr>
          <w:sz w:val="20"/>
          <w:szCs w:val="20"/>
          <w:color w:val="auto"/>
        </w:rPr>
      </w:pPr>
      <w:r>
        <w:rPr>
          <w:rFonts w:ascii="Arial" w:cs="Arial" w:eastAsia="Arial" w:hAnsi="Arial"/>
          <w:sz w:val="22"/>
          <w:szCs w:val="22"/>
          <w:b w:val="1"/>
          <w:bCs w:val="1"/>
          <w:color w:val="auto"/>
        </w:rPr>
        <w:t>11.23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11.24 Acknowledgement and Consent to Bail-In of EEA Financial Institutions</w:t>
      </w:r>
      <w:r>
        <w:rPr>
          <w:rFonts w:ascii="Arial" w:cs="Arial" w:eastAsia="Arial" w:hAnsi="Arial"/>
          <w:sz w:val="21"/>
          <w:szCs w:val="21"/>
          <w:color w:val="auto"/>
        </w:rPr>
        <w:t>. Notwithstanding anything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7" w:lineRule="exact"/>
        <w:rPr>
          <w:sz w:val="20"/>
          <w:szCs w:val="20"/>
          <w:color w:val="auto"/>
        </w:rPr>
      </w:pPr>
    </w:p>
    <w:p>
      <w:pPr>
        <w:ind w:firstLine="656"/>
        <w:spacing w:after="0" w:line="263" w:lineRule="auto"/>
        <w:tabs>
          <w:tab w:leader="none" w:pos="153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an EEA Resolution Authority to any such liabilities arising hereunder which may be payable to it by any Lender that is an EEA Financial Institution; and</w:t>
      </w:r>
    </w:p>
    <w:p>
      <w:pPr>
        <w:spacing w:after="0" w:line="174" w:lineRule="exact"/>
        <w:rPr>
          <w:rFonts w:ascii="Arial" w:cs="Arial" w:eastAsia="Arial" w:hAnsi="Arial"/>
          <w:sz w:val="22"/>
          <w:szCs w:val="22"/>
          <w:color w:val="auto"/>
        </w:rPr>
      </w:pPr>
    </w:p>
    <w:p>
      <w:pPr>
        <w:ind w:left="1560" w:hanging="904"/>
        <w:spacing w:after="0"/>
        <w:tabs>
          <w:tab w:leader="none" w:pos="15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2160" w:hanging="855"/>
        <w:spacing w:after="0"/>
        <w:tabs>
          <w:tab w:leader="none" w:pos="216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660" w:firstLine="645"/>
        <w:spacing w:after="0" w:line="250" w:lineRule="auto"/>
        <w:tabs>
          <w:tab w:leader="none" w:pos="2221" w:val="left"/>
        </w:tabs>
        <w:numPr>
          <w:ilvl w:val="1"/>
          <w:numId w:val="169"/>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8" w:lineRule="exact"/>
        <w:rPr>
          <w:rFonts w:ascii="Arial" w:cs="Arial" w:eastAsia="Arial" w:hAnsi="Arial"/>
          <w:sz w:val="22"/>
          <w:szCs w:val="22"/>
          <w:color w:val="auto"/>
        </w:rPr>
      </w:pPr>
    </w:p>
    <w:p>
      <w:pPr>
        <w:ind w:left="660" w:firstLine="645"/>
        <w:spacing w:after="0" w:line="263" w:lineRule="auto"/>
        <w:tabs>
          <w:tab w:leader="none" w:pos="2281"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420"/>
          </w:cols>
          <w:pgMar w:left="240" w:top="625" w:right="239" w:bottom="1440" w:gutter="0" w:footer="0" w:header="0"/>
        </w:sectPr>
      </w:pPr>
    </w:p>
    <w:bookmarkStart w:id="139" w:name="page140"/>
    <w:bookmarkEnd w:id="139"/>
    <w:p>
      <w:pPr>
        <w:ind w:right="20" w:firstLine="648"/>
        <w:spacing w:after="0" w:line="263" w:lineRule="auto"/>
        <w:rPr>
          <w:sz w:val="20"/>
          <w:szCs w:val="20"/>
          <w:color w:val="auto"/>
        </w:rPr>
      </w:pPr>
      <w:r>
        <w:rPr>
          <w:rFonts w:ascii="Arial" w:cs="Arial" w:eastAsia="Arial" w:hAnsi="Arial"/>
          <w:sz w:val="22"/>
          <w:szCs w:val="22"/>
          <w:i w:val="1"/>
          <w:iCs w:val="1"/>
          <w:color w:val="auto"/>
        </w:rPr>
        <w:t xml:space="preserve">IN WITNESS WHEREOF, </w:t>
      </w:r>
      <w:r>
        <w:rPr>
          <w:rFonts w:ascii="Arial" w:cs="Arial" w:eastAsia="Arial" w:hAnsi="Arial"/>
          <w:sz w:val="22"/>
          <w:szCs w:val="22"/>
          <w:color w:val="auto"/>
        </w:rPr>
        <w:t>the parties hereto have caused this Agreement to be duly executed as of the date first above</w:t>
      </w:r>
      <w:r>
        <w:rPr>
          <w:rFonts w:ascii="Arial" w:cs="Arial" w:eastAsia="Arial" w:hAnsi="Arial"/>
          <w:sz w:val="22"/>
          <w:szCs w:val="22"/>
          <w:i w:val="1"/>
          <w:iCs w:val="1"/>
          <w:color w:val="auto"/>
        </w:rPr>
        <w:t xml:space="preserve"> </w:t>
      </w:r>
      <w:r>
        <w:rPr>
          <w:rFonts w:ascii="Arial" w:cs="Arial" w:eastAsia="Arial" w:hAnsi="Arial"/>
          <w:sz w:val="22"/>
          <w:szCs w:val="22"/>
          <w:color w:val="auto"/>
        </w:rPr>
        <w:t>written.</w:t>
      </w:r>
    </w:p>
    <w:p>
      <w:pPr>
        <w:spacing w:after="0" w:line="317"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THE TORO COMPANY</w:t>
      </w:r>
    </w:p>
    <w:p>
      <w:pPr>
        <w:spacing w:after="0" w:line="388"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Renee J. Peterson</w:t>
            </w:r>
          </w:p>
        </w:tc>
      </w:tr>
      <w:tr>
        <w:trPr>
          <w:trHeight w:val="291"/>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Renee J. Peterson</w:t>
            </w:r>
          </w:p>
        </w:tc>
      </w:tr>
      <w:tr>
        <w:trPr>
          <w:trHeight w:val="249"/>
        </w:trPr>
        <w:tc>
          <w:tcPr>
            <w:tcW w:w="980" w:type="dxa"/>
            <w:vAlign w:val="bottom"/>
          </w:tcPr>
          <w:p>
            <w:pPr>
              <w:spacing w:after="0"/>
              <w:rPr>
                <w:sz w:val="21"/>
                <w:szCs w:val="21"/>
                <w:color w:val="auto"/>
              </w:rPr>
            </w:pPr>
          </w:p>
        </w:tc>
        <w:tc>
          <w:tcPr>
            <w:tcW w:w="4800" w:type="dxa"/>
            <w:vAlign w:val="bottom"/>
          </w:tcPr>
          <w:p>
            <w:pPr>
              <w:ind w:left="160"/>
              <w:spacing w:after="0" w:line="248" w:lineRule="exact"/>
              <w:rPr>
                <w:sz w:val="20"/>
                <w:szCs w:val="20"/>
                <w:color w:val="auto"/>
              </w:rPr>
            </w:pPr>
            <w:r>
              <w:rPr>
                <w:rFonts w:ascii="Arial" w:cs="Arial" w:eastAsia="Arial" w:hAnsi="Arial"/>
                <w:sz w:val="22"/>
                <w:szCs w:val="22"/>
                <w:color w:val="auto"/>
              </w:rPr>
              <w:t>Vice President, Treasurer &amp;</w:t>
            </w:r>
          </w:p>
        </w:tc>
      </w:t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Chief Financial Officer</w:t>
            </w:r>
          </w:p>
        </w:tc>
      </w:tr>
      <w:tr>
        <w:trPr>
          <w:trHeight w:val="628"/>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Julie A. Kerekes</w:t>
            </w:r>
          </w:p>
        </w:tc>
      </w:tr>
      <w:tr>
        <w:trPr>
          <w:trHeight w:val="291"/>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Julie A. Kerekes</w:t>
            </w:r>
          </w:p>
        </w:tc>
      </w:tr>
      <w:tr>
        <w:trPr>
          <w:trHeight w:val="249"/>
        </w:trPr>
        <w:tc>
          <w:tcPr>
            <w:tcW w:w="980" w:type="dxa"/>
            <w:vAlign w:val="bottom"/>
          </w:tcPr>
          <w:p>
            <w:pPr>
              <w:spacing w:after="0"/>
              <w:rPr>
                <w:sz w:val="21"/>
                <w:szCs w:val="21"/>
                <w:color w:val="auto"/>
              </w:rPr>
            </w:pPr>
          </w:p>
        </w:tc>
        <w:tc>
          <w:tcPr>
            <w:tcW w:w="4800" w:type="dxa"/>
            <w:vAlign w:val="bottom"/>
          </w:tcPr>
          <w:p>
            <w:pPr>
              <w:ind w:left="20"/>
              <w:spacing w:after="0" w:line="248" w:lineRule="exact"/>
              <w:rPr>
                <w:sz w:val="20"/>
                <w:szCs w:val="20"/>
                <w:color w:val="auto"/>
              </w:rPr>
            </w:pPr>
            <w:r>
              <w:rPr>
                <w:rFonts w:ascii="Arial" w:cs="Arial" w:eastAsia="Arial" w:hAnsi="Arial"/>
                <w:sz w:val="22"/>
                <w:szCs w:val="22"/>
                <w:color w:val="auto"/>
              </w:rPr>
              <w:t>Managing Director, Tax, Treasury and</w:t>
            </w:r>
          </w:p>
        </w:tc>
      </w:tr>
      <w:tr>
        <w:trPr>
          <w:trHeight w:val="243"/>
        </w:trPr>
        <w:tc>
          <w:tcPr>
            <w:tcW w:w="980" w:type="dxa"/>
            <w:vAlign w:val="bottom"/>
          </w:tcPr>
          <w:p>
            <w:pPr>
              <w:spacing w:after="0"/>
              <w:rPr>
                <w:sz w:val="21"/>
                <w:szCs w:val="21"/>
                <w:color w:val="auto"/>
              </w:rPr>
            </w:pPr>
          </w:p>
        </w:tc>
        <w:tc>
          <w:tcPr>
            <w:tcW w:w="4800" w:type="dxa"/>
            <w:vAlign w:val="bottom"/>
          </w:tcPr>
          <w:p>
            <w:pPr>
              <w:ind w:left="180"/>
              <w:spacing w:after="0" w:line="243" w:lineRule="exact"/>
              <w:rPr>
                <w:sz w:val="20"/>
                <w:szCs w:val="20"/>
                <w:color w:val="auto"/>
              </w:rPr>
            </w:pPr>
            <w:r>
              <w:rPr>
                <w:rFonts w:ascii="Arial" w:cs="Arial" w:eastAsia="Arial" w:hAnsi="Arial"/>
                <w:sz w:val="22"/>
                <w:szCs w:val="22"/>
                <w:color w:val="auto"/>
              </w:rPr>
              <w:t>Finance Business Partner &amp; Assistant</w:t>
            </w:r>
          </w:p>
        </w:tc>
      </w:t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Treasurer</w:t>
            </w:r>
          </w:p>
        </w:tc>
      </w:tr>
    </w:tbl>
    <w:p>
      <w:pPr>
        <w:spacing w:after="0" w:line="391"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TORO LUXEMBOURG S.A.R.L.</w:t>
      </w:r>
    </w:p>
    <w:p>
      <w:pPr>
        <w:spacing w:after="0" w:line="388"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740" w:type="dxa"/>
            <w:vAlign w:val="bottom"/>
          </w:tcPr>
          <w:p>
            <w:pPr>
              <w:ind w:left="760"/>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Lisa M. V. Evaristo</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Lisa M. V. Evaristo</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Class A Manager</w:t>
            </w:r>
          </w:p>
        </w:tc>
      </w:tr>
      <w:tr>
        <w:trPr>
          <w:trHeight w:val="628"/>
        </w:trPr>
        <w:tc>
          <w:tcPr>
            <w:tcW w:w="1740" w:type="dxa"/>
            <w:vAlign w:val="bottom"/>
          </w:tcPr>
          <w:p>
            <w:pPr>
              <w:ind w:left="760"/>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Julie A. Kerekes</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Julie A. Kerekes</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Class A Manager</w:t>
            </w:r>
          </w:p>
        </w:tc>
      </w:tr>
      <w:tr>
        <w:trPr>
          <w:trHeight w:val="701"/>
        </w:trPr>
        <w:tc>
          <w:tcPr>
            <w:tcW w:w="1740" w:type="dxa"/>
            <w:vAlign w:val="bottom"/>
          </w:tcPr>
          <w:p>
            <w:pPr>
              <w:spacing w:after="0"/>
              <w:rPr>
                <w:sz w:val="20"/>
                <w:szCs w:val="20"/>
                <w:color w:val="auto"/>
              </w:rPr>
            </w:pPr>
            <w:r>
              <w:rPr>
                <w:rFonts w:ascii="Arial" w:cs="Arial" w:eastAsia="Arial" w:hAnsi="Arial"/>
                <w:sz w:val="18"/>
                <w:szCs w:val="18"/>
                <w:color w:val="auto"/>
                <w:w w:val="93"/>
              </w:rPr>
              <w:t>Toro Credit Agreement</w:t>
            </w:r>
          </w:p>
        </w:tc>
        <w:tc>
          <w:tcPr>
            <w:tcW w:w="4800" w:type="dxa"/>
            <w:vAlign w:val="bottom"/>
          </w:tcPr>
          <w:p>
            <w:pPr>
              <w:spacing w:after="0"/>
              <w:rPr>
                <w:sz w:val="24"/>
                <w:szCs w:val="24"/>
                <w:color w:val="auto"/>
              </w:rPr>
            </w:pPr>
          </w:p>
        </w:tc>
      </w:tr>
      <w:tr>
        <w:trPr>
          <w:trHeight w:val="230"/>
        </w:trPr>
        <w:tc>
          <w:tcPr>
            <w:tcW w:w="1740" w:type="dxa"/>
            <w:vAlign w:val="bottom"/>
          </w:tcPr>
          <w:p>
            <w:pPr>
              <w:ind w:left="300"/>
              <w:spacing w:after="0"/>
              <w:rPr>
                <w:sz w:val="20"/>
                <w:szCs w:val="20"/>
                <w:color w:val="auto"/>
              </w:rPr>
            </w:pPr>
            <w:r>
              <w:rPr>
                <w:rFonts w:ascii="Arial" w:cs="Arial" w:eastAsia="Arial" w:hAnsi="Arial"/>
                <w:sz w:val="18"/>
                <w:szCs w:val="18"/>
                <w:color w:val="auto"/>
              </w:rPr>
              <w:t>Signature Page</w:t>
            </w:r>
          </w:p>
        </w:tc>
        <w:tc>
          <w:tcPr>
            <w:tcW w:w="4800" w:type="dxa"/>
            <w:vAlign w:val="bottom"/>
          </w:tcPr>
          <w:p>
            <w:pPr>
              <w:spacing w:after="0"/>
              <w:rPr>
                <w:sz w:val="20"/>
                <w:szCs w:val="20"/>
                <w:color w:val="auto"/>
              </w:rPr>
            </w:pPr>
          </w:p>
        </w:tc>
      </w:tr>
    </w:tbl>
    <w:p>
      <w:pPr>
        <w:sectPr>
          <w:pgSz w:w="11900" w:h="16838" w:orient="portrait"/>
          <w:cols w:equalWidth="0" w:num="1">
            <w:col w:w="11420"/>
          </w:cols>
          <w:pgMar w:left="240" w:top="793" w:right="239" w:bottom="1440" w:gutter="0" w:footer="0" w:header="0"/>
        </w:sectPr>
      </w:pPr>
    </w:p>
    <w:bookmarkStart w:id="140" w:name="page141"/>
    <w:bookmarkEnd w:id="140"/>
    <w:p>
      <w:pPr>
        <w:ind w:left="4440"/>
        <w:spacing w:after="0"/>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as</w:t>
      </w:r>
    </w:p>
    <w:p>
      <w:pPr>
        <w:spacing w:after="0" w:line="50"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Administrative Agent</w:t>
      </w:r>
    </w:p>
    <w:p>
      <w:pPr>
        <w:spacing w:after="0" w:line="382" w:lineRule="exact"/>
        <w:rPr>
          <w:sz w:val="20"/>
          <w:szCs w:val="20"/>
          <w:color w:val="auto"/>
        </w:rPr>
      </w:pPr>
    </w:p>
    <w:tbl>
      <w:tblPr>
        <w:tblLayout w:type="fixed"/>
        <w:tblInd w:w="3680" w:type="dxa"/>
        <w:tblCellMar>
          <w:top w:w="0" w:type="dxa"/>
          <w:left w:w="0" w:type="dxa"/>
          <w:bottom w:w="0" w:type="dxa"/>
          <w:right w:w="0" w:type="dxa"/>
        </w:tblCellMar>
      </w:tblPr>
      <w:tr>
        <w:trPr>
          <w:trHeight w:val="285"/>
        </w:trPr>
        <w:tc>
          <w:tcPr>
            <w:tcW w:w="1740" w:type="dxa"/>
            <w:vAlign w:val="bottom"/>
          </w:tcPr>
          <w:p>
            <w:pPr>
              <w:ind w:left="760"/>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Angela Larkin</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Angela Larkin</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Vice President</w:t>
            </w:r>
          </w:p>
        </w:tc>
      </w:tr>
      <w:tr>
        <w:trPr>
          <w:trHeight w:val="701"/>
        </w:trPr>
        <w:tc>
          <w:tcPr>
            <w:tcW w:w="1740" w:type="dxa"/>
            <w:vAlign w:val="bottom"/>
          </w:tcPr>
          <w:p>
            <w:pPr>
              <w:jc w:val="center"/>
              <w:spacing w:after="0"/>
              <w:rPr>
                <w:sz w:val="20"/>
                <w:szCs w:val="20"/>
                <w:color w:val="auto"/>
              </w:rPr>
            </w:pPr>
            <w:r>
              <w:rPr>
                <w:rFonts w:ascii="Arial" w:cs="Arial" w:eastAsia="Arial" w:hAnsi="Arial"/>
                <w:sz w:val="18"/>
                <w:szCs w:val="18"/>
                <w:color w:val="auto"/>
                <w:w w:val="91"/>
              </w:rPr>
              <w:t>Toro Credit Agreement</w:t>
            </w:r>
          </w:p>
        </w:tc>
        <w:tc>
          <w:tcPr>
            <w:tcW w:w="4800" w:type="dxa"/>
            <w:vAlign w:val="bottom"/>
          </w:tcPr>
          <w:p>
            <w:pPr>
              <w:spacing w:after="0"/>
              <w:rPr>
                <w:sz w:val="24"/>
                <w:szCs w:val="24"/>
                <w:color w:val="auto"/>
              </w:rPr>
            </w:pPr>
          </w:p>
        </w:tc>
      </w:tr>
      <w:tr>
        <w:trPr>
          <w:trHeight w:val="230"/>
        </w:trPr>
        <w:tc>
          <w:tcPr>
            <w:tcW w:w="1740" w:type="dxa"/>
            <w:vAlign w:val="bottom"/>
          </w:tcPr>
          <w:p>
            <w:pPr>
              <w:jc w:val="center"/>
              <w:spacing w:after="0"/>
              <w:rPr>
                <w:sz w:val="20"/>
                <w:szCs w:val="20"/>
                <w:color w:val="auto"/>
              </w:rPr>
            </w:pPr>
            <w:r>
              <w:rPr>
                <w:rFonts w:ascii="Arial" w:cs="Arial" w:eastAsia="Arial" w:hAnsi="Arial"/>
                <w:sz w:val="18"/>
                <w:szCs w:val="18"/>
                <w:color w:val="auto"/>
                <w:w w:val="87"/>
              </w:rPr>
              <w:t>Signature Page</w:t>
            </w:r>
          </w:p>
        </w:tc>
        <w:tc>
          <w:tcPr>
            <w:tcW w:w="4800" w:type="dxa"/>
            <w:vAlign w:val="bottom"/>
          </w:tcPr>
          <w:p>
            <w:pPr>
              <w:spacing w:after="0"/>
              <w:rPr>
                <w:sz w:val="20"/>
                <w:szCs w:val="20"/>
                <w:color w:val="auto"/>
              </w:rPr>
            </w:pPr>
          </w:p>
        </w:tc>
      </w:tr>
    </w:tbl>
    <w:p>
      <w:pPr>
        <w:sectPr>
          <w:pgSz w:w="11900" w:h="16838" w:orient="portrait"/>
          <w:cols w:equalWidth="0" w:num="1">
            <w:col w:w="10220"/>
          </w:cols>
          <w:pgMar w:left="1440" w:top="1030" w:right="239" w:bottom="1440" w:gutter="0" w:footer="0" w:header="0"/>
        </w:sectPr>
      </w:pPr>
    </w:p>
    <w:bookmarkStart w:id="141" w:name="page142"/>
    <w:bookmarkEnd w:id="141"/>
    <w:p>
      <w:pPr>
        <w:ind w:left="4440"/>
        <w:spacing w:after="0"/>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as a Lender, L/C</w:t>
      </w:r>
    </w:p>
    <w:p>
      <w:pPr>
        <w:spacing w:after="0" w:line="50"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Issuer and Swing Line Lender</w:t>
      </w:r>
    </w:p>
    <w:p>
      <w:pPr>
        <w:spacing w:after="0" w:line="382" w:lineRule="exact"/>
        <w:rPr>
          <w:sz w:val="20"/>
          <w:szCs w:val="20"/>
          <w:color w:val="auto"/>
        </w:rPr>
      </w:pPr>
    </w:p>
    <w:tbl>
      <w:tblPr>
        <w:tblLayout w:type="fixed"/>
        <w:tblInd w:w="3680" w:type="dxa"/>
        <w:tblCellMar>
          <w:top w:w="0" w:type="dxa"/>
          <w:left w:w="0" w:type="dxa"/>
          <w:bottom w:w="0" w:type="dxa"/>
          <w:right w:w="0" w:type="dxa"/>
        </w:tblCellMar>
      </w:tblPr>
      <w:tr>
        <w:trPr>
          <w:trHeight w:val="285"/>
        </w:trPr>
        <w:tc>
          <w:tcPr>
            <w:tcW w:w="1740" w:type="dxa"/>
            <w:vAlign w:val="bottom"/>
          </w:tcPr>
          <w:p>
            <w:pPr>
              <w:ind w:left="760"/>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 Quinn Richardson</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 Quinn Richardson</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Senior Vice President</w:t>
            </w:r>
          </w:p>
        </w:tc>
      </w:tr>
      <w:tr>
        <w:trPr>
          <w:trHeight w:val="701"/>
        </w:trPr>
        <w:tc>
          <w:tcPr>
            <w:tcW w:w="1740" w:type="dxa"/>
            <w:vAlign w:val="bottom"/>
          </w:tcPr>
          <w:p>
            <w:pPr>
              <w:jc w:val="center"/>
              <w:spacing w:after="0"/>
              <w:rPr>
                <w:sz w:val="20"/>
                <w:szCs w:val="20"/>
                <w:color w:val="auto"/>
              </w:rPr>
            </w:pPr>
            <w:r>
              <w:rPr>
                <w:rFonts w:ascii="Arial" w:cs="Arial" w:eastAsia="Arial" w:hAnsi="Arial"/>
                <w:sz w:val="18"/>
                <w:szCs w:val="18"/>
                <w:color w:val="auto"/>
                <w:w w:val="91"/>
              </w:rPr>
              <w:t>Toro Credit Agreement</w:t>
            </w:r>
          </w:p>
        </w:tc>
        <w:tc>
          <w:tcPr>
            <w:tcW w:w="4800" w:type="dxa"/>
            <w:vAlign w:val="bottom"/>
          </w:tcPr>
          <w:p>
            <w:pPr>
              <w:spacing w:after="0"/>
              <w:rPr>
                <w:sz w:val="24"/>
                <w:szCs w:val="24"/>
                <w:color w:val="auto"/>
              </w:rPr>
            </w:pPr>
          </w:p>
        </w:tc>
      </w:tr>
      <w:tr>
        <w:trPr>
          <w:trHeight w:val="230"/>
        </w:trPr>
        <w:tc>
          <w:tcPr>
            <w:tcW w:w="1740" w:type="dxa"/>
            <w:vAlign w:val="bottom"/>
          </w:tcPr>
          <w:p>
            <w:pPr>
              <w:jc w:val="center"/>
              <w:spacing w:after="0"/>
              <w:rPr>
                <w:sz w:val="20"/>
                <w:szCs w:val="20"/>
                <w:color w:val="auto"/>
              </w:rPr>
            </w:pPr>
            <w:r>
              <w:rPr>
                <w:rFonts w:ascii="Arial" w:cs="Arial" w:eastAsia="Arial" w:hAnsi="Arial"/>
                <w:sz w:val="18"/>
                <w:szCs w:val="18"/>
                <w:color w:val="auto"/>
                <w:w w:val="87"/>
              </w:rPr>
              <w:t>Signature Page</w:t>
            </w:r>
          </w:p>
        </w:tc>
        <w:tc>
          <w:tcPr>
            <w:tcW w:w="4800" w:type="dxa"/>
            <w:vAlign w:val="bottom"/>
          </w:tcPr>
          <w:p>
            <w:pPr>
              <w:spacing w:after="0"/>
              <w:rPr>
                <w:sz w:val="20"/>
                <w:szCs w:val="20"/>
                <w:color w:val="auto"/>
              </w:rPr>
            </w:pPr>
          </w:p>
        </w:tc>
      </w:tr>
    </w:tbl>
    <w:p>
      <w:pPr>
        <w:sectPr>
          <w:pgSz w:w="11900" w:h="16838" w:orient="portrait"/>
          <w:cols w:equalWidth="0" w:num="1">
            <w:col w:w="10220"/>
          </w:cols>
          <w:pgMar w:left="1440" w:top="1139" w:right="239" w:bottom="1440" w:gutter="0" w:footer="0" w:header="0"/>
        </w:sectPr>
      </w:pPr>
    </w:p>
    <w:bookmarkStart w:id="142" w:name="page143"/>
    <w:bookmarkEnd w:id="142"/>
    <w:p>
      <w:pPr>
        <w:ind w:left="4440"/>
        <w:spacing w:after="0"/>
        <w:rPr>
          <w:sz w:val="20"/>
          <w:szCs w:val="20"/>
          <w:color w:val="auto"/>
        </w:rPr>
      </w:pPr>
      <w:r>
        <w:rPr>
          <w:rFonts w:ascii="Arial" w:cs="Arial" w:eastAsia="Arial" w:hAnsi="Arial"/>
          <w:sz w:val="22"/>
          <w:szCs w:val="22"/>
          <w:b w:val="1"/>
          <w:bCs w:val="1"/>
          <w:color w:val="auto"/>
        </w:rPr>
        <w:t>WELLS FARGO BANK, NATIONAL</w:t>
      </w:r>
    </w:p>
    <w:p>
      <w:pPr>
        <w:spacing w:after="0" w:line="44"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ASSOCIATION</w:t>
      </w:r>
      <w:r>
        <w:rPr>
          <w:rFonts w:ascii="Arial" w:cs="Arial" w:eastAsia="Arial" w:hAnsi="Arial"/>
          <w:sz w:val="22"/>
          <w:szCs w:val="22"/>
          <w:color w:val="auto"/>
        </w:rPr>
        <w:t>, as a Lender</w:t>
      </w:r>
    </w:p>
    <w:p>
      <w:pPr>
        <w:spacing w:after="0" w:line="388" w:lineRule="exact"/>
        <w:rPr>
          <w:sz w:val="20"/>
          <w:szCs w:val="20"/>
          <w:color w:val="auto"/>
        </w:rPr>
      </w:pPr>
    </w:p>
    <w:tbl>
      <w:tblPr>
        <w:tblLayout w:type="fixed"/>
        <w:tblInd w:w="444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Emma Clifford</w:t>
            </w:r>
          </w:p>
        </w:tc>
      </w:tr>
      <w:tr>
        <w:trPr>
          <w:trHeight w:val="291"/>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Emma Clifford</w:t>
            </w:r>
          </w:p>
        </w:tc>
      </w:tr>
      <w:tr>
        <w:trPr>
          <w:trHeight w:val="291"/>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Director &amp; Portfolio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Toro Credit Agreement</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1138" w:right="239" w:bottom="1440" w:gutter="0" w:footer="0" w:header="0"/>
        </w:sectPr>
      </w:pPr>
    </w:p>
    <w:bookmarkStart w:id="143" w:name="page144"/>
    <w:bookmarkEnd w:id="143"/>
    <w:p>
      <w:pPr>
        <w:ind w:left="4440"/>
        <w:spacing w:after="0"/>
        <w:rPr>
          <w:sz w:val="20"/>
          <w:szCs w:val="20"/>
          <w:color w:val="auto"/>
        </w:rPr>
      </w:pPr>
      <w:r>
        <w:rPr>
          <w:rFonts w:ascii="Arial" w:cs="Arial" w:eastAsia="Arial" w:hAnsi="Arial"/>
          <w:sz w:val="22"/>
          <w:szCs w:val="22"/>
          <w:b w:val="1"/>
          <w:bCs w:val="1"/>
          <w:color w:val="auto"/>
        </w:rPr>
        <w:t>BMO HARRIS BANK N.A.</w:t>
      </w:r>
    </w:p>
    <w:p>
      <w:pPr>
        <w:spacing w:after="0" w:line="388" w:lineRule="exact"/>
        <w:rPr>
          <w:sz w:val="20"/>
          <w:szCs w:val="20"/>
          <w:color w:val="auto"/>
        </w:rPr>
      </w:pPr>
    </w:p>
    <w:tbl>
      <w:tblPr>
        <w:tblLayout w:type="fixed"/>
        <w:tblInd w:w="3680" w:type="dxa"/>
        <w:tblCellMar>
          <w:top w:w="0" w:type="dxa"/>
          <w:left w:w="0" w:type="dxa"/>
          <w:bottom w:w="0" w:type="dxa"/>
          <w:right w:w="0" w:type="dxa"/>
        </w:tblCellMar>
      </w:tblPr>
      <w:tr>
        <w:trPr>
          <w:trHeight w:val="285"/>
        </w:trPr>
        <w:tc>
          <w:tcPr>
            <w:tcW w:w="1740" w:type="dxa"/>
            <w:vAlign w:val="bottom"/>
          </w:tcPr>
          <w:p>
            <w:pPr>
              <w:ind w:left="760"/>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 Scott Place</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 Scott Place</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Director</w:t>
            </w:r>
          </w:p>
        </w:tc>
      </w:tr>
      <w:tr>
        <w:trPr>
          <w:trHeight w:val="701"/>
        </w:trPr>
        <w:tc>
          <w:tcPr>
            <w:tcW w:w="1740" w:type="dxa"/>
            <w:vAlign w:val="bottom"/>
          </w:tcPr>
          <w:p>
            <w:pPr>
              <w:jc w:val="center"/>
              <w:spacing w:after="0"/>
              <w:rPr>
                <w:sz w:val="20"/>
                <w:szCs w:val="20"/>
                <w:color w:val="auto"/>
              </w:rPr>
            </w:pPr>
            <w:r>
              <w:rPr>
                <w:rFonts w:ascii="Arial" w:cs="Arial" w:eastAsia="Arial" w:hAnsi="Arial"/>
                <w:sz w:val="18"/>
                <w:szCs w:val="18"/>
                <w:color w:val="auto"/>
                <w:w w:val="91"/>
              </w:rPr>
              <w:t>Toro Credit Agreement</w:t>
            </w:r>
          </w:p>
        </w:tc>
        <w:tc>
          <w:tcPr>
            <w:tcW w:w="4800" w:type="dxa"/>
            <w:vAlign w:val="bottom"/>
          </w:tcPr>
          <w:p>
            <w:pPr>
              <w:spacing w:after="0"/>
              <w:rPr>
                <w:sz w:val="24"/>
                <w:szCs w:val="24"/>
                <w:color w:val="auto"/>
              </w:rPr>
            </w:pPr>
          </w:p>
        </w:tc>
      </w:tr>
      <w:tr>
        <w:trPr>
          <w:trHeight w:val="230"/>
        </w:trPr>
        <w:tc>
          <w:tcPr>
            <w:tcW w:w="1740" w:type="dxa"/>
            <w:vAlign w:val="bottom"/>
          </w:tcPr>
          <w:p>
            <w:pPr>
              <w:jc w:val="center"/>
              <w:spacing w:after="0"/>
              <w:rPr>
                <w:sz w:val="20"/>
                <w:szCs w:val="20"/>
                <w:color w:val="auto"/>
              </w:rPr>
            </w:pPr>
            <w:r>
              <w:rPr>
                <w:rFonts w:ascii="Arial" w:cs="Arial" w:eastAsia="Arial" w:hAnsi="Arial"/>
                <w:sz w:val="18"/>
                <w:szCs w:val="18"/>
                <w:color w:val="auto"/>
                <w:w w:val="87"/>
              </w:rPr>
              <w:t>Signature Page</w:t>
            </w:r>
          </w:p>
        </w:tc>
        <w:tc>
          <w:tcPr>
            <w:tcW w:w="4800" w:type="dxa"/>
            <w:vAlign w:val="bottom"/>
          </w:tcPr>
          <w:p>
            <w:pPr>
              <w:spacing w:after="0"/>
              <w:rPr>
                <w:sz w:val="20"/>
                <w:szCs w:val="20"/>
                <w:color w:val="auto"/>
              </w:rPr>
            </w:pPr>
          </w:p>
        </w:tc>
      </w:tr>
    </w:tbl>
    <w:p>
      <w:pPr>
        <w:sectPr>
          <w:pgSz w:w="11900" w:h="16838" w:orient="portrait"/>
          <w:cols w:equalWidth="0" w:num="1">
            <w:col w:w="10220"/>
          </w:cols>
          <w:pgMar w:left="1440" w:top="1139" w:right="239" w:bottom="1440" w:gutter="0" w:footer="0" w:header="0"/>
        </w:sectPr>
      </w:pPr>
    </w:p>
    <w:bookmarkStart w:id="144" w:name="page145"/>
    <w:bookmarkEnd w:id="144"/>
    <w:p>
      <w:pPr>
        <w:ind w:left="4440"/>
        <w:spacing w:after="0"/>
        <w:rPr>
          <w:sz w:val="20"/>
          <w:szCs w:val="20"/>
          <w:color w:val="auto"/>
        </w:rPr>
      </w:pPr>
      <w:r>
        <w:rPr>
          <w:rFonts w:ascii="Arial" w:cs="Arial" w:eastAsia="Arial" w:hAnsi="Arial"/>
          <w:sz w:val="21"/>
          <w:szCs w:val="21"/>
          <w:b w:val="1"/>
          <w:bCs w:val="1"/>
          <w:color w:val="auto"/>
        </w:rPr>
        <w:t>HSBC BANK USA, NATIONAL</w:t>
      </w:r>
    </w:p>
    <w:p>
      <w:pPr>
        <w:spacing w:after="0" w:line="56"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ASSOCIATION</w:t>
      </w:r>
    </w:p>
    <w:p>
      <w:pPr>
        <w:spacing w:after="0" w:line="388" w:lineRule="exact"/>
        <w:rPr>
          <w:sz w:val="20"/>
          <w:szCs w:val="20"/>
          <w:color w:val="auto"/>
        </w:rPr>
      </w:pPr>
    </w:p>
    <w:p>
      <w:pPr>
        <w:ind w:left="4440"/>
        <w:spacing w:after="0"/>
        <w:tabs>
          <w:tab w:leader="none" w:pos="54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Graeme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46355</wp:posOffset>
            </wp:positionV>
            <wp:extent cx="305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72" w:lineRule="exact"/>
        <w:rPr>
          <w:sz w:val="20"/>
          <w:szCs w:val="20"/>
          <w:color w:val="auto"/>
        </w:rPr>
      </w:pPr>
    </w:p>
    <w:p>
      <w:pPr>
        <w:ind w:left="4440"/>
        <w:spacing w:after="0"/>
        <w:tabs>
          <w:tab w:leader="none" w:pos="54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Graeme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24765</wp:posOffset>
            </wp:positionV>
            <wp:extent cx="305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8" w:lineRule="exact"/>
        <w:rPr>
          <w:sz w:val="20"/>
          <w:szCs w:val="20"/>
          <w:color w:val="auto"/>
        </w:rPr>
      </w:pPr>
    </w:p>
    <w:p>
      <w:pPr>
        <w:ind w:left="4440"/>
        <w:spacing w:after="0"/>
        <w:tabs>
          <w:tab w:leader="none" w:pos="5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24765</wp:posOffset>
            </wp:positionV>
            <wp:extent cx="305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Toro Credit Agreement</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138" w:right="1440" w:bottom="1440" w:gutter="0" w:footer="0" w:header="0"/>
        </w:sectPr>
      </w:pPr>
    </w:p>
    <w:bookmarkStart w:id="145" w:name="page146"/>
    <w:bookmarkEnd w:id="145"/>
    <w:p>
      <w:pPr>
        <w:ind w:left="4440"/>
        <w:spacing w:after="0"/>
        <w:rPr>
          <w:sz w:val="20"/>
          <w:szCs w:val="20"/>
          <w:color w:val="auto"/>
        </w:rPr>
      </w:pPr>
      <w:r>
        <w:rPr>
          <w:rFonts w:ascii="Arial" w:cs="Arial" w:eastAsia="Arial" w:hAnsi="Arial"/>
          <w:sz w:val="22"/>
          <w:szCs w:val="22"/>
          <w:b w:val="1"/>
          <w:bCs w:val="1"/>
          <w:color w:val="auto"/>
        </w:rPr>
        <w:t>U.S. BANK NATIONAL ASSOCIATION</w:t>
      </w:r>
    </w:p>
    <w:p>
      <w:pPr>
        <w:spacing w:after="0" w:line="388" w:lineRule="exact"/>
        <w:rPr>
          <w:sz w:val="20"/>
          <w:szCs w:val="20"/>
          <w:color w:val="auto"/>
        </w:rPr>
      </w:pPr>
    </w:p>
    <w:tbl>
      <w:tblPr>
        <w:tblLayout w:type="fixed"/>
        <w:tblInd w:w="444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Beckman</w:t>
            </w:r>
          </w:p>
        </w:tc>
      </w:tr>
      <w:tr>
        <w:trPr>
          <w:trHeight w:val="291"/>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Andrew Beckman</w:t>
            </w:r>
          </w:p>
        </w:tc>
      </w:tr>
      <w:tr>
        <w:trPr>
          <w:trHeight w:val="291"/>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Toro Credit Agreement</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1138" w:right="239" w:bottom="1440" w:gutter="0" w:footer="0" w:header="0"/>
        </w:sectPr>
      </w:pPr>
    </w:p>
    <w:bookmarkStart w:id="146" w:name="page147"/>
    <w:bookmarkEnd w:id="146"/>
    <w:p>
      <w:pPr>
        <w:ind w:left="4440"/>
        <w:spacing w:after="0"/>
        <w:rPr>
          <w:sz w:val="20"/>
          <w:szCs w:val="20"/>
          <w:color w:val="auto"/>
        </w:rPr>
      </w:pPr>
      <w:r>
        <w:rPr>
          <w:rFonts w:ascii="Arial" w:cs="Arial" w:eastAsia="Arial" w:hAnsi="Arial"/>
          <w:sz w:val="22"/>
          <w:szCs w:val="22"/>
          <w:b w:val="1"/>
          <w:bCs w:val="1"/>
          <w:color w:val="auto"/>
        </w:rPr>
        <w:t>BRANCH BANKING AND TRUST COMPANY</w:t>
      </w:r>
    </w:p>
    <w:p>
      <w:pPr>
        <w:spacing w:after="0" w:line="388" w:lineRule="exact"/>
        <w:rPr>
          <w:sz w:val="20"/>
          <w:szCs w:val="20"/>
          <w:color w:val="auto"/>
        </w:rPr>
      </w:pPr>
    </w:p>
    <w:tbl>
      <w:tblPr>
        <w:tblLayout w:type="fixed"/>
        <w:tblInd w:w="3680" w:type="dxa"/>
        <w:tblCellMar>
          <w:top w:w="0" w:type="dxa"/>
          <w:left w:w="0" w:type="dxa"/>
          <w:bottom w:w="0" w:type="dxa"/>
          <w:right w:w="0" w:type="dxa"/>
        </w:tblCellMar>
      </w:tblPr>
      <w:tr>
        <w:trPr>
          <w:trHeight w:val="285"/>
        </w:trPr>
        <w:tc>
          <w:tcPr>
            <w:tcW w:w="1740" w:type="dxa"/>
            <w:vAlign w:val="bottom"/>
          </w:tcPr>
          <w:p>
            <w:pPr>
              <w:ind w:left="760"/>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Kurt W. Anstaett</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Kurt W. Anstaett</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Senior Vice President</w:t>
            </w:r>
          </w:p>
        </w:tc>
      </w:tr>
      <w:tr>
        <w:trPr>
          <w:trHeight w:val="701"/>
        </w:trPr>
        <w:tc>
          <w:tcPr>
            <w:tcW w:w="1740" w:type="dxa"/>
            <w:vAlign w:val="bottom"/>
          </w:tcPr>
          <w:p>
            <w:pPr>
              <w:jc w:val="center"/>
              <w:spacing w:after="0"/>
              <w:rPr>
                <w:sz w:val="20"/>
                <w:szCs w:val="20"/>
                <w:color w:val="auto"/>
              </w:rPr>
            </w:pPr>
            <w:r>
              <w:rPr>
                <w:rFonts w:ascii="Arial" w:cs="Arial" w:eastAsia="Arial" w:hAnsi="Arial"/>
                <w:sz w:val="18"/>
                <w:szCs w:val="18"/>
                <w:color w:val="auto"/>
                <w:w w:val="91"/>
              </w:rPr>
              <w:t>Toro Credit Agreement</w:t>
            </w:r>
          </w:p>
        </w:tc>
        <w:tc>
          <w:tcPr>
            <w:tcW w:w="4800" w:type="dxa"/>
            <w:vAlign w:val="bottom"/>
          </w:tcPr>
          <w:p>
            <w:pPr>
              <w:spacing w:after="0"/>
              <w:rPr>
                <w:sz w:val="24"/>
                <w:szCs w:val="24"/>
                <w:color w:val="auto"/>
              </w:rPr>
            </w:pPr>
          </w:p>
        </w:tc>
      </w:tr>
      <w:tr>
        <w:trPr>
          <w:trHeight w:val="230"/>
        </w:trPr>
        <w:tc>
          <w:tcPr>
            <w:tcW w:w="1740" w:type="dxa"/>
            <w:vAlign w:val="bottom"/>
          </w:tcPr>
          <w:p>
            <w:pPr>
              <w:jc w:val="center"/>
              <w:spacing w:after="0"/>
              <w:rPr>
                <w:sz w:val="20"/>
                <w:szCs w:val="20"/>
                <w:color w:val="auto"/>
              </w:rPr>
            </w:pPr>
            <w:r>
              <w:rPr>
                <w:rFonts w:ascii="Arial" w:cs="Arial" w:eastAsia="Arial" w:hAnsi="Arial"/>
                <w:sz w:val="18"/>
                <w:szCs w:val="18"/>
                <w:color w:val="auto"/>
                <w:w w:val="87"/>
              </w:rPr>
              <w:t>Signature Page</w:t>
            </w:r>
          </w:p>
        </w:tc>
        <w:tc>
          <w:tcPr>
            <w:tcW w:w="4800" w:type="dxa"/>
            <w:vAlign w:val="bottom"/>
          </w:tcPr>
          <w:p>
            <w:pPr>
              <w:spacing w:after="0"/>
              <w:rPr>
                <w:sz w:val="20"/>
                <w:szCs w:val="20"/>
                <w:color w:val="auto"/>
              </w:rPr>
            </w:pPr>
          </w:p>
        </w:tc>
      </w:tr>
    </w:tbl>
    <w:p>
      <w:pPr>
        <w:sectPr>
          <w:pgSz w:w="11900" w:h="16838" w:orient="portrait"/>
          <w:cols w:equalWidth="0" w:num="1">
            <w:col w:w="10220"/>
          </w:cols>
          <w:pgMar w:left="1440" w:top="1138" w:right="239" w:bottom="1440" w:gutter="0" w:footer="0" w:header="0"/>
        </w:sectPr>
      </w:pPr>
    </w:p>
    <w:bookmarkStart w:id="147" w:name="page148"/>
    <w:bookmarkEnd w:id="147"/>
    <w:p>
      <w:pPr>
        <w:ind w:left="4440"/>
        <w:spacing w:after="0"/>
        <w:rPr>
          <w:sz w:val="20"/>
          <w:szCs w:val="20"/>
          <w:color w:val="auto"/>
        </w:rPr>
      </w:pPr>
      <w:r>
        <w:rPr>
          <w:rFonts w:ascii="Arial" w:cs="Arial" w:eastAsia="Arial" w:hAnsi="Arial"/>
          <w:sz w:val="22"/>
          <w:szCs w:val="22"/>
          <w:b w:val="1"/>
          <w:bCs w:val="1"/>
          <w:color w:val="auto"/>
        </w:rPr>
        <w:t>PNC BANK, NATIONAL ASSOCIATION</w:t>
      </w:r>
    </w:p>
    <w:p>
      <w:pPr>
        <w:spacing w:after="0" w:line="388" w:lineRule="exact"/>
        <w:rPr>
          <w:sz w:val="20"/>
          <w:szCs w:val="20"/>
          <w:color w:val="auto"/>
        </w:rPr>
      </w:pPr>
    </w:p>
    <w:tbl>
      <w:tblPr>
        <w:tblLayout w:type="fixed"/>
        <w:tblInd w:w="3680" w:type="dxa"/>
        <w:tblCellMar>
          <w:top w:w="0" w:type="dxa"/>
          <w:left w:w="0" w:type="dxa"/>
          <w:bottom w:w="0" w:type="dxa"/>
          <w:right w:w="0" w:type="dxa"/>
        </w:tblCellMar>
      </w:tblPr>
      <w:tr>
        <w:trPr>
          <w:trHeight w:val="285"/>
        </w:trPr>
        <w:tc>
          <w:tcPr>
            <w:tcW w:w="1740" w:type="dxa"/>
            <w:vAlign w:val="bottom"/>
          </w:tcPr>
          <w:p>
            <w:pPr>
              <w:ind w:left="760"/>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Bridget Anderson</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Bridget Anderson</w:t>
            </w:r>
          </w:p>
        </w:tc>
      </w:tr>
      <w:tr>
        <w:trPr>
          <w:trHeight w:val="291"/>
        </w:trPr>
        <w:tc>
          <w:tcPr>
            <w:tcW w:w="1740" w:type="dxa"/>
            <w:vAlign w:val="bottom"/>
          </w:tcPr>
          <w:p>
            <w:pPr>
              <w:ind w:left="760"/>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Assistant Vice President</w:t>
            </w:r>
          </w:p>
        </w:tc>
      </w:tr>
      <w:tr>
        <w:trPr>
          <w:trHeight w:val="701"/>
        </w:trPr>
        <w:tc>
          <w:tcPr>
            <w:tcW w:w="1740" w:type="dxa"/>
            <w:vAlign w:val="bottom"/>
          </w:tcPr>
          <w:p>
            <w:pPr>
              <w:jc w:val="center"/>
              <w:spacing w:after="0"/>
              <w:rPr>
                <w:sz w:val="20"/>
                <w:szCs w:val="20"/>
                <w:color w:val="auto"/>
              </w:rPr>
            </w:pPr>
            <w:r>
              <w:rPr>
                <w:rFonts w:ascii="Arial" w:cs="Arial" w:eastAsia="Arial" w:hAnsi="Arial"/>
                <w:sz w:val="18"/>
                <w:szCs w:val="18"/>
                <w:color w:val="auto"/>
                <w:w w:val="91"/>
              </w:rPr>
              <w:t>Toro Credit Agreement</w:t>
            </w:r>
          </w:p>
        </w:tc>
        <w:tc>
          <w:tcPr>
            <w:tcW w:w="4800" w:type="dxa"/>
            <w:vAlign w:val="bottom"/>
          </w:tcPr>
          <w:p>
            <w:pPr>
              <w:spacing w:after="0"/>
              <w:rPr>
                <w:sz w:val="24"/>
                <w:szCs w:val="24"/>
                <w:color w:val="auto"/>
              </w:rPr>
            </w:pPr>
          </w:p>
        </w:tc>
      </w:tr>
      <w:tr>
        <w:trPr>
          <w:trHeight w:val="230"/>
        </w:trPr>
        <w:tc>
          <w:tcPr>
            <w:tcW w:w="1740" w:type="dxa"/>
            <w:vAlign w:val="bottom"/>
          </w:tcPr>
          <w:p>
            <w:pPr>
              <w:jc w:val="center"/>
              <w:spacing w:after="0"/>
              <w:rPr>
                <w:sz w:val="20"/>
                <w:szCs w:val="20"/>
                <w:color w:val="auto"/>
              </w:rPr>
            </w:pPr>
            <w:r>
              <w:rPr>
                <w:rFonts w:ascii="Arial" w:cs="Arial" w:eastAsia="Arial" w:hAnsi="Arial"/>
                <w:sz w:val="18"/>
                <w:szCs w:val="18"/>
                <w:color w:val="auto"/>
                <w:w w:val="87"/>
              </w:rPr>
              <w:t>Signature Page</w:t>
            </w:r>
          </w:p>
        </w:tc>
        <w:tc>
          <w:tcPr>
            <w:tcW w:w="4800" w:type="dxa"/>
            <w:vAlign w:val="bottom"/>
          </w:tcPr>
          <w:p>
            <w:pPr>
              <w:spacing w:after="0"/>
              <w:rPr>
                <w:sz w:val="20"/>
                <w:szCs w:val="20"/>
                <w:color w:val="auto"/>
              </w:rPr>
            </w:pPr>
          </w:p>
        </w:tc>
      </w:tr>
    </w:tbl>
    <w:p>
      <w:pPr>
        <w:sectPr>
          <w:pgSz w:w="11900" w:h="16838" w:orient="portrait"/>
          <w:cols w:equalWidth="0" w:num="1">
            <w:col w:w="10220"/>
          </w:cols>
          <w:pgMar w:left="1440" w:top="1138" w:right="239" w:bottom="1440" w:gutter="0" w:footer="0" w:header="0"/>
        </w:sectPr>
      </w:pPr>
    </w:p>
    <w:bookmarkStart w:id="148" w:name="page149"/>
    <w:bookmarkEnd w:id="148"/>
    <w:p>
      <w:pPr>
        <w:ind w:left="4440"/>
        <w:spacing w:after="0"/>
        <w:rPr>
          <w:sz w:val="20"/>
          <w:szCs w:val="20"/>
          <w:color w:val="auto"/>
        </w:rPr>
      </w:pPr>
      <w:r>
        <w:rPr>
          <w:rFonts w:ascii="Arial" w:cs="Arial" w:eastAsia="Arial" w:hAnsi="Arial"/>
          <w:sz w:val="22"/>
          <w:szCs w:val="22"/>
          <w:b w:val="1"/>
          <w:bCs w:val="1"/>
          <w:color w:val="auto"/>
        </w:rPr>
        <w:t>JPMORGAN CHASE BANK, N.A.</w:t>
      </w:r>
    </w:p>
    <w:p>
      <w:pPr>
        <w:spacing w:after="0" w:line="388" w:lineRule="exact"/>
        <w:rPr>
          <w:sz w:val="20"/>
          <w:szCs w:val="20"/>
          <w:color w:val="auto"/>
        </w:rPr>
      </w:pPr>
    </w:p>
    <w:tbl>
      <w:tblPr>
        <w:tblLayout w:type="fixed"/>
        <w:tblInd w:w="444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Christopher A. Salek</w:t>
            </w:r>
          </w:p>
        </w:tc>
      </w:tr>
      <w:tr>
        <w:trPr>
          <w:trHeight w:val="291"/>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Christopher A. Salek</w:t>
            </w:r>
          </w:p>
        </w:tc>
      </w:tr>
      <w:tr>
        <w:trPr>
          <w:trHeight w:val="291"/>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Toro Credit Agreement</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w:t>
      </w:r>
    </w:p>
    <w:sectPr>
      <w:pgSz w:w="11900" w:h="16838" w:orient="portrait"/>
      <w:cols w:equalWidth="0" w:num="1">
        <w:col w:w="10220"/>
      </w:cols>
      <w:pgMar w:left="1440" w:top="1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1)"/>
      <w:numFmt w:val="lowerLetter"/>
      <w:start w:val="4"/>
    </w:lvl>
  </w:abstractNum>
  <w:abstractNum w:abstractNumId="2">
    <w:nsid w:val="94211F2"/>
    <w:multiLevelType w:val="hybridMultilevel"/>
    <w:lvl w:ilvl="0">
      <w:lvlJc w:val="left"/>
      <w:lvlText w:val="A"/>
      <w:numFmt w:val="bullet"/>
      <w:start w:val="1"/>
    </w:lvl>
  </w:abstractNum>
  <w:abstractNum w:abstractNumId="3">
    <w:nsid w:val="885E1B"/>
    <w:multiLevelType w:val="hybridMultilevel"/>
    <w:lvl w:ilvl="0">
      <w:lvlJc w:val="left"/>
      <w:lvlText w:val="B"/>
      <w:numFmt w:val="bullet"/>
      <w:start w:val="1"/>
    </w:lvl>
  </w:abstractNum>
  <w:abstractNum w:abstractNumId="4">
    <w:nsid w:val="76272110"/>
    <w:multiLevelType w:val="hybridMultilevel"/>
    <w:lvl w:ilvl="0">
      <w:lvlJc w:val="left"/>
      <w:lvlText w:val="C"/>
      <w:numFmt w:val="bullet"/>
      <w:start w:val="1"/>
    </w:lvl>
  </w:abstractNum>
  <w:abstractNum w:abstractNumId="5">
    <w:nsid w:val="4C04A8AF"/>
    <w:multiLevelType w:val="hybridMultilevel"/>
    <w:lvl w:ilvl="0">
      <w:lvlJc w:val="left"/>
      <w:lvlText w:val="D"/>
      <w:numFmt w:val="bullet"/>
      <w:start w:val="1"/>
    </w:lvl>
  </w:abstractNum>
  <w:abstractNum w:abstractNumId="6">
    <w:nsid w:val="1716703B"/>
    <w:multiLevelType w:val="hybridMultilevel"/>
    <w:lvl w:ilvl="0">
      <w:lvlJc w:val="left"/>
      <w:lvlText w:val="G"/>
      <w:numFmt w:val="bullet"/>
      <w:start w:val="1"/>
    </w:lvl>
  </w:abstractNum>
  <w:abstractNum w:abstractNumId="7">
    <w:nsid w:val="14E17E33"/>
    <w:multiLevelType w:val="hybridMultilevel"/>
    <w:lvl w:ilvl="0">
      <w:lvlJc w:val="left"/>
      <w:lvlText w:val="H"/>
      <w:numFmt w:val="bullet"/>
      <w:start w:val="1"/>
    </w:lvl>
  </w:abstractNum>
  <w:abstractNum w:abstractNumId="8">
    <w:nsid w:val="3222E7CD"/>
    <w:multiLevelType w:val="hybridMultilevel"/>
    <w:lvl w:ilvl="0">
      <w:lvlJc w:val="left"/>
      <w:lvlText w:val="(%1)"/>
      <w:numFmt w:val="lowerLetter"/>
      <w:start w:val="1"/>
    </w:lvl>
  </w:abstractNum>
  <w:abstractNum w:abstractNumId="9">
    <w:nsid w:val="74DE0EE3"/>
    <w:multiLevelType w:val="hybridMultilevel"/>
    <w:lvl w:ilvl="0">
      <w:lvlJc w:val="left"/>
      <w:lvlText w:val="(%1)"/>
      <w:numFmt w:val="lowerLetter"/>
      <w:start w:val="3"/>
    </w:lvl>
  </w:abstractNum>
  <w:abstractNum w:abstractNumId="10">
    <w:nsid w:val="68EBC550"/>
    <w:multiLevelType w:val="hybridMultilevel"/>
    <w:lvl w:ilvl="0">
      <w:lvlJc w:val="left"/>
      <w:lvlText w:val="(%1)"/>
      <w:numFmt w:val="lowerLetter"/>
      <w:start w:val="1"/>
    </w:lvl>
    <w:lvl w:ilvl="1">
      <w:lvlJc w:val="left"/>
      <w:lvlText w:val="(%2)"/>
      <w:numFmt w:val="lowerRoman"/>
      <w:start w:val="1"/>
    </w:lvl>
  </w:abstractNum>
  <w:abstractNum w:abstractNumId="11">
    <w:nsid w:val="2DF6D648"/>
    <w:multiLevelType w:val="hybridMultilevel"/>
    <w:lvl w:ilvl="0">
      <w:lvlJc w:val="left"/>
      <w:lvlText w:val="(%1)"/>
      <w:numFmt w:val="lowerRoman"/>
      <w:start w:val="4"/>
    </w:lvl>
  </w:abstractNum>
  <w:abstractNum w:abstractNumId="12">
    <w:nsid w:val="46B7D447"/>
    <w:multiLevelType w:val="hybridMultilevel"/>
    <w:lvl w:ilvl="0">
      <w:lvlJc w:val="left"/>
      <w:lvlText w:val="(%1)"/>
      <w:numFmt w:val="lowerLetter"/>
      <w:start w:val="2"/>
    </w:lvl>
  </w:abstractNum>
  <w:abstractNum w:abstractNumId="13">
    <w:nsid w:val="4A2AC315"/>
    <w:multiLevelType w:val="hybridMultilevel"/>
    <w:lvl w:ilvl="0">
      <w:lvlJc w:val="left"/>
      <w:lvlText w:val="(%1)"/>
      <w:numFmt w:val="lowerLetter"/>
      <w:start w:val="1"/>
    </w:lvl>
  </w:abstractNum>
  <w:abstractNum w:abstractNumId="14">
    <w:nsid w:val="39EE015C"/>
    <w:multiLevelType w:val="hybridMultilevel"/>
    <w:lvl w:ilvl="0">
      <w:lvlJc w:val="left"/>
      <w:lvlText w:val="(%1)"/>
      <w:numFmt w:val="lowerLetter"/>
      <w:start w:val="5"/>
    </w:lvl>
  </w:abstractNum>
  <w:abstractNum w:abstractNumId="15">
    <w:nsid w:val="57FC4FBB"/>
    <w:multiLevelType w:val="hybridMultilevel"/>
    <w:lvl w:ilvl="0">
      <w:lvlJc w:val="left"/>
      <w:lvlText w:val="(%1)"/>
      <w:numFmt w:val="decimal"/>
      <w:start w:val="3"/>
    </w:lvl>
    <w:lvl w:ilvl="1">
      <w:lvlJc w:val="left"/>
      <w:lvlText w:val="(%2)"/>
      <w:numFmt w:val="lowerRoman"/>
      <w:start w:val="1"/>
    </w:lvl>
  </w:abstractNum>
  <w:abstractNum w:abstractNumId="16">
    <w:nsid w:val="CC1016F"/>
    <w:multiLevelType w:val="hybridMultilevel"/>
    <w:lvl w:ilvl="0">
      <w:lvlJc w:val="left"/>
      <w:lvlText w:val="(%1)"/>
      <w:numFmt w:val="lowerLetter"/>
      <w:start w:val="2"/>
    </w:lvl>
  </w:abstractNum>
  <w:abstractNum w:abstractNumId="17">
    <w:nsid w:val="43F18422"/>
    <w:multiLevelType w:val="hybridMultilevel"/>
    <w:lvl w:ilvl="0">
      <w:lvlJc w:val="left"/>
      <w:lvlText w:val="(%1)"/>
      <w:numFmt w:val="lowerLetter"/>
      <w:start w:val="1"/>
    </w:lvl>
  </w:abstractNum>
  <w:abstractNum w:abstractNumId="18">
    <w:nsid w:val="60EF0119"/>
    <w:multiLevelType w:val="hybridMultilevel"/>
    <w:lvl w:ilvl="0">
      <w:lvlJc w:val="left"/>
      <w:lvlText w:val="(%1)"/>
      <w:numFmt w:val="lowerLetter"/>
      <w:start w:val="3"/>
    </w:lvl>
  </w:abstractNum>
  <w:abstractNum w:abstractNumId="19">
    <w:nsid w:val="26F324BA"/>
    <w:multiLevelType w:val="hybridMultilevel"/>
    <w:lvl w:ilvl="0">
      <w:lvlJc w:val="left"/>
      <w:lvlText w:val="(%1)"/>
      <w:numFmt w:val="lowerLetter"/>
      <w:start w:val="2"/>
    </w:lvl>
    <w:lvl w:ilvl="1">
      <w:lvlJc w:val="left"/>
      <w:lvlText w:val="(%2)"/>
      <w:numFmt w:val="lowerRoman"/>
      <w:start w:val="1"/>
    </w:lvl>
  </w:abstractNum>
  <w:abstractNum w:abstractNumId="20">
    <w:nsid w:val="7F01579B"/>
    <w:multiLevelType w:val="hybridMultilevel"/>
    <w:lvl w:ilvl="0">
      <w:lvlJc w:val="left"/>
      <w:lvlText w:val="(%1)"/>
      <w:numFmt w:val="lowerLetter"/>
      <w:start w:val="5"/>
    </w:lvl>
    <w:lvl w:ilvl="1">
      <w:lvlJc w:val="left"/>
      <w:lvlText w:val="(%2)"/>
      <w:numFmt w:val="lowerRoman"/>
      <w:start w:val="1"/>
    </w:lvl>
  </w:abstractNum>
  <w:abstractNum w:abstractNumId="21">
    <w:nsid w:val="49DA307D"/>
    <w:multiLevelType w:val="hybridMultilevel"/>
    <w:lvl w:ilvl="0">
      <w:lvlJc w:val="left"/>
      <w:lvlText w:val="(%1)"/>
      <w:numFmt w:val="lowerLetter"/>
      <w:start w:val="6"/>
    </w:lvl>
  </w:abstractNum>
  <w:abstractNum w:abstractNumId="22">
    <w:nsid w:val="7055A5F5"/>
    <w:multiLevelType w:val="hybridMultilevel"/>
    <w:lvl w:ilvl="0">
      <w:lvlJc w:val="left"/>
      <w:lvlText w:val="(%1)"/>
      <w:numFmt w:val="lowerLetter"/>
      <w:start w:val="2"/>
    </w:lvl>
  </w:abstractNum>
  <w:abstractNum w:abstractNumId="23">
    <w:nsid w:val="5FB8370B"/>
    <w:multiLevelType w:val="hybridMultilevel"/>
    <w:lvl w:ilvl="0">
      <w:lvlJc w:val="left"/>
      <w:lvlText w:val="(%1)"/>
      <w:numFmt w:val="lowerLetter"/>
      <w:start w:val="2"/>
    </w:lvl>
  </w:abstractNum>
  <w:abstractNum w:abstractNumId="24">
    <w:nsid w:val="50801EE1"/>
    <w:multiLevelType w:val="hybridMultilevel"/>
    <w:lvl w:ilvl="0">
      <w:lvlJc w:val="left"/>
      <w:lvlText w:val="(%1)"/>
      <w:numFmt w:val="lowerLetter"/>
      <w:start w:val="3"/>
    </w:lvl>
  </w:abstractNum>
  <w:abstractNum w:abstractNumId="25">
    <w:nsid w:val="488AC1A"/>
    <w:multiLevelType w:val="hybridMultilevel"/>
    <w:lvl w:ilvl="0">
      <w:lvlJc w:val="left"/>
      <w:lvlText w:val="(%1)"/>
      <w:numFmt w:val="lowerLetter"/>
      <w:start w:val="2"/>
    </w:lvl>
  </w:abstractNum>
  <w:abstractNum w:abstractNumId="26">
    <w:nsid w:val="5FB8011C"/>
    <w:multiLevelType w:val="hybridMultilevel"/>
    <w:lvl w:ilvl="0">
      <w:lvlJc w:val="left"/>
      <w:lvlText w:val="(%1)"/>
      <w:numFmt w:val="lowerLetter"/>
      <w:start w:val="1"/>
    </w:lvl>
  </w:abstractNum>
  <w:abstractNum w:abstractNumId="27">
    <w:nsid w:val="6AA78F7F"/>
    <w:multiLevelType w:val="hybridMultilevel"/>
    <w:lvl w:ilvl="0">
      <w:lvlJc w:val="left"/>
      <w:lvlText w:val="(%1)"/>
      <w:numFmt w:val="lowerLetter"/>
      <w:start w:val="2"/>
    </w:lvl>
  </w:abstractNum>
  <w:abstractNum w:abstractNumId="28">
    <w:nsid w:val="7672BD23"/>
    <w:multiLevelType w:val="hybridMultilevel"/>
    <w:lvl w:ilvl="0">
      <w:lvlJc w:val="left"/>
      <w:lvlText w:val="(%1)"/>
      <w:numFmt w:val="lowerLetter"/>
      <w:start w:val="3"/>
    </w:lvl>
  </w:abstractNum>
  <w:abstractNum w:abstractNumId="29">
    <w:nsid w:val="6FC75AF8"/>
    <w:multiLevelType w:val="hybridMultilevel"/>
    <w:lvl w:ilvl="0">
      <w:lvlJc w:val="left"/>
      <w:lvlText w:val="(%1)"/>
      <w:numFmt w:val="lowerLetter"/>
      <w:start w:val="1"/>
    </w:lvl>
    <w:lvl w:ilvl="1">
      <w:lvlJc w:val="left"/>
      <w:lvlText w:val="(%2)"/>
      <w:numFmt w:val="lowerLetter"/>
      <w:start w:val="9"/>
    </w:lvl>
  </w:abstractNum>
  <w:abstractNum w:abstractNumId="30">
    <w:nsid w:val="6A5F7029"/>
    <w:multiLevelType w:val="hybridMultilevel"/>
    <w:lvl w:ilvl="0">
      <w:lvlJc w:val="left"/>
      <w:lvlText w:val="(%1)"/>
      <w:numFmt w:val="lowerRoman"/>
      <w:start w:val="2"/>
    </w:lvl>
    <w:lvl w:ilvl="1">
      <w:lvlJc w:val="left"/>
      <w:lvlText w:val="(%2)"/>
      <w:numFmt w:val="upperLetter"/>
      <w:start w:val="1"/>
    </w:lvl>
  </w:abstractNum>
  <w:abstractNum w:abstractNumId="31">
    <w:nsid w:val="7D5E18F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abstractNum>
  <w:abstractNum w:abstractNumId="32">
    <w:nsid w:val="5F3534A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3">
    <w:nsid w:val="73A1821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4">
    <w:nsid w:val="7DE67713"/>
    <w:multiLevelType w:val="hybridMultilevel"/>
    <w:lvl w:ilvl="0">
      <w:lvlJc w:val="left"/>
      <w:lvlText w:val="(%1)"/>
      <w:numFmt w:val="lowerRoman"/>
      <w:start w:val="2"/>
    </w:lvl>
  </w:abstractNum>
  <w:abstractNum w:abstractNumId="35">
    <w:nsid w:val="555C55B5"/>
    <w:multiLevelType w:val="hybridMultilevel"/>
    <w:lvl w:ilvl="0">
      <w:lvlJc w:val="left"/>
      <w:lvlText w:val="%1"/>
      <w:numFmt w:val="lowerLetter"/>
      <w:start w:val="1"/>
    </w:lvl>
    <w:lvl w:ilvl="1">
      <w:lvlJc w:val="left"/>
      <w:lvlText w:val="(%2)"/>
      <w:numFmt w:val="lowerRoman"/>
      <w:start w:val="4"/>
    </w:lvl>
  </w:abstractNum>
  <w:abstractNum w:abstractNumId="36">
    <w:nsid w:val="3FA62ACA"/>
    <w:multiLevelType w:val="hybridMultilevel"/>
    <w:lvl w:ilvl="0">
      <w:lvlJc w:val="left"/>
      <w:lvlText w:val="(%1)"/>
      <w:numFmt w:val="lowerLetter"/>
      <w:start w:val="3"/>
    </w:lvl>
    <w:lvl w:ilvl="1">
      <w:lvlJc w:val="left"/>
      <w:lvlText w:val="(%2)"/>
      <w:numFmt w:val="lowerRoman"/>
      <w:start w:val="1"/>
    </w:lvl>
  </w:abstractNum>
  <w:abstractNum w:abstractNumId="37">
    <w:nsid w:val="14FCE74E"/>
    <w:multiLevelType w:val="hybridMultilevel"/>
    <w:lvl w:ilvl="0">
      <w:lvlJc w:val="left"/>
      <w:lvlText w:val="(%1)"/>
      <w:numFmt w:val="lowerRoman"/>
      <w:start w:val="2"/>
    </w:lvl>
  </w:abstractNum>
  <w:abstractNum w:abstractNumId="38">
    <w:nsid w:val="6A3DD3E8"/>
    <w:multiLevelType w:val="hybridMultilevel"/>
    <w:lvl w:ilvl="0">
      <w:lvlJc w:val="left"/>
      <w:lvlText w:val="%1"/>
      <w:numFmt w:val="lowerLetter"/>
      <w:start w:val="1"/>
    </w:lvl>
    <w:lvl w:ilvl="1">
      <w:lvlJc w:val="left"/>
      <w:lvlText w:val="(%2)"/>
      <w:numFmt w:val="lowerRoman"/>
      <w:start w:val="6"/>
    </w:lvl>
  </w:abstractNum>
  <w:abstractNum w:abstractNumId="39">
    <w:nsid w:val="71C91298"/>
    <w:multiLevelType w:val="hybridMultilevel"/>
    <w:lvl w:ilvl="0">
      <w:lvlJc w:val="left"/>
      <w:lvlText w:val="(%1)"/>
      <w:numFmt w:val="lowerLetter"/>
      <w:start w:val="4"/>
    </w:lvl>
    <w:lvl w:ilvl="1">
      <w:lvlJc w:val="left"/>
      <w:lvlText w:val="(%2)"/>
      <w:numFmt w:val="lowerRoman"/>
      <w:start w:val="1"/>
    </w:lvl>
  </w:abstractNum>
  <w:abstractNum w:abstractNumId="40">
    <w:nsid w:val="9DAF632"/>
    <w:multiLevelType w:val="hybridMultilevel"/>
    <w:lvl w:ilvl="0">
      <w:lvlJc w:val="left"/>
      <w:lvlText w:val="(%1)"/>
      <w:numFmt w:val="lowerRoman"/>
      <w:start w:val="2"/>
    </w:lvl>
  </w:abstractNum>
  <w:abstractNum w:abstractNumId="41">
    <w:nsid w:val="53299938"/>
    <w:multiLevelType w:val="hybridMultilevel"/>
    <w:lvl w:ilvl="0">
      <w:lvlJc w:val="left"/>
      <w:lvlText w:val="%1"/>
      <w:numFmt w:val="lowerLetter"/>
      <w:start w:val="1"/>
    </w:lvl>
    <w:lvl w:ilvl="1">
      <w:lvlJc w:val="left"/>
      <w:lvlText w:val="(%2)"/>
      <w:numFmt w:val="lowerLetter"/>
      <w:start w:val="6"/>
    </w:lvl>
  </w:abstractNum>
  <w:abstractNum w:abstractNumId="42">
    <w:nsid w:val="1FBFE8E0"/>
    <w:multiLevelType w:val="hybridMultilevel"/>
    <w:lvl w:ilvl="0">
      <w:lvlJc w:val="left"/>
      <w:lvlText w:val="(%1)"/>
      <w:numFmt w:val="lowerLetter"/>
      <w:start w:val="7"/>
    </w:lvl>
    <w:lvl w:ilvl="1">
      <w:lvlJc w:val="left"/>
      <w:lvlText w:val="%2"/>
      <w:numFmt w:val="lowerLetter"/>
      <w:start w:val="1"/>
    </w:lvl>
  </w:abstractNum>
  <w:abstractNum w:abstractNumId="43">
    <w:nsid w:val="5092CA79"/>
    <w:multiLevelType w:val="hybridMultilevel"/>
    <w:lvl w:ilvl="0">
      <w:lvlJc w:val="left"/>
      <w:lvlText w:val="(%1)"/>
      <w:numFmt w:val="lowerLetter"/>
      <w:start w:val="8"/>
    </w:lvl>
  </w:abstractNum>
  <w:abstractNum w:abstractNumId="44">
    <w:nsid w:val="1D545C4D"/>
    <w:multiLevelType w:val="hybridMultilevel"/>
    <w:lvl w:ilvl="0">
      <w:lvlJc w:val="left"/>
      <w:lvlText w:val="(%1)"/>
      <w:numFmt w:val="lowerLetter"/>
      <w:start w:val="1"/>
    </w:lvl>
  </w:abstractNum>
  <w:abstractNum w:abstractNumId="45">
    <w:nsid w:val="59ADEA3D"/>
    <w:multiLevelType w:val="hybridMultilevel"/>
    <w:lvl w:ilvl="0">
      <w:lvlJc w:val="left"/>
      <w:lvlText w:val="(%1)"/>
      <w:numFmt w:val="lowerLetter"/>
      <w:start w:val="2"/>
    </w:lvl>
    <w:lvl w:ilvl="1">
      <w:lvlJc w:val="left"/>
      <w:lvlText w:val="(%2)"/>
      <w:numFmt w:val="lowerLetter"/>
      <w:start w:val="9"/>
    </w:lvl>
  </w:abstractNum>
  <w:abstractNum w:abstractNumId="46">
    <w:nsid w:val="288F1A34"/>
    <w:multiLevelType w:val="hybridMultilevel"/>
    <w:lvl w:ilvl="0">
      <w:lvlJc w:val="left"/>
      <w:lvlText w:val="%1"/>
      <w:numFmt w:val="lowerRoman"/>
      <w:start w:val="1"/>
    </w:lvl>
    <w:lvl w:ilvl="1">
      <w:lvlJc w:val="left"/>
      <w:lvlText w:val="(%2)"/>
      <w:numFmt w:val="lowerRoman"/>
      <w:start w:val="2"/>
    </w:lvl>
  </w:abstractNum>
  <w:abstractNum w:abstractNumId="47">
    <w:nsid w:val="2A155DBC"/>
    <w:multiLevelType w:val="hybridMultilevel"/>
    <w:lvl w:ilvl="0">
      <w:lvlJc w:val="left"/>
      <w:lvlText w:val="(%1)"/>
      <w:numFmt w:val="lowerRoman"/>
      <w:start w:val="3"/>
    </w:lvl>
    <w:lvl w:ilvl="1">
      <w:lvlJc w:val="left"/>
      <w:lvlText w:val="(%2)"/>
      <w:numFmt w:val="lowerRoman"/>
      <w:start w:val="4"/>
    </w:lvl>
  </w:abstractNum>
  <w:abstractNum w:abstractNumId="48">
    <w:nsid w:val="1D9F6E5F"/>
    <w:multiLevelType w:val="hybridMultilevel"/>
    <w:lvl w:ilvl="0">
      <w:lvlJc w:val="left"/>
      <w:lvlText w:val="(%1)"/>
      <w:numFmt w:val="lowerLetter"/>
      <w:start w:val="4"/>
    </w:lvl>
    <w:lvl w:ilvl="1">
      <w:lvlJc w:val="left"/>
      <w:lvlText w:val="(%2)"/>
      <w:numFmt w:val="lowerRoman"/>
      <w:start w:val="1"/>
    </w:lvl>
  </w:abstractNum>
  <w:abstractNum w:abstractNumId="49">
    <w:nsid w:val="97E1B4E"/>
    <w:multiLevelType w:val="hybridMultilevel"/>
    <w:lvl w:ilvl="0">
      <w:lvlJc w:val="left"/>
      <w:lvlText w:val="(%1)"/>
      <w:numFmt w:val="upperLetter"/>
      <w:start w:val="2"/>
    </w:lvl>
  </w:abstractNum>
  <w:abstractNum w:abstractNumId="50">
    <w:nsid w:val="51088277"/>
    <w:multiLevelType w:val="hybridMultilevel"/>
    <w:lvl w:ilvl="0">
      <w:lvlJc w:val="left"/>
      <w:lvlText w:val="%1"/>
      <w:numFmt w:val="lowerLetter"/>
      <w:start w:val="1"/>
    </w:lvl>
    <w:lvl w:ilvl="1">
      <w:lvlJc w:val="left"/>
      <w:lvlText w:val="(%2)"/>
      <w:numFmt w:val="lowerLetter"/>
      <w:start w:val="35"/>
    </w:lvl>
  </w:abstractNum>
  <w:abstractNum w:abstractNumId="51">
    <w:nsid w:val="1CA0C5FA"/>
    <w:multiLevelType w:val="hybridMultilevel"/>
    <w:lvl w:ilvl="0">
      <w:lvlJc w:val="left"/>
      <w:lvlText w:val="(%1)"/>
      <w:numFmt w:val="lowerLetter"/>
      <w:start w:val="2"/>
    </w:lvl>
    <w:lvl w:ilvl="1">
      <w:lvlJc w:val="left"/>
      <w:lvlText w:val="%2"/>
      <w:numFmt w:val="lowerLetter"/>
      <w:start w:val="1"/>
    </w:lvl>
  </w:abstractNum>
  <w:abstractNum w:abstractNumId="52">
    <w:nsid w:val="53584BCB"/>
    <w:multiLevelType w:val="hybridMultilevel"/>
    <w:lvl w:ilvl="0">
      <w:lvlJc w:val="left"/>
      <w:lvlText w:val="(%1)"/>
      <w:numFmt w:val="lowerLetter"/>
      <w:start w:val="4"/>
    </w:lvl>
  </w:abstractNum>
  <w:abstractNum w:abstractNumId="53">
    <w:nsid w:val="415E286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2"/>
    </w:lvl>
  </w:abstractNum>
  <w:abstractNum w:abstractNumId="54">
    <w:nsid w:val="7C58FD0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55">
    <w:nsid w:val="23D86AAC"/>
    <w:multiLevelType w:val="hybridMultilevel"/>
    <w:lvl w:ilvl="0">
      <w:lvlJc w:val="left"/>
      <w:lvlText w:val="(%1)"/>
      <w:numFmt w:val="lowerLetter"/>
      <w:start w:val="1"/>
    </w:lvl>
  </w:abstractNum>
  <w:abstractNum w:abstractNumId="56">
    <w:nsid w:val="45E6D486"/>
    <w:multiLevelType w:val="hybridMultilevel"/>
    <w:lvl w:ilvl="0">
      <w:lvlJc w:val="left"/>
      <w:lvlText w:val="(%1)"/>
      <w:numFmt w:val="lowerRoman"/>
      <w:start w:val="2"/>
    </w:lvl>
  </w:abstractNum>
  <w:abstractNum w:abstractNumId="57">
    <w:nsid w:val="5C10FE21"/>
    <w:multiLevelType w:val="hybridMultilevel"/>
    <w:lvl w:ilvl="0">
      <w:lvlJc w:val="left"/>
      <w:lvlText w:val="(%1)"/>
      <w:numFmt w:val="lowerLetter"/>
      <w:start w:val="2"/>
    </w:lvl>
  </w:abstractNum>
  <w:abstractNum w:abstractNumId="58">
    <w:nsid w:val="E7FFA2B"/>
    <w:multiLevelType w:val="hybridMultilevel"/>
    <w:lvl w:ilvl="0">
      <w:lvlJc w:val="left"/>
      <w:lvlText w:val="(%1)"/>
      <w:numFmt w:val="lowerLetter"/>
      <w:start w:val="2"/>
    </w:lvl>
  </w:abstractNum>
  <w:abstractNum w:abstractNumId="59">
    <w:nsid w:val="3C5991AA"/>
    <w:multiLevelType w:val="hybridMultilevel"/>
    <w:lvl w:ilvl="0">
      <w:lvlJc w:val="left"/>
      <w:lvlText w:val="(%1)"/>
      <w:numFmt w:val="lowerLetter"/>
      <w:start w:val="2"/>
    </w:lvl>
  </w:abstractNum>
  <w:abstractNum w:abstractNumId="60">
    <w:nsid w:val="4BD8591A"/>
    <w:multiLevelType w:val="hybridMultilevel"/>
    <w:lvl w:ilvl="0">
      <w:lvlJc w:val="left"/>
      <w:lvlText w:val="(%1)"/>
      <w:numFmt w:val="lowerRoman"/>
      <w:start w:val="2"/>
    </w:lvl>
  </w:abstractNum>
  <w:abstractNum w:abstractNumId="61">
    <w:nsid w:val="78DF6A55"/>
    <w:multiLevelType w:val="hybridMultilevel"/>
    <w:lvl w:ilvl="0">
      <w:lvlJc w:val="left"/>
      <w:lvlText w:val="(%1)"/>
      <w:numFmt w:val="lowerLetter"/>
      <w:start w:val="3"/>
    </w:lvl>
  </w:abstractNum>
  <w:abstractNum w:abstractNumId="62">
    <w:nsid w:val="39B7AAA2"/>
    <w:multiLevelType w:val="hybridMultilevel"/>
    <w:lvl w:ilvl="0">
      <w:lvlJc w:val="left"/>
      <w:lvlText w:val="(%1)"/>
      <w:numFmt w:val="lowerRoman"/>
      <w:start w:val="1"/>
    </w:lvl>
  </w:abstractNum>
  <w:abstractNum w:abstractNumId="63">
    <w:nsid w:val="2B0D8DBE"/>
    <w:multiLevelType w:val="hybridMultilevel"/>
    <w:lvl w:ilvl="0">
      <w:lvlJc w:val="left"/>
      <w:lvlText w:val="(%1)"/>
      <w:numFmt w:val="lowerLetter"/>
      <w:start w:val="1"/>
    </w:lvl>
  </w:abstractNum>
  <w:abstractNum w:abstractNumId="64">
    <w:nsid w:val="6C80EC70"/>
    <w:multiLevelType w:val="hybridMultilevel"/>
    <w:lvl w:ilvl="0">
      <w:lvlJc w:val="left"/>
      <w:lvlText w:val="%1"/>
      <w:numFmt w:val="lowerLetter"/>
      <w:start w:val="1"/>
    </w:lvl>
    <w:lvl w:ilvl="1">
      <w:lvlJc w:val="left"/>
      <w:lvlText w:val="(%2)"/>
      <w:numFmt w:val="lowerLetter"/>
      <w:start w:val="3"/>
    </w:lvl>
  </w:abstractNum>
  <w:abstractNum w:abstractNumId="65">
    <w:nsid w:val="379E21B5"/>
    <w:multiLevelType w:val="hybridMultilevel"/>
    <w:lvl w:ilvl="0">
      <w:lvlJc w:val="left"/>
      <w:lvlText w:val="(%1)"/>
      <w:numFmt w:val="lowerLetter"/>
      <w:start w:val="2"/>
    </w:lvl>
    <w:lvl w:ilvl="1">
      <w:lvlJc w:val="left"/>
      <w:lvlText w:val="(%2)"/>
      <w:numFmt w:val="lowerLetter"/>
      <w:start w:val="6"/>
    </w:lvl>
  </w:abstractNum>
  <w:abstractNum w:abstractNumId="66">
    <w:nsid w:val="69E373"/>
    <w:multiLevelType w:val="hybridMultilevel"/>
    <w:lvl w:ilvl="0">
      <w:lvlJc w:val="left"/>
      <w:lvlText w:val="(%1)"/>
      <w:numFmt w:val="lowerLetter"/>
      <w:start w:val="1"/>
    </w:lvl>
  </w:abstractNum>
  <w:abstractNum w:abstractNumId="67">
    <w:nsid w:val="2C27173B"/>
    <w:multiLevelType w:val="hybridMultilevel"/>
    <w:lvl w:ilvl="0">
      <w:lvlJc w:val="left"/>
      <w:lvlText w:val="(%1)"/>
      <w:numFmt w:val="lowerLetter"/>
      <w:start w:val="2"/>
    </w:lvl>
  </w:abstractNum>
  <w:abstractNum w:abstractNumId="68">
    <w:nsid w:val="4C9B0904"/>
    <w:multiLevelType w:val="hybridMultilevel"/>
    <w:lvl w:ilvl="0">
      <w:lvlJc w:val="left"/>
      <w:lvlText w:val="(%1)"/>
      <w:numFmt w:val="lowerLetter"/>
      <w:start w:val="1"/>
    </w:lvl>
    <w:lvl w:ilvl="1">
      <w:lvlJc w:val="left"/>
      <w:lvlText w:val="(%2)"/>
      <w:numFmt w:val="lowerRoman"/>
      <w:start w:val="1"/>
    </w:lvl>
  </w:abstractNum>
  <w:abstractNum w:abstractNumId="69">
    <w:nsid w:val="6AA7B75C"/>
    <w:multiLevelType w:val="hybridMultilevel"/>
    <w:lvl w:ilvl="0">
      <w:lvlJc w:val="left"/>
      <w:lvlText w:val="(%1)"/>
      <w:numFmt w:val="lowerRoman"/>
      <w:start w:val="3"/>
    </w:lvl>
    <w:lvl w:ilvl="1">
      <w:lvlJc w:val="left"/>
      <w:lvlText w:val="(%2)"/>
      <w:numFmt w:val="upperLetter"/>
      <w:start w:val="1"/>
    </w:lvl>
  </w:abstractNum>
  <w:abstractNum w:abstractNumId="70">
    <w:nsid w:val="1DF029D3"/>
    <w:multiLevelType w:val="hybridMultilevel"/>
    <w:lvl w:ilvl="0">
      <w:lvlJc w:val="left"/>
      <w:lvlText w:val="%1"/>
      <w:numFmt w:val="lowerLetter"/>
      <w:start w:val="1"/>
    </w:lvl>
    <w:lvl w:ilvl="1">
      <w:lvlJc w:val="left"/>
      <w:lvlText w:val="(%2)"/>
      <w:numFmt w:val="lowerLetter"/>
      <w:start w:val="22"/>
    </w:lvl>
  </w:abstractNum>
  <w:abstractNum w:abstractNumId="71">
    <w:nsid w:val="5675FF36"/>
    <w:multiLevelType w:val="hybridMultilevel"/>
    <w:lvl w:ilvl="0">
      <w:lvlJc w:val="left"/>
      <w:lvlText w:val="(%1)"/>
      <w:numFmt w:val="lowerLetter"/>
      <w:start w:val="2"/>
    </w:lvl>
    <w:lvl w:ilvl="1">
      <w:lvlJc w:val="left"/>
      <w:lvlText w:val="%2"/>
      <w:numFmt w:val="lowerLetter"/>
      <w:start w:val="1"/>
    </w:lvl>
  </w:abstractNum>
  <w:abstractNum w:abstractNumId="72">
    <w:nsid w:val="3DD15094"/>
    <w:multiLevelType w:val="hybridMultilevel"/>
    <w:lvl w:ilvl="0">
      <w:lvlJc w:val="left"/>
      <w:lvlText w:val="(%1)"/>
      <w:numFmt w:val="lowerLetter"/>
      <w:start w:val="2"/>
    </w:lvl>
  </w:abstractNum>
  <w:abstractNum w:abstractNumId="73">
    <w:nsid w:val="3DB012B3"/>
    <w:multiLevelType w:val="hybridMultilevel"/>
    <w:lvl w:ilvl="0">
      <w:lvlJc w:val="left"/>
      <w:lvlText w:val="(%1)"/>
      <w:numFmt w:val="lowerLetter"/>
      <w:start w:val="1"/>
    </w:lvl>
    <w:lvl w:ilvl="1">
      <w:lvlJc w:val="left"/>
      <w:lvlText w:val="(%2)"/>
      <w:numFmt w:val="lowerRoman"/>
      <w:start w:val="1"/>
    </w:lvl>
  </w:abstractNum>
  <w:abstractNum w:abstractNumId="74">
    <w:nsid w:val="2708C9AF"/>
    <w:multiLevelType w:val="hybridMultilevel"/>
    <w:lvl w:ilvl="0">
      <w:lvlJc w:val="left"/>
      <w:lvlText w:val="%1"/>
      <w:numFmt w:val="lowerLetter"/>
      <w:start w:val="1"/>
    </w:lvl>
    <w:lvl w:ilvl="1">
      <w:lvlJc w:val="left"/>
      <w:lvlText w:val="(%2)"/>
      <w:numFmt w:val="lowerLetter"/>
      <w:start w:val="61"/>
    </w:lvl>
  </w:abstractNum>
  <w:abstractNum w:abstractNumId="75">
    <w:nsid w:val="5B25ACE2"/>
    <w:multiLevelType w:val="hybridMultilevel"/>
    <w:lvl w:ilvl="0">
      <w:lvlJc w:val="left"/>
      <w:lvlText w:val="(%1)"/>
      <w:numFmt w:val="lowerLetter"/>
      <w:start w:val="2"/>
    </w:lvl>
    <w:lvl w:ilvl="1">
      <w:lvlJc w:val="left"/>
      <w:lvlText w:val="(%2)"/>
      <w:numFmt w:val="lowerLetter"/>
      <w:start w:val="9"/>
    </w:lvl>
  </w:abstractNum>
  <w:abstractNum w:abstractNumId="76">
    <w:nsid w:val="175DFCF0"/>
    <w:multiLevelType w:val="hybridMultilevel"/>
    <w:lvl w:ilvl="0">
      <w:lvlJc w:val="left"/>
      <w:lvlText w:val="(%1)"/>
      <w:numFmt w:val="lowerRoman"/>
      <w:start w:val="2"/>
    </w:lvl>
  </w:abstractNum>
  <w:abstractNum w:abstractNumId="77">
    <w:nsid w:val="4F97E3E4"/>
    <w:multiLevelType w:val="hybridMultilevel"/>
    <w:lvl w:ilvl="0">
      <w:lvlJc w:val="left"/>
      <w:lvlText w:val="(%1)"/>
      <w:numFmt w:val="lowerLetter"/>
      <w:start w:val="4"/>
    </w:lvl>
    <w:lvl w:ilvl="1">
      <w:lvlJc w:val="left"/>
      <w:lvlText w:val="(%2)"/>
      <w:numFmt w:val="lowerRoman"/>
      <w:start w:val="1"/>
    </w:lvl>
  </w:abstractNum>
  <w:abstractNum w:abstractNumId="78">
    <w:nsid w:val="53B0A9E"/>
    <w:multiLevelType w:val="hybridMultilevel"/>
    <w:lvl w:ilvl="0">
      <w:lvlJc w:val="left"/>
      <w:lvlText w:val="(%1)"/>
      <w:numFmt w:val="upperLetter"/>
      <w:start w:val="1"/>
    </w:lvl>
    <w:lvl w:ilvl="1">
      <w:lvlJc w:val="left"/>
      <w:lvlText w:val="(%2)"/>
      <w:numFmt w:val="upperLetter"/>
      <w:start w:val="9"/>
    </w:lvl>
  </w:abstractNum>
  <w:abstractNum w:abstractNumId="79">
    <w:nsid w:val="34FD6B4F"/>
    <w:multiLevelType w:val="hybridMultilevel"/>
    <w:lvl w:ilvl="0">
      <w:lvlJc w:val="left"/>
      <w:lvlText w:val="(%1)"/>
      <w:numFmt w:val="upperLetter"/>
      <w:start w:val="35"/>
    </w:lvl>
  </w:abstractNum>
  <w:abstractNum w:abstractNumId="80">
    <w:nsid w:val="5915FF32"/>
    <w:multiLevelType w:val="hybridMultilevel"/>
    <w:lvl w:ilvl="0">
      <w:lvlJc w:val="left"/>
      <w:lvlText w:val="(%1)"/>
      <w:numFmt w:val="upperLetter"/>
      <w:start w:val="61"/>
    </w:lvl>
  </w:abstractNum>
  <w:abstractNum w:abstractNumId="81">
    <w:nsid w:val="56438D15"/>
    <w:multiLevelType w:val="hybridMultilevel"/>
    <w:lvl w:ilvl="0">
      <w:lvlJc w:val="left"/>
      <w:lvlText w:val="(%1)"/>
      <w:numFmt w:val="upperLetter"/>
      <w:start w:val="22"/>
    </w:lvl>
  </w:abstractNum>
  <w:abstractNum w:abstractNumId="82">
    <w:nsid w:val="519E314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83">
    <w:nsid w:val="2C6E4AF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4">
    <w:nsid w:val="17A1B582"/>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85">
    <w:nsid w:val="4DF72E4E"/>
    <w:multiLevelType w:val="hybridMultilevel"/>
    <w:lvl w:ilvl="0">
      <w:lvlJc w:val="left"/>
      <w:lvlText w:val="(%1)"/>
      <w:numFmt w:val="lowerLetter"/>
      <w:start w:val="7"/>
    </w:lvl>
  </w:abstractNum>
  <w:abstractNum w:abstractNumId="86">
    <w:nsid w:val="5046B5A9"/>
    <w:multiLevelType w:val="hybridMultilevel"/>
    <w:lvl w:ilvl="0">
      <w:lvlJc w:val="left"/>
      <w:lvlText w:val="(%1)"/>
      <w:numFmt w:val="lowerLetter"/>
      <w:start w:val="1"/>
    </w:lvl>
    <w:lvl w:ilvl="1">
      <w:lvlJc w:val="left"/>
      <w:lvlText w:val="(%2)"/>
      <w:numFmt w:val="lowerRoman"/>
      <w:start w:val="1"/>
    </w:lvl>
  </w:abstractNum>
  <w:abstractNum w:abstractNumId="87">
    <w:nsid w:val="5D888A0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8">
    <w:nsid w:val="2A082C70"/>
    <w:multiLevelType w:val="hybridMultilevel"/>
    <w:lvl w:ilvl="0">
      <w:lvlJc w:val="left"/>
      <w:lvlText w:val="(%1)"/>
      <w:numFmt w:val="lowerRoman"/>
      <w:start w:val="2"/>
    </w:lvl>
  </w:abstractNum>
  <w:abstractNum w:abstractNumId="89">
    <w:nsid w:val="5EC6AFD4"/>
    <w:multiLevelType w:val="hybridMultilevel"/>
    <w:lvl w:ilvl="0">
      <w:lvlJc w:val="left"/>
      <w:lvlText w:val="(%1)"/>
      <w:numFmt w:val="lowerRoman"/>
      <w:start w:val="3"/>
    </w:lvl>
  </w:abstractNum>
  <w:abstractNum w:abstractNumId="90">
    <w:nsid w:val="19E21BB2"/>
    <w:multiLevelType w:val="hybridMultilevel"/>
    <w:lvl w:ilvl="0">
      <w:lvlJc w:val="left"/>
      <w:lvlText w:val="(%1)"/>
      <w:numFmt w:val="lowerLetter"/>
      <w:start w:val="1"/>
    </w:lvl>
    <w:lvl w:ilvl="1">
      <w:lvlJc w:val="left"/>
      <w:lvlText w:val="(%2)"/>
      <w:numFmt w:val="lowerRoman"/>
      <w:start w:val="1"/>
    </w:lvl>
  </w:abstractNum>
  <w:abstractNum w:abstractNumId="91">
    <w:nsid w:val="75E0858A"/>
    <w:multiLevelType w:val="hybridMultilevel"/>
    <w:lvl w:ilvl="0">
      <w:lvlJc w:val="left"/>
      <w:lvlText w:val="(%1)"/>
      <w:numFmt w:val="lowerLetter"/>
      <w:start w:val="2"/>
    </w:lvl>
  </w:abstractNum>
  <w:abstractNum w:abstractNumId="92">
    <w:nsid w:val="57A61A29"/>
    <w:multiLevelType w:val="hybridMultilevel"/>
    <w:lvl w:ilvl="0">
      <w:lvlJc w:val="left"/>
      <w:lvlText w:val="(%1)"/>
      <w:numFmt w:val="lowerLetter"/>
      <w:start w:val="3"/>
    </w:lvl>
  </w:abstractNum>
  <w:abstractNum w:abstractNumId="93">
    <w:nsid w:val="5399C654"/>
    <w:multiLevelType w:val="hybridMultilevel"/>
    <w:lvl w:ilvl="0">
      <w:lvlJc w:val="left"/>
      <w:lvlText w:val="(%1)"/>
      <w:numFmt w:val="lowerLetter"/>
      <w:start w:val="6"/>
    </w:lvl>
  </w:abstractNum>
  <w:abstractNum w:abstractNumId="94">
    <w:nsid w:val="20EE1348"/>
    <w:multiLevelType w:val="hybridMultilevel"/>
    <w:lvl w:ilvl="0">
      <w:lvlJc w:val="left"/>
      <w:lvlText w:val="(%1)"/>
      <w:numFmt w:val="lowerLetter"/>
      <w:start w:val="1"/>
    </w:lvl>
  </w:abstractNum>
  <w:abstractNum w:abstractNumId="95">
    <w:nsid w:val="4427069A"/>
    <w:multiLevelType w:val="hybridMultilevel"/>
    <w:lvl w:ilvl="0">
      <w:lvlJc w:val="left"/>
      <w:lvlText w:val="(%1)"/>
      <w:numFmt w:val="lowerLetter"/>
      <w:start w:val="1"/>
    </w:lvl>
  </w:abstractNum>
  <w:abstractNum w:abstractNumId="96">
    <w:nsid w:val="B37E80A"/>
    <w:multiLevelType w:val="hybridMultilevel"/>
    <w:lvl w:ilvl="0">
      <w:lvlJc w:val="left"/>
      <w:lvlText w:val="(%1)"/>
      <w:numFmt w:val="lowerLetter"/>
      <w:start w:val="2"/>
    </w:lvl>
  </w:abstractNum>
  <w:abstractNum w:abstractNumId="97">
    <w:nsid w:val="2157F6BC"/>
    <w:multiLevelType w:val="hybridMultilevel"/>
    <w:lvl w:ilvl="0">
      <w:lvlJc w:val="left"/>
      <w:lvlText w:val="(%1)"/>
      <w:numFmt w:val="lowerLetter"/>
      <w:start w:val="1"/>
    </w:lvl>
    <w:lvl w:ilvl="1">
      <w:lvlJc w:val="left"/>
      <w:lvlText w:val="(%2)"/>
      <w:numFmt w:val="lowerRoman"/>
      <w:start w:val="1"/>
    </w:lvl>
  </w:abstractNum>
  <w:abstractNum w:abstractNumId="98">
    <w:nsid w:val="704E1DD5"/>
    <w:multiLevelType w:val="hybridMultilevel"/>
    <w:lvl w:ilvl="0">
      <w:lvlJc w:val="left"/>
      <w:lvlText w:val="(%1)"/>
      <w:numFmt w:val="lowerRoman"/>
      <w:start w:val="4"/>
    </w:lvl>
  </w:abstractNum>
  <w:abstractNum w:abstractNumId="99">
    <w:nsid w:val="57D2F10E"/>
    <w:multiLevelType w:val="hybridMultilevel"/>
    <w:lvl w:ilvl="0">
      <w:lvlJc w:val="left"/>
      <w:lvlText w:val="%1"/>
      <w:numFmt w:val="lowerRoman"/>
      <w:start w:val="1"/>
    </w:lvl>
    <w:lvl w:ilvl="1">
      <w:lvlJc w:val="left"/>
      <w:lvlText w:val="(%2)"/>
      <w:numFmt w:val="upperLetter"/>
      <w:start w:val="2"/>
    </w:lvl>
  </w:abstractNum>
  <w:abstractNum w:abstractNumId="100">
    <w:nsid w:val="BFFAE18"/>
    <w:multiLevelType w:val="hybridMultilevel"/>
    <w:lvl w:ilvl="0">
      <w:lvlJc w:val="left"/>
      <w:lvlText w:val="(%1)"/>
      <w:numFmt w:val="lowerRoman"/>
      <w:start w:val="12"/>
    </w:lvl>
    <w:lvl w:ilvl="1">
      <w:lvlJc w:val="left"/>
      <w:lvlText w:val="%2"/>
      <w:numFmt w:val="upperLetter"/>
      <w:start w:val="1"/>
    </w:lvl>
  </w:abstractNum>
  <w:abstractNum w:abstractNumId="101">
    <w:nsid w:val="E3E47A8"/>
    <w:multiLevelType w:val="hybridMultilevel"/>
    <w:lvl w:ilvl="0">
      <w:lvlJc w:val="left"/>
      <w:lvlText w:val="(%1)"/>
      <w:numFmt w:val="lowerRoman"/>
      <w:start w:val="6"/>
    </w:lvl>
    <w:lvl w:ilvl="1">
      <w:lvlJc w:val="left"/>
      <w:lvlText w:val="(%2)"/>
      <w:numFmt w:val="lowerLetter"/>
      <w:start w:val="2"/>
    </w:lvl>
  </w:abstractNum>
  <w:abstractNum w:abstractNumId="102">
    <w:nsid w:val="2E48F044"/>
    <w:multiLevelType w:val="hybridMultilevel"/>
    <w:lvl w:ilvl="0">
      <w:lvlJc w:val="left"/>
      <w:lvlText w:val="(%1)"/>
      <w:numFmt w:val="lowerLetter"/>
      <w:start w:val="1"/>
    </w:lvl>
  </w:abstractNum>
  <w:abstractNum w:abstractNumId="103">
    <w:nsid w:val="49D0FEAC"/>
    <w:multiLevelType w:val="hybridMultilevel"/>
    <w:lvl w:ilvl="0">
      <w:lvlJc w:val="left"/>
      <w:lvlText w:val="(%1)"/>
      <w:numFmt w:val="lowerLetter"/>
      <w:start w:val="2"/>
    </w:lvl>
  </w:abstractNum>
  <w:abstractNum w:abstractNumId="104">
    <w:nsid w:val="4BEE5A5B"/>
    <w:multiLevelType w:val="hybridMultilevel"/>
    <w:lvl w:ilvl="0">
      <w:lvlJc w:val="left"/>
      <w:lvlText w:val="(%1)"/>
      <w:numFmt w:val="lowerLetter"/>
      <w:start w:val="1"/>
    </w:lvl>
  </w:abstractNum>
  <w:abstractNum w:abstractNumId="105">
    <w:nsid w:val="5551B9F3"/>
    <w:multiLevelType w:val="hybridMultilevel"/>
    <w:lvl w:ilvl="0">
      <w:lvlJc w:val="left"/>
      <w:lvlText w:val="(%1)"/>
      <w:numFmt w:val="lowerLetter"/>
      <w:start w:val="1"/>
    </w:lvl>
  </w:abstractNum>
  <w:abstractNum w:abstractNumId="106">
    <w:nsid w:val="24F6AB8E"/>
    <w:multiLevelType w:val="hybridMultilevel"/>
    <w:lvl w:ilvl="0">
      <w:lvlJc w:val="left"/>
      <w:lvlText w:val="%1"/>
      <w:numFmt w:val="lowerLetter"/>
      <w:start w:val="1"/>
    </w:lvl>
    <w:lvl w:ilvl="1">
      <w:lvlJc w:val="left"/>
      <w:lvlText w:val="(%2)"/>
      <w:numFmt w:val="lowerLetter"/>
      <w:start w:val="1"/>
    </w:lvl>
  </w:abstractNum>
  <w:abstractNum w:abstractNumId="107">
    <w:nsid w:val="634C574C"/>
    <w:multiLevelType w:val="hybridMultilevel"/>
    <w:lvl w:ilvl="0">
      <w:lvlJc w:val="left"/>
      <w:lvlText w:val="(%1)"/>
      <w:numFmt w:val="lowerLetter"/>
      <w:start w:val="61"/>
    </w:lvl>
    <w:lvl w:ilvl="1">
      <w:lvlJc w:val="left"/>
      <w:lvlText w:val="(%2)"/>
      <w:numFmt w:val="lowerLetter"/>
      <w:start w:val="4"/>
    </w:lvl>
  </w:abstractNum>
  <w:abstractNum w:abstractNumId="108">
    <w:nsid w:val="24E99DD7"/>
    <w:multiLevelType w:val="hybridMultilevel"/>
    <w:lvl w:ilvl="0">
      <w:lvlJc w:val="left"/>
      <w:lvlText w:val="(%1)"/>
      <w:numFmt w:val="lowerLetter"/>
      <w:start w:val="1"/>
    </w:lvl>
  </w:abstractNum>
  <w:abstractNum w:abstractNumId="109">
    <w:nsid w:val="2A31B62D"/>
    <w:multiLevelType w:val="hybridMultilevel"/>
    <w:lvl w:ilvl="0">
      <w:lvlJc w:val="left"/>
      <w:lvlText w:val="%1"/>
      <w:numFmt w:val="lowerLetter"/>
      <w:start w:val="1"/>
    </w:lvl>
    <w:lvl w:ilvl="1">
      <w:lvlJc w:val="left"/>
      <w:lvlText w:val="(%2)"/>
      <w:numFmt w:val="lowerLetter"/>
      <w:start w:val="1"/>
    </w:lvl>
  </w:abstractNum>
  <w:abstractNum w:abstractNumId="110">
    <w:nsid w:val="1849C29B"/>
    <w:multiLevelType w:val="hybridMultilevel"/>
    <w:lvl w:ilvl="0">
      <w:lvlJc w:val="left"/>
      <w:lvlText w:val="(%1)"/>
      <w:numFmt w:val="lowerLetter"/>
      <w:start w:val="35"/>
    </w:lvl>
    <w:lvl w:ilvl="1">
      <w:lvlJc w:val="left"/>
      <w:lvlText w:val="(%2)"/>
      <w:numFmt w:val="lowerLetter"/>
      <w:start w:val="3"/>
    </w:lvl>
  </w:abstractNum>
  <w:abstractNum w:abstractNumId="111">
    <w:nsid w:val="7DFF9D09"/>
    <w:multiLevelType w:val="hybridMultilevel"/>
    <w:lvl w:ilvl="0">
      <w:lvlJc w:val="left"/>
      <w:lvlText w:val="(%1)"/>
      <w:numFmt w:val="lowerLetter"/>
      <w:start w:val="4"/>
    </w:lvl>
  </w:abstractNum>
  <w:abstractNum w:abstractNumId="112">
    <w:nsid w:val="754342"/>
    <w:multiLevelType w:val="hybridMultilevel"/>
    <w:lvl w:ilvl="0">
      <w:lvlJc w:val="left"/>
      <w:lvlText w:val="(%1)"/>
      <w:numFmt w:val="lowerLetter"/>
      <w:start w:val="1"/>
    </w:lvl>
  </w:abstractNum>
  <w:abstractNum w:abstractNumId="113">
    <w:nsid w:val="69E7F3E5"/>
    <w:multiLevelType w:val="hybridMultilevel"/>
    <w:lvl w:ilvl="0">
      <w:lvlJc w:val="left"/>
      <w:lvlText w:val="(%1)"/>
      <w:numFmt w:val="lowerLetter"/>
      <w:start w:val="1"/>
    </w:lvl>
  </w:abstractNum>
  <w:abstractNum w:abstractNumId="114">
    <w:nsid w:val="2A6DE806"/>
    <w:multiLevelType w:val="hybridMultilevel"/>
    <w:lvl w:ilvl="0">
      <w:lvlJc w:val="left"/>
      <w:lvlText w:val="(%1)"/>
      <w:numFmt w:val="lowerLetter"/>
      <w:start w:val="4"/>
    </w:lvl>
  </w:abstractNum>
  <w:abstractNum w:abstractNumId="115">
    <w:nsid w:val="1816F8C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6">
    <w:nsid w:val="37DF2233"/>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117">
    <w:nsid w:val="7AB49DAF"/>
    <w:multiLevelType w:val="hybridMultilevel"/>
    <w:lvl w:ilvl="0">
      <w:lvlJc w:val="left"/>
      <w:lvlText w:val="(%1)"/>
      <w:numFmt w:val="lowerLetter"/>
      <w:start w:val="4"/>
    </w:lvl>
  </w:abstractNum>
  <w:abstractNum w:abstractNumId="118">
    <w:nsid w:val="759F82CD"/>
    <w:multiLevelType w:val="hybridMultilevel"/>
    <w:lvl w:ilvl="0">
      <w:lvlJc w:val="left"/>
      <w:lvlText w:val="(%1)"/>
      <w:numFmt w:val="lowerLetter"/>
      <w:start w:val="1"/>
    </w:lvl>
  </w:abstractNum>
  <w:abstractNum w:abstractNumId="119">
    <w:nsid w:val="61E74EA3"/>
    <w:multiLevelType w:val="hybridMultilevel"/>
    <w:lvl w:ilvl="0">
      <w:lvlJc w:val="left"/>
      <w:lvlText w:val="%1"/>
      <w:numFmt w:val="lowerLetter"/>
      <w:start w:val="1"/>
    </w:lvl>
    <w:lvl w:ilvl="1">
      <w:lvlJc w:val="left"/>
      <w:lvlText w:val="(%2)"/>
      <w:numFmt w:val="lowerLetter"/>
      <w:start w:val="8"/>
    </w:lvl>
  </w:abstractNum>
  <w:abstractNum w:abstractNumId="120">
    <w:nsid w:val="597B4D84"/>
    <w:multiLevelType w:val="hybridMultilevel"/>
    <w:lvl w:ilvl="0">
      <w:lvlJc w:val="left"/>
      <w:lvlText w:val="(%1)"/>
      <w:numFmt w:val="lowerLetter"/>
      <w:start w:val="9"/>
    </w:lvl>
    <w:lvl w:ilvl="1">
      <w:lvlJc w:val="left"/>
      <w:lvlText w:val="(%2)"/>
      <w:numFmt w:val="lowerLetter"/>
      <w:start w:val="12"/>
    </w:lvl>
  </w:abstractNum>
  <w:abstractNum w:abstractNumId="121">
    <w:nsid w:val="F819E7F"/>
    <w:multiLevelType w:val="hybridMultilevel"/>
    <w:lvl w:ilvl="0">
      <w:lvlJc w:val="left"/>
      <w:lvlText w:val="(%1)"/>
      <w:numFmt w:val="lowerLetter"/>
      <w:start w:val="1"/>
    </w:lvl>
  </w:abstractNum>
  <w:abstractNum w:abstractNumId="122">
    <w:nsid w:val="57C7D42D"/>
    <w:multiLevelType w:val="hybridMultilevel"/>
    <w:lvl w:ilvl="0">
      <w:lvlJc w:val="left"/>
      <w:lvlText w:val="%1"/>
      <w:numFmt w:val="lowerRoman"/>
      <w:start w:val="1"/>
    </w:lvl>
    <w:lvl w:ilvl="1">
      <w:lvlJc w:val="left"/>
      <w:lvlText w:val="(%2)"/>
      <w:numFmt w:val="lowerLetter"/>
      <w:start w:val="5"/>
    </w:lvl>
  </w:abstractNum>
  <w:abstractNum w:abstractNumId="123">
    <w:nsid w:val="312167AD"/>
    <w:multiLevelType w:val="hybridMultilevel"/>
    <w:lvl w:ilvl="0">
      <w:lvlJc w:val="left"/>
      <w:lvlText w:val="(%1)"/>
      <w:numFmt w:val="lowerRoman"/>
      <w:start w:val="7"/>
    </w:lvl>
    <w:lvl w:ilvl="1">
      <w:lvlJc w:val="left"/>
      <w:lvlText w:val="(%2)"/>
      <w:numFmt w:val="lowerLetter"/>
      <w:start w:val="6"/>
    </w:lvl>
  </w:abstractNum>
  <w:abstractNum w:abstractNumId="124">
    <w:nsid w:val="631B64D4"/>
    <w:multiLevelType w:val="hybridMultilevel"/>
    <w:lvl w:ilvl="0">
      <w:lvlJc w:val="left"/>
      <w:lvlText w:val="(%1)"/>
      <w:numFmt w:val="lowerLetter"/>
      <w:start w:val="1"/>
    </w:lvl>
  </w:abstractNum>
  <w:abstractNum w:abstractNumId="125">
    <w:nsid w:val="78B5E776"/>
    <w:multiLevelType w:val="hybridMultilevel"/>
    <w:lvl w:ilvl="0">
      <w:lvlJc w:val="left"/>
      <w:lvlText w:val="(%1)"/>
      <w:numFmt w:val="lowerLetter"/>
      <w:start w:val="2"/>
    </w:lvl>
  </w:abstractNum>
  <w:abstractNum w:abstractNumId="126">
    <w:nsid w:val="75486E47"/>
    <w:multiLevelType w:val="hybridMultilevel"/>
    <w:lvl w:ilvl="0">
      <w:lvlJc w:val="left"/>
      <w:lvlText w:val="(%1)"/>
      <w:numFmt w:val="lowerLetter"/>
      <w:start w:val="1"/>
    </w:lvl>
  </w:abstractNum>
  <w:abstractNum w:abstractNumId="127">
    <w:nsid w:val="6E534CDE"/>
    <w:multiLevelType w:val="hybridMultilevel"/>
    <w:lvl w:ilvl="0">
      <w:lvlJc w:val="left"/>
      <w:lvlText w:val="(%1)"/>
      <w:numFmt w:val="lowerLetter"/>
      <w:start w:val="1"/>
    </w:lvl>
  </w:abstractNum>
  <w:abstractNum w:abstractNumId="128">
    <w:nsid w:val="1A0DDE32"/>
    <w:multiLevelType w:val="hybridMultilevel"/>
    <w:lvl w:ilvl="0">
      <w:lvlJc w:val="left"/>
      <w:lvlText w:val="(%1)"/>
      <w:numFmt w:val="lowerLetter"/>
      <w:start w:val="3"/>
    </w:lvl>
  </w:abstractNum>
  <w:abstractNum w:abstractNumId="129">
    <w:nsid w:val="65968C1C"/>
    <w:multiLevelType w:val="hybridMultilevel"/>
    <w:lvl w:ilvl="0">
      <w:lvlJc w:val="left"/>
      <w:lvlText w:val="(%1)"/>
      <w:numFmt w:val="lowerLetter"/>
      <w:start w:val="6"/>
    </w:lvl>
  </w:abstractNum>
  <w:abstractNum w:abstractNumId="130">
    <w:nsid w:val="46263DEC"/>
    <w:multiLevelType w:val="hybridMultilevel"/>
    <w:lvl w:ilvl="0">
      <w:lvlJc w:val="left"/>
      <w:lvlText w:val="(%1)"/>
      <w:numFmt w:val="lowerLetter"/>
      <w:start w:val="11"/>
    </w:lvl>
  </w:abstractNum>
  <w:abstractNum w:abstractNumId="131">
    <w:nsid w:val="260D8C4A"/>
    <w:multiLevelType w:val="hybridMultilevel"/>
    <w:lvl w:ilvl="0">
      <w:lvlJc w:val="left"/>
      <w:lvlText w:val="(%1)"/>
      <w:numFmt w:val="lowerLetter"/>
      <w:start w:val="1"/>
    </w:lvl>
  </w:abstractNum>
  <w:abstractNum w:abstractNumId="132">
    <w:nsid w:val="73D4D3C4"/>
    <w:multiLevelType w:val="hybridMultilevel"/>
    <w:lvl w:ilvl="0">
      <w:lvlJc w:val="left"/>
      <w:lvlText w:val="(%1)"/>
      <w:numFmt w:val="lowerLetter"/>
      <w:start w:val="1"/>
    </w:lvl>
  </w:abstractNum>
  <w:abstractNum w:abstractNumId="133">
    <w:nsid w:val="746F2E30"/>
    <w:multiLevelType w:val="hybridMultilevel"/>
    <w:lvl w:ilvl="0">
      <w:lvlJc w:val="left"/>
      <w:lvlText w:val="(%1)"/>
      <w:numFmt w:val="lowerRoman"/>
      <w:start w:val="2"/>
    </w:lvl>
  </w:abstractNum>
  <w:abstractNum w:abstractNumId="134">
    <w:nsid w:val="6FDE8AF6"/>
    <w:multiLevelType w:val="hybridMultilevel"/>
    <w:lvl w:ilvl="0">
      <w:lvlJc w:val="left"/>
      <w:lvlText w:val="(%1)"/>
      <w:numFmt w:val="lowerLetter"/>
      <w:start w:val="2"/>
    </w:lvl>
  </w:abstractNum>
  <w:abstractNum w:abstractNumId="135">
    <w:nsid w:val="3FC32E20"/>
    <w:multiLevelType w:val="hybridMultilevel"/>
    <w:lvl w:ilvl="0">
      <w:lvlJc w:val="left"/>
      <w:lvlText w:val="(%1)"/>
      <w:numFmt w:val="lowerLetter"/>
      <w:start w:val="4"/>
    </w:lvl>
  </w:abstractNum>
  <w:abstractNum w:abstractNumId="136">
    <w:nsid w:val="49C0E823"/>
    <w:multiLevelType w:val="hybridMultilevel"/>
    <w:lvl w:ilvl="0">
      <w:lvlJc w:val="left"/>
      <w:lvlText w:val="(%1)"/>
      <w:numFmt w:val="lowerLetter"/>
      <w:start w:val="1"/>
    </w:lvl>
  </w:abstractNum>
  <w:abstractNum w:abstractNumId="137">
    <w:nsid w:val="14D53685"/>
    <w:multiLevelType w:val="hybridMultilevel"/>
    <w:lvl w:ilvl="0">
      <w:lvlJc w:val="left"/>
      <w:lvlText w:val="(%1)"/>
      <w:numFmt w:val="lowerLetter"/>
      <w:start w:val="1"/>
    </w:lvl>
    <w:lvl w:ilvl="1">
      <w:lvlJc w:val="left"/>
      <w:lvlText w:val="(%2)"/>
      <w:numFmt w:val="lowerRoman"/>
      <w:start w:val="1"/>
    </w:lvl>
  </w:abstractNum>
  <w:abstractNum w:abstractNumId="138">
    <w:nsid w:val="230F856C"/>
    <w:multiLevelType w:val="hybridMultilevel"/>
    <w:lvl w:ilvl="0">
      <w:lvlJc w:val="left"/>
      <w:lvlText w:val="%1"/>
      <w:numFmt w:val="lowerLetter"/>
      <w:start w:val="1"/>
    </w:lvl>
    <w:lvl w:ilvl="1">
      <w:lvlJc w:val="left"/>
      <w:lvlText w:val="(%2)"/>
      <w:numFmt w:val="lowerRoman"/>
      <w:start w:val="3"/>
    </w:lvl>
  </w:abstractNum>
  <w:abstractNum w:abstractNumId="139">
    <w:nsid w:val="6EAA85FB"/>
    <w:multiLevelType w:val="hybridMultilevel"/>
    <w:lvl w:ilvl="0">
      <w:lvlJc w:val="left"/>
      <w:lvlText w:val="(%1)"/>
      <w:numFmt w:val="lowerLetter"/>
      <w:start w:val="2"/>
    </w:lvl>
    <w:lvl w:ilvl="1">
      <w:lvlJc w:val="left"/>
      <w:lvlText w:val="(%2)"/>
      <w:numFmt w:val="lowerRoman"/>
      <w:start w:val="1"/>
    </w:lvl>
  </w:abstractNum>
  <w:abstractNum w:abstractNumId="140">
    <w:nsid w:val="3F06ECB2"/>
    <w:multiLevelType w:val="hybridMultilevel"/>
    <w:lvl w:ilvl="0">
      <w:lvlJc w:val="left"/>
      <w:lvlText w:val="%1"/>
      <w:numFmt w:val="lowerLetter"/>
      <w:start w:val="1"/>
    </w:lvl>
    <w:lvl w:ilvl="1">
      <w:lvlJc w:val="left"/>
      <w:lvlText w:val="(%2)"/>
      <w:numFmt w:val="lowerRoman"/>
      <w:start w:val="4"/>
    </w:lvl>
  </w:abstractNum>
  <w:abstractNum w:abstractNumId="141">
    <w:nsid w:val="3B594807"/>
    <w:multiLevelType w:val="hybridMultilevel"/>
    <w:lvl w:ilvl="0">
      <w:lvlJc w:val="left"/>
      <w:lvlText w:val="(%1)"/>
      <w:numFmt w:val="lowerLetter"/>
      <w:start w:val="3"/>
    </w:lvl>
    <w:lvl w:ilvl="1">
      <w:lvlJc w:val="left"/>
      <w:lvlText w:val="%2"/>
      <w:numFmt w:val="lowerRoman"/>
      <w:start w:val="1"/>
    </w:lvl>
  </w:abstractNum>
  <w:abstractNum w:abstractNumId="142">
    <w:nsid w:val="6CAA2304"/>
    <w:multiLevelType w:val="hybridMultilevel"/>
    <w:lvl w:ilvl="0">
      <w:lvlJc w:val="left"/>
      <w:lvlText w:val="(%1)"/>
      <w:numFmt w:val="lowerLetter"/>
      <w:start w:val="1"/>
    </w:lvl>
  </w:abstractNum>
  <w:abstractNum w:abstractNumId="143">
    <w:nsid w:val="3F7C2FF4"/>
    <w:multiLevelType w:val="hybridMultilevel"/>
    <w:lvl w:ilvl="0">
      <w:lvlJc w:val="left"/>
      <w:lvlText w:val="(%1)"/>
      <w:numFmt w:val="lowerLetter"/>
      <w:start w:val="1"/>
    </w:lvl>
  </w:abstractNum>
  <w:abstractNum w:abstractNumId="144">
    <w:nsid w:val="25413BEC"/>
    <w:multiLevelType w:val="hybridMultilevel"/>
    <w:lvl w:ilvl="0">
      <w:lvlJc w:val="left"/>
      <w:lvlText w:val="(%1)"/>
      <w:numFmt w:val="lowerLetter"/>
      <w:start w:val="5"/>
    </w:lvl>
  </w:abstractNum>
  <w:abstractNum w:abstractNumId="145">
    <w:nsid w:val="17180B0B"/>
    <w:multiLevelType w:val="hybridMultilevel"/>
    <w:lvl w:ilvl="0">
      <w:lvlJc w:val="left"/>
      <w:lvlText w:val="(%1)"/>
      <w:numFmt w:val="lowerLetter"/>
      <w:start w:val="1"/>
    </w:lvl>
  </w:abstractNum>
  <w:abstractNum w:abstractNumId="146">
    <w:nsid w:val="579328B9"/>
    <w:multiLevelType w:val="hybridMultilevel"/>
    <w:lvl w:ilvl="0">
      <w:lvlJc w:val="left"/>
      <w:lvlText w:val="(%1)"/>
      <w:numFmt w:val="lowerRoman"/>
      <w:start w:val="1"/>
    </w:lvl>
  </w:abstractNum>
  <w:abstractNum w:abstractNumId="147">
    <w:nsid w:val="5D205E20"/>
    <w:multiLevelType w:val="hybridMultilevel"/>
    <w:lvl w:ilvl="0">
      <w:lvlJc w:val="left"/>
      <w:lvlText w:val="(%1)"/>
      <w:numFmt w:val="lowerLetter"/>
      <w:start w:val="2"/>
    </w:lvl>
  </w:abstractNum>
  <w:abstractNum w:abstractNumId="148">
    <w:nsid w:val="11CCA8BA"/>
    <w:multiLevelType w:val="hybridMultilevel"/>
    <w:lvl w:ilvl="0">
      <w:lvlJc w:val="left"/>
      <w:lvlText w:val="(%1)"/>
      <w:numFmt w:val="lowerLetter"/>
      <w:start w:val="3"/>
    </w:lvl>
  </w:abstractNum>
  <w:abstractNum w:abstractNumId="149">
    <w:nsid w:val="4D32AB86"/>
    <w:multiLevelType w:val="hybridMultilevel"/>
    <w:lvl w:ilvl="0">
      <w:lvlJc w:val="left"/>
      <w:lvlText w:val="(%1)"/>
      <w:numFmt w:val="lowerLetter"/>
      <w:start w:val="4"/>
    </w:lvl>
  </w:abstractNum>
  <w:abstractNum w:abstractNumId="150">
    <w:nsid w:val="3F07ACC3"/>
    <w:multiLevelType w:val="hybridMultilevel"/>
    <w:lvl w:ilvl="0">
      <w:lvlJc w:val="left"/>
      <w:lvlText w:val="(%1)"/>
      <w:numFmt w:val="lowerLetter"/>
      <w:start w:val="1"/>
    </w:lvl>
  </w:abstractNum>
  <w:abstractNum w:abstractNumId="151">
    <w:nsid w:val="6B47F63E"/>
    <w:multiLevelType w:val="hybridMultilevel"/>
    <w:lvl w:ilvl="0">
      <w:lvlJc w:val="left"/>
      <w:lvlText w:val="(%1)"/>
      <w:numFmt w:val="lowerLetter"/>
      <w:start w:val="2"/>
    </w:lvl>
  </w:abstractNum>
  <w:abstractNum w:abstractNumId="152">
    <w:nsid w:val="5CB44A05"/>
    <w:multiLevelType w:val="hybridMultilevel"/>
    <w:lvl w:ilvl="0">
      <w:lvlJc w:val="left"/>
      <w:lvlText w:val="(%1)"/>
      <w:numFmt w:val="lowerLetter"/>
      <w:start w:val="4"/>
    </w:lvl>
  </w:abstractNum>
  <w:abstractNum w:abstractNumId="153">
    <w:nsid w:val="16CF80F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54">
    <w:nsid w:val="1C695DEC"/>
    <w:multiLevelType w:val="hybridMultilevel"/>
    <w:lvl w:ilvl="0">
      <w:lvlJc w:val="left"/>
      <w:lvlText w:val="(%1)"/>
      <w:numFmt w:val="lowerLetter"/>
      <w:start w:val="6"/>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155">
    <w:nsid w:val="3FCFAED9"/>
    <w:multiLevelType w:val="hybridMultilevel"/>
    <w:lvl w:ilvl="0">
      <w:lvlJc w:val="left"/>
      <w:lvlText w:val="(%1)"/>
      <w:numFmt w:val="lowerRoman"/>
      <w:start w:val="2"/>
    </w:lvl>
    <w:lvl w:ilvl="1">
      <w:lvlJc w:val="left"/>
      <w:lvlText w:val="(%2)"/>
      <w:numFmt w:val="upperLetter"/>
      <w:start w:val="1"/>
    </w:lvl>
  </w:abstractNum>
  <w:abstractNum w:abstractNumId="156">
    <w:nsid w:val="F856867"/>
    <w:multiLevelType w:val="hybridMultilevel"/>
    <w:lvl w:ilvl="0">
      <w:lvlJc w:val="left"/>
      <w:lvlText w:val="(%1)"/>
      <w:numFmt w:val="lowerRoman"/>
      <w:start w:val="6"/>
    </w:lvl>
  </w:abstractNum>
  <w:abstractNum w:abstractNumId="157">
    <w:nsid w:val="11B1CC33"/>
    <w:multiLevelType w:val="hybridMultilevel"/>
    <w:lvl w:ilvl="0">
      <w:lvlJc w:val="left"/>
      <w:lvlText w:val="(%1)"/>
      <w:numFmt w:val="lowerLetter"/>
      <w:start w:val="3"/>
    </w:lvl>
  </w:abstractNum>
  <w:abstractNum w:abstractNumId="158">
    <w:nsid w:val="2E22FBB7"/>
    <w:multiLevelType w:val="hybridMultilevel"/>
    <w:lvl w:ilvl="0">
      <w:lvlJc w:val="left"/>
      <w:lvlText w:val="%1"/>
      <w:numFmt w:val="lowerLetter"/>
      <w:start w:val="1"/>
    </w:lvl>
    <w:lvl w:ilvl="1">
      <w:lvlJc w:val="left"/>
      <w:lvlText w:val="(%2)"/>
      <w:numFmt w:val="lowerLetter"/>
      <w:start w:val="4"/>
    </w:lvl>
  </w:abstractNum>
  <w:abstractNum w:abstractNumId="159">
    <w:nsid w:val="29934699"/>
    <w:multiLevelType w:val="hybridMultilevel"/>
    <w:lvl w:ilvl="0">
      <w:lvlJc w:val="left"/>
      <w:lvlText w:val="(%1)"/>
      <w:numFmt w:val="lowerLetter"/>
      <w:start w:val="61"/>
    </w:lvl>
    <w:lvl w:ilvl="1">
      <w:lvlJc w:val="left"/>
      <w:lvlText w:val="%2"/>
      <w:numFmt w:val="lowerLetter"/>
      <w:start w:val="1"/>
    </w:lvl>
  </w:abstractNum>
  <w:abstractNum w:abstractNumId="160">
    <w:nsid w:val="77485850"/>
    <w:multiLevelType w:val="hybridMultilevel"/>
    <w:lvl w:ilvl="0">
      <w:lvlJc w:val="left"/>
      <w:lvlText w:val="(%1)"/>
      <w:numFmt w:val="lowerLetter"/>
      <w:start w:val="5"/>
    </w:lvl>
  </w:abstractNum>
  <w:abstractNum w:abstractNumId="161">
    <w:nsid w:val="744939A3"/>
    <w:multiLevelType w:val="hybridMultilevel"/>
    <w:lvl w:ilvl="0">
      <w:lvlJc w:val="left"/>
      <w:lvlText w:val="(%1)"/>
      <w:numFmt w:val="lowerRoman"/>
      <w:start w:val="2"/>
    </w:lvl>
  </w:abstractNum>
  <w:abstractNum w:abstractNumId="162">
    <w:nsid w:val="4FA0D2E3"/>
    <w:multiLevelType w:val="hybridMultilevel"/>
    <w:lvl w:ilvl="0">
      <w:lvlJc w:val="left"/>
      <w:lvlText w:val="(%1)"/>
      <w:numFmt w:val="lowerLetter"/>
      <w:start w:val="1"/>
    </w:lvl>
  </w:abstractNum>
  <w:abstractNum w:abstractNumId="163">
    <w:nsid w:val="6B1D2C14"/>
    <w:multiLevelType w:val="hybridMultilevel"/>
    <w:lvl w:ilvl="0">
      <w:lvlJc w:val="left"/>
      <w:lvlText w:val="(%1)"/>
      <w:numFmt w:val="lowerLetter"/>
      <w:start w:val="3"/>
    </w:lvl>
  </w:abstractNum>
  <w:abstractNum w:abstractNumId="164">
    <w:nsid w:val="68B867D3"/>
    <w:multiLevelType w:val="hybridMultilevel"/>
    <w:lvl w:ilvl="0">
      <w:lvlJc w:val="left"/>
      <w:lvlText w:val="(%1)"/>
      <w:numFmt w:val="lowerLetter"/>
      <w:start w:val="1"/>
    </w:lvl>
  </w:abstractNum>
  <w:abstractNum w:abstractNumId="165">
    <w:nsid w:val="3F7F5DD9"/>
    <w:multiLevelType w:val="hybridMultilevel"/>
    <w:lvl w:ilvl="0">
      <w:lvlJc w:val="left"/>
      <w:lvlText w:val="(%1)"/>
      <w:numFmt w:val="lowerLetter"/>
      <w:start w:val="3"/>
    </w:lvl>
  </w:abstractNum>
  <w:abstractNum w:abstractNumId="166">
    <w:nsid w:val="2AE05A34"/>
    <w:multiLevelType w:val="hybridMultilevel"/>
    <w:lvl w:ilvl="0">
      <w:lvlJc w:val="left"/>
      <w:lvlText w:val="(%1)"/>
      <w:numFmt w:val="upperLetter"/>
      <w:start w:val="2"/>
    </w:lvl>
  </w:abstractNum>
  <w:abstractNum w:abstractNumId="167">
    <w:nsid w:val="32794FF7"/>
    <w:multiLevelType w:val="hybridMultilevel"/>
    <w:lvl w:ilvl="0">
      <w:lvlJc w:val="left"/>
      <w:lvlText w:val="(%1)"/>
      <w:numFmt w:val="lowerLetter"/>
      <w:start w:val="1"/>
    </w:lvl>
  </w:abstractNum>
  <w:abstractNum w:abstractNumId="168">
    <w:nsid w:val="5454945E"/>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2019-12-28T21:25:41Z</dcterms:created>
  <dcterms:modified xsi:type="dcterms:W3CDTF">2019-12-28T21:25:41Z</dcterms:modified>
</cp:coreProperties>
</file>