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6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Ramstad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VP, HR and Bus. Development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769"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69"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12/04/2014</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8,065</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11,632.029</w:t>
            </w:r>
            <w:r>
              <w:rPr>
                <w:rFonts w:ascii="Arial" w:cs="Arial" w:eastAsia="Arial" w:hAnsi="Arial"/>
                <w:sz w:val="22"/>
                <w:szCs w:val="22"/>
                <w:color w:val="008000"/>
                <w:w w:val="83"/>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12/04/2014</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52"/>
              <w:spacing w:after="0"/>
              <w:rPr>
                <w:sz w:val="20"/>
                <w:szCs w:val="20"/>
                <w:color w:val="auto"/>
              </w:rPr>
            </w:pPr>
            <w:r>
              <w:rPr>
                <w:rFonts w:ascii="Arial" w:cs="Arial" w:eastAsia="Arial" w:hAnsi="Arial"/>
                <w:sz w:val="18"/>
                <w:szCs w:val="18"/>
                <w:color w:val="0000FF"/>
              </w:rPr>
              <w:t>2,710</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64.97</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8,922.029</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697.553</w:t>
            </w:r>
            <w:r>
              <w:rPr>
                <w:rFonts w:ascii="Arial" w:cs="Arial" w:eastAsia="Arial" w:hAnsi="Arial"/>
                <w:sz w:val="22"/>
                <w:szCs w:val="22"/>
                <w:color w:val="008000"/>
                <w:w w:val="84"/>
                <w:vertAlign w:val="superscript"/>
              </w:rPr>
              <w:t>(3)</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35,082.798</w:t>
            </w:r>
            <w:r>
              <w:rPr>
                <w:rFonts w:ascii="Arial" w:cs="Arial" w:eastAsia="Arial" w:hAnsi="Arial"/>
                <w:sz w:val="22"/>
                <w:szCs w:val="22"/>
                <w:color w:val="008000"/>
                <w:w w:val="85"/>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12/05/2014</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color w:val="0000FF"/>
              </w:rPr>
              <w:t>9,300</w:t>
            </w:r>
          </w:p>
        </w:tc>
        <w:tc>
          <w:tcPr>
            <w:tcW w:w="300" w:type="dxa"/>
            <w:vAlign w:val="bottom"/>
          </w:tcPr>
          <w:p>
            <w:pPr>
              <w:spacing w:after="0"/>
              <w:rPr>
                <w:sz w:val="12"/>
                <w:szCs w:val="12"/>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60"/>
              <w:spacing w:after="0"/>
              <w:rPr>
                <w:sz w:val="20"/>
                <w:szCs w:val="20"/>
                <w:color w:val="auto"/>
              </w:rPr>
            </w:pPr>
            <w:r>
              <w:rPr>
                <w:rFonts w:ascii="Arial" w:cs="Arial" w:eastAsia="Arial" w:hAnsi="Arial"/>
                <w:sz w:val="14"/>
                <w:szCs w:val="14"/>
                <w:color w:val="0000FF"/>
                <w:w w:val="94"/>
              </w:rPr>
              <w:t>12/05/2024</w:t>
            </w: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w w:val="98"/>
              </w:rPr>
              <w:t>Common</w:t>
            </w:r>
          </w:p>
        </w:tc>
        <w:tc>
          <w:tcPr>
            <w:tcW w:w="600" w:type="dxa"/>
            <w:vAlign w:val="bottom"/>
            <w:vMerge w:val="restart"/>
          </w:tcPr>
          <w:p>
            <w:pPr>
              <w:ind w:left="100"/>
              <w:spacing w:after="0"/>
              <w:rPr>
                <w:sz w:val="20"/>
                <w:szCs w:val="20"/>
                <w:color w:val="auto"/>
              </w:rPr>
            </w:pPr>
            <w:r>
              <w:rPr>
                <w:rFonts w:ascii="Arial" w:cs="Arial" w:eastAsia="Arial" w:hAnsi="Arial"/>
                <w:sz w:val="18"/>
                <w:szCs w:val="18"/>
                <w:color w:val="0000FF"/>
              </w:rPr>
              <w:t>9,300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9,300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0000FF"/>
                <w:w w:val="91"/>
              </w:rPr>
              <w:t>Stock</w:t>
            </w:r>
          </w:p>
        </w:tc>
        <w:tc>
          <w:tcPr>
            <w:tcW w:w="6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2012 to Fiscal 2014 Performance Period under The Toro Company 2010 Equity and Incentive Plan, as amended (the "2010 Plan"), as approved by the registrant's Compensation &amp; Human Resources Committee of its Board of Directors on December 2, 2014, and which was conditioned upon and subject to confirmation by the registrant's Fiscal 2014 financial results that were released on December 4, 2014. Performance Share Awards are paid in shares of common stock under the 2010 Plan.</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46.214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8.733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453.932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12/08/2014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2019-12-17T02:53:25Z</dcterms:created>
  <dcterms:modified xsi:type="dcterms:W3CDTF">2019-12-17T02:53:25Z</dcterms:modified>
</cp:coreProperties>
</file>