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29, 2011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August 26, 2011 was 30,662,565.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640" w:type="dxa"/>
            <w:vAlign w:val="bottom"/>
          </w:tcPr>
          <w:p>
            <w:pPr>
              <w:spacing w:after="0"/>
              <w:rPr>
                <w:sz w:val="24"/>
                <w:szCs w:val="24"/>
                <w:color w:val="auto"/>
              </w:rPr>
            </w:pPr>
          </w:p>
        </w:tc>
        <w:tc>
          <w:tcPr>
            <w:tcW w:w="912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1020" w:type="dxa"/>
            <w:vAlign w:val="bottom"/>
          </w:tcPr>
          <w:p>
            <w:pPr>
              <w:spacing w:after="0"/>
              <w:rPr>
                <w:sz w:val="24"/>
                <w:szCs w:val="24"/>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640" w:type="dxa"/>
            <w:vAlign w:val="bottom"/>
          </w:tcPr>
          <w:p>
            <w:pPr>
              <w:spacing w:after="0"/>
              <w:rPr>
                <w:sz w:val="24"/>
                <w:szCs w:val="24"/>
                <w:color w:val="auto"/>
              </w:rPr>
            </w:pPr>
          </w:p>
        </w:tc>
        <w:tc>
          <w:tcPr>
            <w:tcW w:w="2440" w:type="dxa"/>
            <w:vAlign w:val="bottom"/>
            <w:tcBorders>
              <w:top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Financial Statements (Unaudited)</w:t>
              </w:r>
            </w:hyperlink>
          </w:p>
        </w:tc>
        <w:tc>
          <w:tcPr>
            <w:tcW w:w="6680" w:type="dxa"/>
            <w:vAlign w:val="bottom"/>
            <w:gridSpan w:val="7"/>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Statements of Earnings — Three and Nine Months Ended July 29, 2011 and July 30, 2010</w:t>
              </w:r>
            </w:hyperlink>
          </w:p>
        </w:tc>
        <w:tc>
          <w:tcPr>
            <w:tcW w:w="6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4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 July 29, 2011, July 30, 2010, and October 31, 2010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 Nine Months Ended July 29, 2011 and July 30, 2010</w:t>
              </w:r>
            </w:hyperlink>
          </w:p>
        </w:tc>
        <w:tc>
          <w:tcPr>
            <w:tcW w:w="11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Notes to Condensed Consolidated Financial Statements</w:t>
              </w:r>
            </w:hyperlink>
          </w:p>
        </w:tc>
        <w:tc>
          <w:tcPr>
            <w:tcW w:w="494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412"/>
        </w:trPr>
        <w:tc>
          <w:tcPr>
            <w:tcW w:w="1280" w:type="dxa"/>
            <w:vAlign w:val="bottom"/>
            <w:gridSpan w:val="3"/>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180" w:type="dxa"/>
            <w:vAlign w:val="bottom"/>
          </w:tcPr>
          <w:p>
            <w:pPr>
              <w:spacing w:after="0"/>
              <w:rPr>
                <w:sz w:val="24"/>
                <w:szCs w:val="24"/>
                <w:color w:val="auto"/>
              </w:rPr>
            </w:pPr>
          </w:p>
        </w:tc>
        <w:tc>
          <w:tcPr>
            <w:tcW w:w="894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280" w:type="dxa"/>
            <w:vAlign w:val="bottom"/>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3.</w:t>
              </w:r>
            </w:hyperlink>
          </w:p>
        </w:tc>
        <w:tc>
          <w:tcPr>
            <w:tcW w:w="180" w:type="dxa"/>
            <w:vAlign w:val="bottom"/>
          </w:tcPr>
          <w:p>
            <w:pPr>
              <w:spacing w:after="0"/>
              <w:rPr>
                <w:sz w:val="24"/>
                <w:szCs w:val="24"/>
                <w:color w:val="auto"/>
              </w:rPr>
            </w:pPr>
          </w:p>
        </w:tc>
        <w:tc>
          <w:tcPr>
            <w:tcW w:w="894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280" w:type="dxa"/>
            <w:vAlign w:val="bottom"/>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180" w:type="dxa"/>
            <w:vAlign w:val="bottom"/>
          </w:tcPr>
          <w:p>
            <w:pPr>
              <w:spacing w:after="0"/>
              <w:rPr>
                <w:sz w:val="24"/>
                <w:szCs w:val="24"/>
                <w:color w:val="auto"/>
              </w:rPr>
            </w:pPr>
          </w:p>
        </w:tc>
        <w:tc>
          <w:tcPr>
            <w:tcW w:w="894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4520" w:type="dxa"/>
            <w:vAlign w:val="bottom"/>
            <w:gridSpan w:val="7"/>
          </w:tcPr>
          <w:p>
            <w:pPr>
              <w:jc w:val="right"/>
              <w:ind w:right="244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5660" w:type="dxa"/>
            <w:vAlign w:val="bottom"/>
          </w:tcPr>
          <w:p>
            <w:pPr>
              <w:spacing w:after="0"/>
              <w:rPr>
                <w:sz w:val="17"/>
                <w:szCs w:val="17"/>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5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2440" w:type="dxa"/>
            <w:vAlign w:val="bottom"/>
          </w:tcPr>
          <w:p>
            <w:pPr>
              <w:spacing w:after="0"/>
              <w:rPr>
                <w:sz w:val="24"/>
                <w:szCs w:val="24"/>
                <w:color w:val="auto"/>
              </w:rPr>
            </w:pPr>
          </w:p>
        </w:tc>
        <w:tc>
          <w:tcPr>
            <w:tcW w:w="5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w w:val="94"/>
              </w:rPr>
            </w:pPr>
            <w:hyperlink w:anchor="page19">
              <w:r>
                <w:rPr>
                  <w:rFonts w:ascii="Arial" w:cs="Arial" w:eastAsia="Arial" w:hAnsi="Arial"/>
                  <w:sz w:val="18"/>
                  <w:szCs w:val="18"/>
                  <w:b w:val="1"/>
                  <w:bCs w:val="1"/>
                  <w:color w:val="0000EE"/>
                  <w:w w:val="94"/>
                </w:rPr>
                <w:t>Item 1A.</w:t>
              </w:r>
            </w:hyperlink>
          </w:p>
        </w:tc>
        <w:tc>
          <w:tcPr>
            <w:tcW w:w="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6"/>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5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128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180" w:type="dxa"/>
            <w:vAlign w:val="bottom"/>
          </w:tcPr>
          <w:p>
            <w:pPr>
              <w:spacing w:after="0"/>
              <w:rPr>
                <w:sz w:val="24"/>
                <w:szCs w:val="24"/>
                <w:color w:val="auto"/>
              </w:rPr>
            </w:pPr>
          </w:p>
        </w:tc>
        <w:tc>
          <w:tcPr>
            <w:tcW w:w="4340" w:type="dxa"/>
            <w:vAlign w:val="bottom"/>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566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Signatures</w:t>
              </w:r>
            </w:hyperlink>
          </w:p>
        </w:tc>
        <w:tc>
          <w:tcPr>
            <w:tcW w:w="3580" w:type="dxa"/>
            <w:vAlign w:val="bottom"/>
            <w:gridSpan w:val="4"/>
          </w:tcPr>
          <w:p>
            <w:pPr>
              <w:spacing w:after="0"/>
              <w:rPr>
                <w:sz w:val="24"/>
                <w:szCs w:val="24"/>
                <w:color w:val="auto"/>
              </w:rPr>
            </w:pPr>
          </w:p>
        </w:tc>
        <w:tc>
          <w:tcPr>
            <w:tcW w:w="5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7"/>
          </w:tcPr>
          <w:p>
            <w:pPr>
              <w:jc w:val="right"/>
              <w:ind w:right="40"/>
              <w:spacing w:after="0"/>
              <w:rPr>
                <w:sz w:val="20"/>
                <w:szCs w:val="20"/>
                <w:color w:val="auto"/>
              </w:rPr>
            </w:pPr>
            <w:r>
              <w:rPr>
                <w:rFonts w:ascii="Arial" w:cs="Arial" w:eastAsia="Arial" w:hAnsi="Arial"/>
                <w:sz w:val="18"/>
                <w:szCs w:val="18"/>
                <w:color w:val="auto"/>
              </w:rPr>
              <w:t>2</w:t>
            </w:r>
          </w:p>
        </w:tc>
        <w:tc>
          <w:tcPr>
            <w:tcW w:w="566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5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July 29,</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501,045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1,515,858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333,384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297,257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997,998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887,631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517,860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112,937</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107,824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342,580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175,280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(4,294)</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(12,596)</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52,291</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167,244</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17,200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54,621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35,091</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112,623</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8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8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31,176</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32,464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31,491</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31,739</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32,972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32,062</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33,819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w:t>
            </w: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30,</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118,113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163,379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199,012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170,096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232,362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177,195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20,256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59,908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56,847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629,651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579,819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642,642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576,645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454,994</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408,642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420,663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20,424</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18,001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92,046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86,484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36,813</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23,666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22,962</w:t>
            </w:r>
          </w:p>
        </w:tc>
        <w:tc>
          <w:tcPr>
            <w:tcW w:w="0" w:type="dxa"/>
            <w:vAlign w:val="bottom"/>
          </w:tcPr>
          <w:p>
            <w:pPr>
              <w:spacing w:after="0"/>
              <w:rPr>
                <w:sz w:val="1"/>
                <w:szCs w:val="1"/>
                <w:color w:val="auto"/>
              </w:rPr>
            </w:pPr>
          </w:p>
        </w:tc>
      </w:tr>
      <w:tr>
        <w:trPr>
          <w:trHeight w:val="77"/>
        </w:trPr>
        <w:tc>
          <w:tcPr>
            <w:tcW w:w="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59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110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11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967,547</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879,652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2,728</w:t>
            </w:r>
          </w:p>
        </w:tc>
        <w:tc>
          <w:tcPr>
            <w:tcW w:w="420" w:type="dxa"/>
            <w:vAlign w:val="bottom"/>
            <w:tcBorders>
              <w:top w:val="single" w:sz="8" w:color="CCEEFF"/>
            </w:tcBorders>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3,205</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1,970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126,688</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118,009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125,138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268,200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243,743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397,669</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365,694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225,162</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224,313</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223,578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10,776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10,332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7,560</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7,680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Preferred stock, par value $1.00 per share, authorized 1,000,000 voting and 850,000</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non-voting shares, none issued and outstanding</w:t>
            </w:r>
          </w:p>
        </w:tc>
        <w:tc>
          <w:tcPr>
            <w:tcW w:w="4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Common stock, par value $1.00 per share, authorized 100,000,000 shares, issued and</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outstanding 30,641,707 shares as of July 29, 2011, 31,310,103 shares as of</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July 30, 2010, and 31,394,942 shares as of October 31, 2010</w:t>
            </w:r>
          </w:p>
        </w:tc>
        <w:tc>
          <w:tcPr>
            <w:tcW w:w="4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30,642</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31,310</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31,395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297,590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251,812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(1,852)</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(11,489)</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326,380</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271,633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967,547</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879,652</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1"/>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112,623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Equity income from affiliates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(4,433)</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impairment losses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34,251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(53,335)</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(8,994)</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21,190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72,469</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(investments in) finance affiliate,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 net of costs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12,309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(71,216)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(18,894)</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changes on cash</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(59,253)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177,366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spacing w:after="0"/>
        <w:tabs>
          <w:tab w:leader="none" w:pos="8280" w:val="left"/>
          <w:tab w:leader="none" w:pos="9260" w:val="left"/>
          <w:tab w:leader="none" w:pos="9940" w:val="left"/>
          <w:tab w:leader="none" w:pos="11020" w:val="left"/>
        </w:tabs>
        <w:rPr>
          <w:sz w:val="20"/>
          <w:szCs w:val="20"/>
          <w:color w:val="auto"/>
        </w:rPr>
      </w:pPr>
      <w:r>
        <w:rPr>
          <w:rFonts w:ascii="Arial" w:cs="Arial" w:eastAsia="Arial" w:hAnsi="Arial"/>
          <w:sz w:val="18"/>
          <w:szCs w:val="18"/>
          <w:color w:val="auto"/>
        </w:rPr>
        <w:t>Long-term debt issued in connection with acquisitions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3,515</w:t>
        <w:tab/>
        <w:t>$</w:t>
      </w:r>
      <w:r>
        <w:rPr>
          <w:sz w:val="20"/>
          <w:szCs w:val="20"/>
          <w:color w:val="auto"/>
        </w:rPr>
        <w:tab/>
      </w:r>
      <w:r>
        <w:rPr>
          <w:rFonts w:ascii="Arial" w:cs="Arial" w:eastAsia="Arial" w:hAnsi="Arial"/>
          <w:sz w:val="16"/>
          <w:szCs w:val="16"/>
          <w:color w:val="auto"/>
        </w:rPr>
        <w:t>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July 29, 2011 cannot be annualized to determine the expected results for the fiscal year ending October 31, 2011. Additional factors that could cause the company’s actual results to differ materially from its expected results, including any forward-looking statements made in this report, are described in the company’s most recently filed Annual Report on Form 10-K (Item 1A. Risk Factors) and later in this report under Item 2, Management’s Discussion and Analysis of Financial Condition and Results of Operations — Forward-Looking Information.</w:t>
      </w:r>
    </w:p>
    <w:p>
      <w:pPr>
        <w:spacing w:after="0" w:line="182"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320" w:firstLine="272"/>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2010.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affect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the company’s Annual Report on Form 10-K (Item 1A. Risk Factors) for the fiscal year ended October 31, 2010, which include, among others, economic conditions, including consumer spending and confidence levels; foreign currency exchange rate impact; commodity costs; and credit conditions,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will be reflected in the consolidated financial statements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24, 2011, during the third quarter of fiscal 2011, the company completed the acquisition of certain assets of, and assumed certain liabilities from, Lawn Solutions Commercial Products, Inc. (“Lawn Solutions”), a leading manufacturer of turf renovation equipment, such as aerators, seeders, power rakes, and brush cutters, for the landscape, rental, municipal and golf markets. The purchase price included a cash payment, the issuance of a long-term note, and an estimated earnout consideration. The earnout consideration is based on annual financial results over certain thresholds as defined in the acquisition agreement from fiscal 2011 through fiscal 2015.</w:t>
      </w:r>
    </w:p>
    <w:p>
      <w:pPr>
        <w:spacing w:after="0" w:line="188"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On January 17, 2011, during the first quarter of fiscal 2011, the company completed the acquisition of a majority of the assets of, and assumed certain liabilities from, Unique Lighting Systems, Inc. (“Unique Lighting”), a leading manufacturer of professionally installed landscape lighting fixtures and transformers for residential and commercial use. The purchase price was $19.1 million, which included a cash payment, the issuance of a long-term note, and an estimated earnout consideration.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earnout is based on annual financial results over certain thresholds as defined in the acquisition agreement from fiscal 2011 through fiscal 2016.</w:t>
      </w:r>
    </w:p>
    <w:p>
      <w:pPr>
        <w:spacing w:after="0" w:line="237"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Additional purchase accounting disclosures have been omitted given the immateriality of these acquisitions as compared to the company’s consolidated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ectPr>
          <w:pgSz w:w="11900" w:h="16838" w:orient="portrait"/>
          <w:cols w:equalWidth="0" w:num="1">
            <w:col w:w="11400"/>
          </w:cols>
          <w:pgMar w:left="240" w:top="341" w:right="259" w:bottom="0" w:gutter="0" w:footer="0" w:header="0"/>
        </w:sectPr>
      </w:pPr>
    </w:p>
    <w:bookmarkStart w:id="4" w:name="page5"/>
    <w:bookmarkEnd w:id="4"/>
    <w:p>
      <w:pPr>
        <w:spacing w:after="0" w:line="65"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July 29,</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76"/>
              <w:spacing w:after="0" w:line="119" w:lineRule="exact"/>
              <w:rPr>
                <w:sz w:val="20"/>
                <w:szCs w:val="20"/>
                <w:color w:val="auto"/>
              </w:rPr>
            </w:pPr>
            <w:r>
              <w:rPr>
                <w:rFonts w:ascii="Arial" w:cs="Arial" w:eastAsia="Arial" w:hAnsi="Arial"/>
                <w:sz w:val="13"/>
                <w:szCs w:val="13"/>
                <w:b w:val="1"/>
                <w:bCs w:val="1"/>
                <w:color w:val="auto"/>
              </w:rPr>
              <w:t>July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56"/>
              <w:spacing w:after="0" w:line="119" w:lineRule="exact"/>
              <w:rPr>
                <w:sz w:val="20"/>
                <w:szCs w:val="20"/>
                <w:color w:val="auto"/>
              </w:rPr>
            </w:pPr>
            <w:r>
              <w:rPr>
                <w:rFonts w:ascii="Arial" w:cs="Arial" w:eastAsia="Arial" w:hAnsi="Arial"/>
                <w:sz w:val="13"/>
                <w:szCs w:val="13"/>
                <w:b w:val="1"/>
                <w:bCs w:val="1"/>
                <w:color w:val="auto"/>
              </w:rPr>
              <w:t>July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Pension liability adjustment, net of tax</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Unrealized gain on derivative instruments, net of</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w:t>
            </w:r>
          </w:p>
        </w:tc>
        <w:tc>
          <w:tcPr>
            <w:tcW w:w="3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119,833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the company’s equity-based compensation plan, option awards are granted with an exercise price equal to the closing price of the company’s common stock on the date of grant, as reported by the New York Stock Exchange. Options are generally granted to non-employee directors, officers, and other key employees on an annual basis in the first quarter of the company’s fiscal year. Option awards generally vest one-third each year over a three-year period and have a ten-year term. Other option awards granted to certain key employees vest in full on the three-year anniversary of the date of grant and have a ten-year term. Compensation expense equal to the grant date fair value is generally recognized for these awards over the vesting period. However, if a non-employee director has served on the company’s Board of Directors for ten full fiscal years or longer, the fair value of the options granted is fully expensed on the date of the grant. Similarly, options granted to officers and other key employees are also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 to continue to vest following retirement.</w:t>
      </w:r>
    </w:p>
    <w:p>
      <w:pPr>
        <w:spacing w:after="0" w:line="16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040" w:type="dxa"/>
            <w:vAlign w:val="bottom"/>
            <w:gridSpan w:val="3"/>
          </w:tcPr>
          <w:p>
            <w:pPr>
              <w:ind w:left="1000"/>
              <w:spacing w:after="0"/>
              <w:rPr>
                <w:sz w:val="20"/>
                <w:szCs w:val="20"/>
                <w:color w:val="auto"/>
              </w:rPr>
            </w:pPr>
            <w:r>
              <w:rPr>
                <w:rFonts w:ascii="Arial" w:cs="Arial" w:eastAsia="Arial" w:hAnsi="Arial"/>
                <w:sz w:val="14"/>
                <w:szCs w:val="14"/>
                <w:b w:val="1"/>
                <w:bCs w:val="1"/>
                <w:color w:val="auto"/>
              </w:rPr>
              <w:t>Fiscal 2011</w:t>
            </w:r>
          </w:p>
        </w:tc>
        <w:tc>
          <w:tcPr>
            <w:tcW w:w="2660" w:type="dxa"/>
            <w:vAlign w:val="bottom"/>
            <w:gridSpan w:val="3"/>
          </w:tcPr>
          <w:p>
            <w:pPr>
              <w:ind w:left="900"/>
              <w:spacing w:after="0"/>
              <w:rPr>
                <w:sz w:val="20"/>
                <w:szCs w:val="20"/>
                <w:color w:val="auto"/>
              </w:rPr>
            </w:pPr>
            <w:r>
              <w:rPr>
                <w:rFonts w:ascii="Arial" w:cs="Arial" w:eastAsia="Arial" w:hAnsi="Arial"/>
                <w:sz w:val="14"/>
                <w:szCs w:val="14"/>
                <w:b w:val="1"/>
                <w:bCs w:val="1"/>
                <w:color w:val="auto"/>
              </w:rPr>
              <w:t>Fiscal 2010</w:t>
            </w:r>
          </w:p>
        </w:tc>
        <w:tc>
          <w:tcPr>
            <w:tcW w:w="1180" w:type="dxa"/>
            <w:vAlign w:val="bottom"/>
          </w:tcPr>
          <w:p>
            <w:pPr>
              <w:spacing w:after="0"/>
              <w:rPr>
                <w:sz w:val="14"/>
                <w:szCs w:val="14"/>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right="1190"/>
              <w:spacing w:after="0"/>
              <w:rPr>
                <w:sz w:val="20"/>
                <w:szCs w:val="20"/>
                <w:color w:val="auto"/>
              </w:rPr>
            </w:pPr>
            <w:r>
              <w:rPr>
                <w:rFonts w:ascii="Arial" w:cs="Arial" w:eastAsia="Arial" w:hAnsi="Arial"/>
                <w:sz w:val="18"/>
                <w:szCs w:val="18"/>
                <w:color w:val="auto"/>
                <w:w w:val="79"/>
              </w:rPr>
              <w:t>6</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1070"/>
              <w:spacing w:after="0"/>
              <w:rPr>
                <w:sz w:val="20"/>
                <w:szCs w:val="20"/>
                <w:color w:val="auto"/>
              </w:rPr>
            </w:pPr>
            <w:r>
              <w:rPr>
                <w:rFonts w:ascii="Arial" w:cs="Arial" w:eastAsia="Arial" w:hAnsi="Arial"/>
                <w:sz w:val="18"/>
                <w:szCs w:val="18"/>
                <w:color w:val="auto"/>
                <w:w w:val="99"/>
              </w:rPr>
              <w:t>6</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33.34%</w:t>
            </w:r>
          </w:p>
        </w:tc>
        <w:tc>
          <w:tcPr>
            <w:tcW w:w="1400" w:type="dxa"/>
            <w:vAlign w:val="bottom"/>
          </w:tcPr>
          <w:p>
            <w:pPr>
              <w:ind w:left="40"/>
              <w:spacing w:after="0"/>
              <w:rPr>
                <w:sz w:val="20"/>
                <w:szCs w:val="20"/>
                <w:color w:val="auto"/>
              </w:rPr>
            </w:pPr>
            <w:r>
              <w:rPr>
                <w:rFonts w:ascii="Arial" w:cs="Arial" w:eastAsia="Arial" w:hAnsi="Arial"/>
                <w:sz w:val="18"/>
                <w:szCs w:val="18"/>
                <w:color w:val="auto"/>
              </w:rPr>
              <w:t>- 33.43%</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33.00%</w:t>
            </w:r>
          </w:p>
        </w:tc>
        <w:tc>
          <w:tcPr>
            <w:tcW w:w="1300" w:type="dxa"/>
            <w:vAlign w:val="bottom"/>
          </w:tcPr>
          <w:p>
            <w:pPr>
              <w:ind w:left="40"/>
              <w:spacing w:after="0"/>
              <w:rPr>
                <w:sz w:val="20"/>
                <w:szCs w:val="20"/>
                <w:color w:val="auto"/>
              </w:rPr>
            </w:pPr>
            <w:r>
              <w:rPr>
                <w:rFonts w:ascii="Arial" w:cs="Arial" w:eastAsia="Arial" w:hAnsi="Arial"/>
                <w:sz w:val="18"/>
                <w:szCs w:val="18"/>
                <w:color w:val="auto"/>
              </w:rPr>
              <w:t>- 33.07%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33.42%</w:t>
            </w:r>
          </w:p>
        </w:tc>
        <w:tc>
          <w:tcPr>
            <w:tcW w:w="3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33.00%</w:t>
            </w: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1.72%</w:t>
            </w:r>
          </w:p>
        </w:tc>
        <w:tc>
          <w:tcPr>
            <w:tcW w:w="1400" w:type="dxa"/>
            <w:vAlign w:val="bottom"/>
          </w:tcPr>
          <w:p>
            <w:pPr>
              <w:ind w:left="40"/>
              <w:spacing w:after="0"/>
              <w:rPr>
                <w:sz w:val="20"/>
                <w:szCs w:val="20"/>
                <w:color w:val="auto"/>
              </w:rPr>
            </w:pPr>
            <w:r>
              <w:rPr>
                <w:rFonts w:ascii="Arial" w:cs="Arial" w:eastAsia="Arial" w:hAnsi="Arial"/>
                <w:sz w:val="18"/>
                <w:szCs w:val="18"/>
                <w:color w:val="auto"/>
              </w:rPr>
              <w:t>- 2.36%</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1300" w:type="dxa"/>
            <w:vAlign w:val="bottom"/>
          </w:tcPr>
          <w:p>
            <w:pPr>
              <w:ind w:left="40"/>
              <w:spacing w:after="0"/>
              <w:rPr>
                <w:sz w:val="20"/>
                <w:szCs w:val="20"/>
                <w:color w:val="auto"/>
              </w:rPr>
            </w:pPr>
            <w:r>
              <w:rPr>
                <w:rFonts w:ascii="Arial" w:cs="Arial" w:eastAsia="Arial" w:hAnsi="Arial"/>
                <w:sz w:val="18"/>
                <w:szCs w:val="18"/>
                <w:color w:val="auto"/>
              </w:rPr>
              <w:t>- 2.87%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- 1.16%</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- 1.68%</w:t>
            </w: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0"/>
              </w:rPr>
              <w:t>1.05%</w:t>
            </w:r>
          </w:p>
        </w:tc>
        <w:tc>
          <w:tcPr>
            <w:tcW w:w="36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color w:val="auto"/>
                <w:w w:val="90"/>
              </w:rPr>
              <w:t>1.54%</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weighted-average fair value</w:t>
            </w:r>
          </w:p>
        </w:tc>
        <w:tc>
          <w:tcPr>
            <w:tcW w:w="2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$20.30</w:t>
            </w:r>
          </w:p>
        </w:tc>
        <w:tc>
          <w:tcPr>
            <w:tcW w:w="3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$12.33</w:t>
            </w: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432"/>
        </w:trPr>
        <w:tc>
          <w:tcPr>
            <w:tcW w:w="458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2"/>
        </w:trPr>
        <w:tc>
          <w:tcPr>
            <w:tcW w:w="458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grants to officers and other key employees long-term performance share awards pursuant to which they are entitled to the right to receive shares of common stock or performance share units contingent on the achievement of performance goals of the company, which are generally measured over a three-year period. The number of shares of common stock or performance share units a participant receives will be increased (up to 200 percent of target levels) or reduced (down to zero) based on the level of achievement of performance goals and vest over a three-year period. Performance share awards are granted on an annual basis in the first quarter of the company’s fiscal year. Compensation expense is recognized for these awards on a straight-line basis over the vesting period based on the fair value as of the date of grant and the probability of achieving performance goals. The fair value of performance share awards granted during the first quarter of each of fiscal 2011 and 2010 was $63.52 per share and $40.73 per share,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first quarter of fiscal 2011, the company began granting restricted stock awards to certain non-officer employees. In the second quarter of fiscal 2011, the company granted restricted stock awards to two officer employees to help ensure a smooth transition in connection with the retirement of the company’s then chief financial officer. In the third quarter of fiscal 2011, the company granted restricted stock awards to certain non-officer employees as part of their annual merit increase. On August 22, 2011, the company also granted restricted stock awards as part of the offer to the new Vice President, Finance and Chief Financial Officer. Restricted stock awards generally vest one-third each year over a three-year period or vest in full on the three-year anniversary of the date of grant. Previously, the company granted limited restricted stock awards with varying vesting schedules. Compensation expense equal to the grant date fair value, which is equal to the closing price of the company’s common stock on the date of grant, is recognized for these awards over the vesting period. The weighted average fair value of restricted stock awards granted during the first nine months of fiscal 2011 was $61.23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06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gridSpan w:val="2"/>
          </w:tcPr>
          <w:p>
            <w:pPr>
              <w:ind w:lef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00" w:type="dxa"/>
            <w:vAlign w:val="bottom"/>
            <w:tcBorders>
              <w:top w:val="single" w:sz="8" w:color="auto"/>
            </w:tcBorders>
          </w:tcPr>
          <w:p>
            <w:pPr>
              <w:jc w:val="center"/>
              <w:ind w:right="50"/>
              <w:spacing w:after="0" w:line="119" w:lineRule="exact"/>
              <w:rPr>
                <w:sz w:val="20"/>
                <w:szCs w:val="20"/>
                <w:color w:val="auto"/>
              </w:rPr>
            </w:pPr>
            <w:r>
              <w:rPr>
                <w:rFonts w:ascii="Arial" w:cs="Arial" w:eastAsia="Arial" w:hAnsi="Arial"/>
                <w:sz w:val="13"/>
                <w:szCs w:val="13"/>
                <w:b w:val="1"/>
                <w:bCs w:val="1"/>
                <w:color w:val="auto"/>
              </w:rPr>
              <w:t>July 29,</w:t>
            </w:r>
          </w:p>
        </w:tc>
        <w:tc>
          <w:tcPr>
            <w:tcW w:w="1400" w:type="dxa"/>
            <w:vAlign w:val="bottom"/>
            <w:tcBorders>
              <w:top w:val="single" w:sz="8" w:color="auto"/>
            </w:tcBorders>
          </w:tcPr>
          <w:p>
            <w:pPr>
              <w:jc w:val="center"/>
              <w:ind w:left="51"/>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Pr>
          <w:p>
            <w:pPr>
              <w:spacing w:after="0"/>
              <w:rPr>
                <w:sz w:val="10"/>
                <w:szCs w:val="10"/>
                <w:color w:val="auto"/>
              </w:rPr>
            </w:pPr>
          </w:p>
        </w:tc>
        <w:tc>
          <w:tcPr>
            <w:tcW w:w="1400" w:type="dxa"/>
            <w:vAlign w:val="bottom"/>
            <w:tcBorders>
              <w:top w:val="single" w:sz="8" w:color="auto"/>
            </w:tcBorders>
          </w:tcPr>
          <w:p>
            <w:pPr>
              <w:jc w:val="center"/>
              <w:ind w:right="50"/>
              <w:spacing w:after="0" w:line="119" w:lineRule="exact"/>
              <w:rPr>
                <w:sz w:val="20"/>
                <w:szCs w:val="20"/>
                <w:color w:val="auto"/>
              </w:rPr>
            </w:pPr>
            <w:r>
              <w:rPr>
                <w:rFonts w:ascii="Arial" w:cs="Arial" w:eastAsia="Arial" w:hAnsi="Arial"/>
                <w:sz w:val="13"/>
                <w:szCs w:val="13"/>
                <w:b w:val="1"/>
                <w:bCs w:val="1"/>
                <w:color w:val="auto"/>
              </w:rPr>
              <w:t>July 29,</w:t>
            </w:r>
          </w:p>
        </w:tc>
        <w:tc>
          <w:tcPr>
            <w:tcW w:w="1360" w:type="dxa"/>
            <w:vAlign w:val="bottom"/>
            <w:tcBorders>
              <w:top w:val="single" w:sz="8" w:color="auto"/>
            </w:tcBorders>
          </w:tcPr>
          <w:p>
            <w:pPr>
              <w:jc w:val="center"/>
              <w:ind w:left="91"/>
              <w:spacing w:after="0" w:line="119" w:lineRule="exact"/>
              <w:rPr>
                <w:sz w:val="20"/>
                <w:szCs w:val="20"/>
                <w:color w:val="auto"/>
              </w:rPr>
            </w:pPr>
            <w:r>
              <w:rPr>
                <w:rFonts w:ascii="Arial" w:cs="Arial" w:eastAsia="Arial" w:hAnsi="Arial"/>
                <w:sz w:val="13"/>
                <w:szCs w:val="13"/>
                <w:b w:val="1"/>
                <w:bCs w:val="1"/>
                <w:color w:val="auto"/>
              </w:rPr>
              <w:t>July 30,</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1400" w:type="dxa"/>
            <w:vAlign w:val="bottom"/>
          </w:tcPr>
          <w:p>
            <w:pPr>
              <w:jc w:val="right"/>
              <w:ind w:right="550"/>
              <w:spacing w:after="0"/>
              <w:rPr>
                <w:sz w:val="20"/>
                <w:szCs w:val="20"/>
                <w:color w:val="auto"/>
              </w:rPr>
            </w:pPr>
            <w:r>
              <w:rPr>
                <w:rFonts w:ascii="Arial" w:cs="Arial" w:eastAsia="Arial" w:hAnsi="Arial"/>
                <w:sz w:val="14"/>
                <w:szCs w:val="14"/>
                <w:b w:val="1"/>
                <w:bCs w:val="1"/>
                <w:color w:val="auto"/>
              </w:rPr>
              <w:t>2011</w:t>
            </w:r>
          </w:p>
        </w:tc>
        <w:tc>
          <w:tcPr>
            <w:tcW w:w="1400" w:type="dxa"/>
            <w:vAlign w:val="bottom"/>
          </w:tcPr>
          <w:p>
            <w:pPr>
              <w:jc w:val="right"/>
              <w:ind w:right="411"/>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6"/>
                <w:szCs w:val="16"/>
                <w:color w:val="auto"/>
              </w:rPr>
            </w:pPr>
          </w:p>
        </w:tc>
        <w:tc>
          <w:tcPr>
            <w:tcW w:w="1400" w:type="dxa"/>
            <w:vAlign w:val="bottom"/>
          </w:tcPr>
          <w:p>
            <w:pPr>
              <w:jc w:val="right"/>
              <w:ind w:right="550"/>
              <w:spacing w:after="0"/>
              <w:rPr>
                <w:sz w:val="20"/>
                <w:szCs w:val="20"/>
                <w:color w:val="auto"/>
              </w:rPr>
            </w:pPr>
            <w:r>
              <w:rPr>
                <w:rFonts w:ascii="Arial" w:cs="Arial" w:eastAsia="Arial" w:hAnsi="Arial"/>
                <w:sz w:val="14"/>
                <w:szCs w:val="14"/>
                <w:b w:val="1"/>
                <w:bCs w:val="1"/>
                <w:color w:val="auto"/>
              </w:rPr>
              <w:t>2011</w:t>
            </w:r>
          </w:p>
        </w:tc>
        <w:tc>
          <w:tcPr>
            <w:tcW w:w="13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99770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1390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u w:val="single" w:color="auto"/>
          <w:color w:val="auto"/>
        </w:rPr>
        <w:t>Basic</w:t>
      </w:r>
    </w:p>
    <w:p>
      <w:pPr>
        <w:sectPr>
          <w:pgSz w:w="11900" w:h="16903" w:orient="portrait"/>
          <w:cols w:equalWidth="0" w:num="1">
            <w:col w:w="11460"/>
          </w:cols>
          <w:pgMar w:left="240" w:top="333"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Weighted-average number of shares of common stock</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31,176</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32,464</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31,488</w:t>
            </w:r>
          </w:p>
        </w:tc>
        <w:tc>
          <w:tcPr>
            <w:tcW w:w="1220" w:type="dxa"/>
            <w:vAlign w:val="bottom"/>
          </w:tcPr>
          <w:p>
            <w:pPr>
              <w:jc w:val="right"/>
              <w:spacing w:after="0"/>
              <w:rPr>
                <w:sz w:val="20"/>
                <w:szCs w:val="20"/>
                <w:color w:val="auto"/>
              </w:rPr>
            </w:pPr>
            <w:r>
              <w:rPr>
                <w:rFonts w:ascii="Arial" w:cs="Arial" w:eastAsia="Arial" w:hAnsi="Arial"/>
                <w:sz w:val="18"/>
                <w:szCs w:val="18"/>
                <w:color w:val="auto"/>
              </w:rPr>
              <w:t>33,397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Weighted-average number of shares of common stock and</w:t>
            </w: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020" w:type="dxa"/>
            <w:vAlign w:val="bottom"/>
            <w:gridSpan w:val="2"/>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31,176</w:t>
            </w:r>
          </w:p>
        </w:tc>
        <w:tc>
          <w:tcPr>
            <w:tcW w:w="260" w:type="dxa"/>
            <w:vAlign w:val="bottom"/>
            <w:vMerge w:val="restart"/>
          </w:tcPr>
          <w:p>
            <w:pPr>
              <w:spacing w:after="0"/>
              <w:rPr>
                <w:sz w:val="15"/>
                <w:szCs w:val="15"/>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32,464</w:t>
            </w:r>
          </w:p>
        </w:tc>
        <w:tc>
          <w:tcPr>
            <w:tcW w:w="15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31,491</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33,400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28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Weighted-average number of shares of common stock and</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31,176</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32,464</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31,491</w:t>
            </w:r>
          </w:p>
        </w:tc>
        <w:tc>
          <w:tcPr>
            <w:tcW w:w="1220" w:type="dxa"/>
            <w:vAlign w:val="bottom"/>
          </w:tcPr>
          <w:p>
            <w:pPr>
              <w:jc w:val="right"/>
              <w:spacing w:after="0"/>
              <w:rPr>
                <w:sz w:val="20"/>
                <w:szCs w:val="20"/>
                <w:color w:val="auto"/>
              </w:rPr>
            </w:pPr>
            <w:r>
              <w:rPr>
                <w:rFonts w:ascii="Arial" w:cs="Arial" w:eastAsia="Arial" w:hAnsi="Arial"/>
                <w:sz w:val="18"/>
                <w:szCs w:val="18"/>
                <w:color w:val="auto"/>
              </w:rPr>
              <w:t>33,400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w w:val="96"/>
              </w:rPr>
              <w:t>Weighted-average number of shares of common stock, assumed</w:t>
            </w: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020" w:type="dxa"/>
            <w:vAlign w:val="bottom"/>
            <w:gridSpan w:val="2"/>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31,739</w:t>
            </w:r>
          </w:p>
        </w:tc>
        <w:tc>
          <w:tcPr>
            <w:tcW w:w="260" w:type="dxa"/>
            <w:vAlign w:val="bottom"/>
            <w:vMerge w:val="restart"/>
          </w:tcPr>
          <w:p>
            <w:pPr>
              <w:spacing w:after="0"/>
              <w:rPr>
                <w:sz w:val="15"/>
                <w:szCs w:val="15"/>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32,972</w:t>
            </w:r>
          </w:p>
        </w:tc>
        <w:tc>
          <w:tcPr>
            <w:tcW w:w="15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32,062</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33,819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tcPr>
          <w:p>
            <w:pPr>
              <w:ind w:left="160"/>
              <w:spacing w:after="0"/>
              <w:rPr>
                <w:sz w:val="20"/>
                <w:szCs w:val="20"/>
                <w:color w:val="auto"/>
              </w:rPr>
            </w:pPr>
            <w:r>
              <w:rPr>
                <w:rFonts w:ascii="Arial" w:cs="Arial" w:eastAsia="Arial" w:hAnsi="Arial"/>
                <w:sz w:val="18"/>
                <w:szCs w:val="18"/>
                <w:color w:val="auto"/>
                <w:w w:val="98"/>
              </w:rPr>
              <w:t>issuance of contingent shares, and effect of dilutive securities</w:t>
            </w:r>
          </w:p>
        </w:tc>
        <w:tc>
          <w:tcPr>
            <w:tcW w:w="12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Options to purchase an aggregate of 221,306 and 320,490 shares of common stock outstanding during the third quarter of fiscal 2011 and 2010, respectively, were excluded from the diluted net earnings per share calculation because their exercise prices were greater than the average market price of the company’s common stock during the same respective periods. Options to purchase an aggregate of 191,841 and 331,730 shares of common stock outstanding during the year-to-date periods through the third quarter of fiscal 2011 and 2010, respectively, were excluded from the diluted net earnings per share calculations because their exercise prices were greater than the average market price of the company’s common stock during the same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that inventory. These reserves are based on a review and comparison of current inventory levels to the planned production, as well as planned and historical sales of the inventory.</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July 29,</w:t>
            </w:r>
          </w:p>
        </w:tc>
        <w:tc>
          <w:tcPr>
            <w:tcW w:w="2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July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217,594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167,727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183,992</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288,104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227,339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55,742</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50,144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55,742</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2011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Residential</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Addition from acquisitions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5,765</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Translation and other adjustments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Balance as of July 29, 2011</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80,995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92,046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Gross Carrying</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July 29, 2011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138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(7,382)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Customer related</w:t>
            </w:r>
          </w:p>
        </w:tc>
        <w:tc>
          <w:tcPr>
            <w:tcW w:w="138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Non-amortizable - Trade name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(19,762</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Gross Carrying</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October 31, 2010</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(4,511)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Non-amortizable - Trade name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0" w:gutter="0" w:footer="0" w:header="0"/>
        </w:sectPr>
      </w:pPr>
    </w:p>
    <w:bookmarkStart w:id="6" w:name="page7"/>
    <w:bookmarkEnd w:id="6"/>
    <w:p>
      <w:pPr>
        <w:ind w:left="140"/>
        <w:spacing w:after="0"/>
        <w:tabs>
          <w:tab w:leader="none" w:pos="5860" w:val="left"/>
          <w:tab w:leader="none" w:pos="6720" w:val="left"/>
          <w:tab w:leader="none" w:pos="7500" w:val="left"/>
          <w:tab w:leader="none" w:pos="8320" w:val="left"/>
          <w:tab w:leader="none" w:pos="9160" w:val="left"/>
          <w:tab w:leader="none" w:pos="10020" w:val="left"/>
        </w:tabs>
        <w:rPr>
          <w:sz w:val="20"/>
          <w:szCs w:val="20"/>
          <w:color w:val="auto"/>
        </w:rPr>
      </w:pPr>
      <w:r>
        <w:rPr>
          <w:rFonts w:ascii="Arial" w:cs="Arial" w:eastAsia="Arial" w:hAnsi="Arial"/>
          <w:sz w:val="18"/>
          <w:szCs w:val="18"/>
          <w:color w:val="auto"/>
        </w:rPr>
        <w:t>Total other intangible assets,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39,278</w:t>
        <w:tab/>
        <w:t>$</w:t>
      </w:r>
      <w:r>
        <w:rPr>
          <w:sz w:val="20"/>
          <w:szCs w:val="20"/>
          <w:color w:val="auto"/>
        </w:rPr>
        <w:tab/>
      </w:r>
      <w:r>
        <w:rPr>
          <w:rFonts w:ascii="Arial" w:cs="Arial" w:eastAsia="Arial" w:hAnsi="Arial"/>
          <w:sz w:val="18"/>
          <w:szCs w:val="18"/>
          <w:color w:val="auto"/>
        </w:rPr>
        <w:t>(16,316)</w:t>
        <w:tab/>
        <w:t>$</w:t>
      </w:r>
      <w:r>
        <w:rPr>
          <w:sz w:val="20"/>
          <w:szCs w:val="20"/>
          <w:color w:val="auto"/>
        </w:rPr>
        <w:tab/>
      </w:r>
      <w:r>
        <w:rPr>
          <w:rFonts w:ascii="Arial" w:cs="Arial" w:eastAsia="Arial" w:hAnsi="Arial"/>
          <w:sz w:val="16"/>
          <w:szCs w:val="16"/>
          <w:color w:val="auto"/>
        </w:rPr>
        <w:t>22,962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31750</wp:posOffset>
            </wp:positionV>
            <wp:extent cx="2958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26035"/>
                    </a:xfrm>
                    <a:prstGeom prst="rect">
                      <a:avLst/>
                    </a:prstGeom>
                    <a:noFill/>
                  </pic:spPr>
                </pic:pic>
              </a:graphicData>
            </a:graphic>
          </wp:anchor>
        </w:drawing>
      </w:r>
    </w:p>
    <w:p>
      <w:pPr>
        <w:spacing w:after="0" w:line="273"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nine months of fiscal 2011 was $3.4 million. Estimated amortization expense for the remainder of fiscal 2011 and succeeding fiscal years is as follows: fiscal 2011 (remainder), $1.3 million; fiscal 2012, $5.5 million; fiscal 2013, $5.3 million; fiscal 2014, $4.9 million; fiscal 2015, $4.8 million; fiscal 2016, $4.1 million; and after fiscal 2016, $5.6 million.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August 12,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2014,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 During the first quarter of fiscal 2010, Red Iron began financing open account receivables, as well as floor plan receivables previously financed by such third party financing company. Red Iron also began financing floor plan receivables during the company’s fourth quarter of fiscal 2009.</w:t>
      </w:r>
    </w:p>
    <w:p>
      <w:pPr>
        <w:spacing w:after="0" w:line="178" w:lineRule="exact"/>
        <w:rPr>
          <w:sz w:val="20"/>
          <w:szCs w:val="20"/>
          <w:color w:val="auto"/>
        </w:rPr>
      </w:pPr>
    </w:p>
    <w:p>
      <w:pPr>
        <w:ind w:right="120"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July 29, 2011 was $12.5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$0.5 million as of July 29, 2011.</w:t>
      </w:r>
    </w:p>
    <w:p>
      <w:pPr>
        <w:spacing w:after="0" w:line="179" w:lineRule="exact"/>
        <w:rPr>
          <w:sz w:val="20"/>
          <w:szCs w:val="20"/>
          <w:color w:val="auto"/>
        </w:rPr>
      </w:pPr>
    </w:p>
    <w:p>
      <w:pPr>
        <w:ind w:right="160" w:firstLine="270"/>
        <w:spacing w:after="0" w:line="293" w:lineRule="auto"/>
        <w:rPr>
          <w:sz w:val="20"/>
          <w:szCs w:val="20"/>
          <w:color w:val="auto"/>
        </w:rPr>
      </w:pPr>
      <w:r>
        <w:rPr>
          <w:rFonts w:ascii="Arial" w:cs="Arial" w:eastAsia="Arial" w:hAnsi="Arial"/>
          <w:sz w:val="16"/>
          <w:szCs w:val="16"/>
          <w:color w:val="auto"/>
        </w:rPr>
        <w:t>On October 29, 2010, the company and Red Iron amended their repurchase agreement under which Red Iron provides financing for certain dealers and distributors. Instead of transactions under the agreements being characterized as a sale of receivables from the company to Red Iron, the transactions are structured as an advance in the form of a payment by Red Iron to the company on behalf of a distributor or dealer with respect to invoices financed by Red Iron that extinguishes the obligation of the dealer or distributor to make payment to the company under the terms of the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nine months ended July 29, 2011 was $890.9 million.</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Red Iron’s year end is December 31. As of June 30, 2011, Red Iron’s total assets were $267.8 million and total liabilities were $238.0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Warranty provisions, claims, and changes in estimates for the first nine-month periods in fiscal 2011 and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Warranty</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Warranty</w:t>
            </w:r>
          </w:p>
        </w:tc>
        <w:tc>
          <w:tcPr>
            <w:tcW w:w="16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Changes in</w:t>
            </w:r>
          </w:p>
        </w:tc>
        <w:tc>
          <w:tcPr>
            <w:tcW w:w="2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Ending</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Provisions</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Claims</w:t>
            </w:r>
          </w:p>
        </w:tc>
        <w:tc>
          <w:tcPr>
            <w:tcW w:w="1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Estimates</w:t>
            </w:r>
          </w:p>
        </w:tc>
        <w:tc>
          <w:tcPr>
            <w:tcW w:w="2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29, 2011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56,934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32,739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7"/>
              </w:rPr>
              <w:t>(21,538)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July 30, 2010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54,273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29,374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(22,135)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62,676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97"/>
              <w:spacing w:after="0"/>
              <w:rPr>
                <w:sz w:val="20"/>
                <w:szCs w:val="20"/>
                <w:color w:val="auto"/>
              </w:rPr>
            </w:pPr>
            <w:r>
              <w:rPr>
                <w:rFonts w:ascii="Arial" w:cs="Arial" w:eastAsia="Arial" w:hAnsi="Arial"/>
                <w:sz w:val="18"/>
                <w:szCs w:val="18"/>
                <w:color w:val="auto"/>
                <w:w w:val="89"/>
              </w:rPr>
              <w:t>10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ectPr>
          <w:pgSz w:w="11900" w:h="16838" w:orient="portrait"/>
          <w:cols w:equalWidth="0" w:num="1">
            <w:col w:w="11460"/>
          </w:cols>
          <w:pgMar w:left="240" w:top="125" w:right="199" w:bottom="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(Dollars in thousands)</w:t>
      </w:r>
    </w:p>
    <w:p>
      <w:pPr>
        <w:sectPr>
          <w:pgSz w:w="11900" w:h="16838" w:orient="portrait"/>
          <w:cols w:equalWidth="0" w:num="1">
            <w:col w:w="11460"/>
          </w:cols>
          <w:pgMar w:left="240" w:top="125" w:right="19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29, 2011</w:t>
            </w: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345,972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10,678</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842</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(11,520)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64,344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(16,691)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52,291</w:t>
            </w:r>
          </w:p>
        </w:tc>
      </w:tr>
      <w:tr>
        <w:trPr>
          <w:trHeight w:val="36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30, 2010</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317,876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4,471</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(4,572)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62,681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10,650</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51,965</w:t>
            </w:r>
          </w:p>
        </w:tc>
      </w:tr>
      <w:tr>
        <w:trPr>
          <w:trHeight w:val="36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July 29, 2011</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1,022,536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480,404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30,245</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(33,251)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187,869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42,545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(63,170)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167,244</w:t>
            </w:r>
          </w:p>
        </w:tc>
        <w:tc>
          <w:tcPr>
            <w:tcW w:w="100" w:type="dxa"/>
            <w:vAlign w:val="bottom"/>
            <w:shd w:val="clear" w:color="auto" w:fill="CCEEFF"/>
          </w:tcPr>
          <w:p>
            <w:pPr>
              <w:spacing w:after="0"/>
              <w:rPr>
                <w:sz w:val="18"/>
                <w:szCs w:val="18"/>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540,977</w:t>
            </w: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210,479</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216,091</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967,547</w:t>
            </w:r>
          </w:p>
        </w:tc>
        <w:tc>
          <w:tcPr>
            <w:tcW w:w="100" w:type="dxa"/>
            <w:vAlign w:val="bottom"/>
          </w:tcPr>
          <w:p>
            <w:pPr>
              <w:spacing w:after="0"/>
              <w:rPr>
                <w:sz w:val="20"/>
                <w:szCs w:val="20"/>
                <w:color w:val="auto"/>
              </w:rPr>
            </w:pPr>
          </w:p>
        </w:tc>
      </w:tr>
      <w:tr>
        <w:trPr>
          <w:trHeight w:val="350"/>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July 30, 2010</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880,252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462,613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12,841</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(13,263)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156,094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49,190</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(68,114)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137,170</w:t>
            </w:r>
          </w:p>
        </w:tc>
        <w:tc>
          <w:tcPr>
            <w:tcW w:w="100" w:type="dxa"/>
            <w:vAlign w:val="bottom"/>
            <w:shd w:val="clear" w:color="auto" w:fill="CCEEFF"/>
          </w:tcPr>
          <w:p>
            <w:pPr>
              <w:spacing w:after="0"/>
              <w:rPr>
                <w:sz w:val="18"/>
                <w:szCs w:val="18"/>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459,712</w:t>
            </w: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153,840</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266,100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879,652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840" w:type="dxa"/>
            <w:vAlign w:val="bottom"/>
            <w:gridSpan w:val="5"/>
          </w:tcPr>
          <w:p>
            <w:pPr>
              <w:ind w:lef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7"/>
              <w:spacing w:after="0" w:line="119" w:lineRule="exact"/>
              <w:rPr>
                <w:sz w:val="20"/>
                <w:szCs w:val="20"/>
                <w:color w:val="auto"/>
              </w:rPr>
            </w:pPr>
            <w:r>
              <w:rPr>
                <w:rFonts w:ascii="Arial" w:cs="Arial" w:eastAsia="Arial" w:hAnsi="Arial"/>
                <w:sz w:val="13"/>
                <w:szCs w:val="13"/>
                <w:b w:val="1"/>
                <w:bCs w:val="1"/>
                <w:color w:val="auto"/>
              </w:rPr>
              <w:t>July 30,</w:t>
            </w: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7"/>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7"/>
              </w:rPr>
              <w:t>(53,227)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(4,294)</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(4,243)</w:t>
            </w:r>
          </w:p>
        </w:tc>
        <w:tc>
          <w:tcPr>
            <w:tcW w:w="28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(12,596)</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2,653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5"/>
              </w:rPr>
              <w:t>(63,170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does not allow the use of derivatives for trading or speculative purposes. The company’s primary foreign currency exchange rate exposures are with the Euro, the Australian dollar, the Canadian dollar,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British pound, the Mexican peso, and the Japanese yen against the U.S. dollar. The company also has exposure with the Romanian New Lei against the Euro and U.S. dollar as a result of its new manufacturing facility in Romania.</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its consolidated balance sheet and formally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relationships between cash flow hedging instruments and hedged items, as well as its risk-management objectives and strategy for undertaking hedge transactions. This process includes linking all derivatives to the forecasted transactions, such as sales to third parties and foreign plant operations. Changes in the fair value of outstanding derivative instruments that are designated and qualify as a cash flow hedge are recorded in other comprehensive income (“OCI”), except for the ineffective portion,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OCI are recognized immediately in net earnings. In all situations in which hedge accounting is discontinued and the derivative remains outstanding, the company carries the derivative at its fair value on the balance sheet, recognizing future changes in the fair value in other income, net. For the third quarter of fiscal 2011, there were no gains or losses on contracts reclassified into earnings as a result of the discontinuance of cash flow hedges. As of July 29, 2011, the notional amount outstanding of forward contracts designated as cash flow hedges was $89.4 million.</w:t>
      </w:r>
    </w:p>
    <w:p>
      <w:pPr>
        <w:spacing w:after="0" w:line="18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forward currency contracts to mitigate the change in fair value of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and liabilities on the consolidated balance sheet. These contracts are not designated as hedging instruments. Accordingly, changes in the fair value of</w:t>
      </w:r>
    </w:p>
    <w:p>
      <w:pPr>
        <w:sectPr>
          <w:pgSz w:w="11900" w:h="16838" w:orient="portrait"/>
          <w:cols w:equalWidth="0" w:num="1">
            <w:col w:w="11420"/>
          </w:cols>
          <w:pgMar w:left="240" w:top="118" w:right="239" w:bottom="0" w:gutter="0" w:footer="0" w:header="0"/>
        </w:sectPr>
      </w:pPr>
    </w:p>
    <w:bookmarkStart w:id="8" w:name="page9"/>
    <w:bookmarkEnd w:id="8"/>
    <w:p>
      <w:pPr>
        <w:jc w:val="both"/>
        <w:ind w:right="280"/>
        <w:spacing w:after="0" w:line="264" w:lineRule="auto"/>
        <w:rPr>
          <w:sz w:val="20"/>
          <w:szCs w:val="20"/>
          <w:color w:val="auto"/>
        </w:rPr>
      </w:pPr>
      <w:r>
        <w:rPr>
          <w:rFonts w:ascii="Arial" w:cs="Arial" w:eastAsia="Arial" w:hAnsi="Arial"/>
          <w:sz w:val="18"/>
          <w:szCs w:val="18"/>
          <w:color w:val="auto"/>
        </w:rPr>
        <w:t>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w w:val="90"/>
              </w:rPr>
              <w:t>July 29, 2011</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July 30, 2010</w:t>
            </w: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w w:val="90"/>
              </w:rPr>
              <w:t>July 29, 2011</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w w:val="92"/>
              </w:rPr>
              <w:t>July 30, 2010</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Balance</w:t>
            </w:r>
          </w:p>
        </w:tc>
        <w:tc>
          <w:tcPr>
            <w:tcW w:w="10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13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0"/>
                <w:szCs w:val="10"/>
                <w:color w:val="auto"/>
              </w:rPr>
            </w:pPr>
          </w:p>
        </w:tc>
        <w:tc>
          <w:tcPr>
            <w:tcW w:w="5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4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4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Sheet</w:t>
            </w: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Sheet</w:t>
            </w: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Sheet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Sheet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gridSpan w:val="3"/>
            <w:vMerge w:val="continue"/>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50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Derivatives Designated as Hedging</w:t>
            </w: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Instruments</w:t>
            </w: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liabilities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liabilities</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Derivatives Not Designated as Hedging</w:t>
            </w: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Instruments</w:t>
            </w: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3,212</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Derivatives</w:t>
            </w: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4,173</w:t>
            </w: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designed as cash flow hedging instruments for the three and nine months ended July 29, 2011 and July 30, 2010,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Location of Gain (Loss)</w:t>
            </w:r>
          </w:p>
        </w:tc>
        <w:tc>
          <w:tcPr>
            <w:tcW w:w="100" w:type="dxa"/>
            <w:vAlign w:val="bottom"/>
          </w:tcPr>
          <w:p>
            <w:pPr>
              <w:spacing w:after="0"/>
              <w:rPr>
                <w:sz w:val="13"/>
                <w:szCs w:val="13"/>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6"/>
              </w:rPr>
              <w:t>Gain (Loss)</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Location of Gain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00" w:type="dxa"/>
            <w:vAlign w:val="bottom"/>
          </w:tcPr>
          <w:p>
            <w:pPr>
              <w:spacing w:after="0"/>
              <w:rPr>
                <w:sz w:val="11"/>
                <w:szCs w:val="11"/>
                <w:color w:val="auto"/>
              </w:rPr>
            </w:pPr>
          </w:p>
        </w:tc>
        <w:tc>
          <w:tcPr>
            <w:tcW w:w="15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Gain (Loss)</w:t>
            </w:r>
          </w:p>
        </w:tc>
        <w:tc>
          <w:tcPr>
            <w:tcW w:w="15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20" w:type="dxa"/>
            <w:vAlign w:val="bottom"/>
          </w:tcPr>
          <w:p>
            <w:pPr>
              <w:spacing w:after="0"/>
              <w:rPr>
                <w:sz w:val="11"/>
                <w:szCs w:val="11"/>
                <w:color w:val="auto"/>
              </w:rPr>
            </w:pPr>
          </w:p>
        </w:tc>
        <w:tc>
          <w:tcPr>
            <w:tcW w:w="162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Gain (Loss)</w:t>
            </w:r>
          </w:p>
        </w:tc>
        <w:tc>
          <w:tcPr>
            <w:tcW w:w="1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00" w:type="dxa"/>
            <w:vAlign w:val="bottom"/>
          </w:tcPr>
          <w:p>
            <w:pPr>
              <w:spacing w:after="0"/>
              <w:rPr>
                <w:sz w:val="11"/>
                <w:szCs w:val="11"/>
                <w:color w:val="auto"/>
              </w:rPr>
            </w:pPr>
          </w:p>
        </w:tc>
        <w:tc>
          <w:tcPr>
            <w:tcW w:w="15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Recognized in OCI on</w:t>
            </w:r>
          </w:p>
        </w:tc>
        <w:tc>
          <w:tcPr>
            <w:tcW w:w="15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from AOCL</w:t>
            </w:r>
          </w:p>
        </w:tc>
        <w:tc>
          <w:tcPr>
            <w:tcW w:w="120" w:type="dxa"/>
            <w:vAlign w:val="bottom"/>
          </w:tcPr>
          <w:p>
            <w:pPr>
              <w:spacing w:after="0"/>
              <w:rPr>
                <w:sz w:val="11"/>
                <w:szCs w:val="11"/>
                <w:color w:val="auto"/>
              </w:rPr>
            </w:pPr>
          </w:p>
        </w:tc>
        <w:tc>
          <w:tcPr>
            <w:tcW w:w="162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1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00" w:type="dxa"/>
            <w:vAlign w:val="bottom"/>
          </w:tcPr>
          <w:p>
            <w:pPr>
              <w:spacing w:after="0"/>
              <w:rPr>
                <w:sz w:val="11"/>
                <w:szCs w:val="11"/>
                <w:color w:val="auto"/>
              </w:rPr>
            </w:pPr>
          </w:p>
        </w:tc>
        <w:tc>
          <w:tcPr>
            <w:tcW w:w="152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Derivatives</w:t>
            </w:r>
          </w:p>
        </w:tc>
        <w:tc>
          <w:tcPr>
            <w:tcW w:w="15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20" w:type="dxa"/>
            <w:vAlign w:val="bottom"/>
          </w:tcPr>
          <w:p>
            <w:pPr>
              <w:spacing w:after="0"/>
              <w:rPr>
                <w:sz w:val="11"/>
                <w:szCs w:val="11"/>
                <w:color w:val="auto"/>
              </w:rPr>
            </w:pPr>
          </w:p>
        </w:tc>
        <w:tc>
          <w:tcPr>
            <w:tcW w:w="162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1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00" w:type="dxa"/>
            <w:vAlign w:val="bottom"/>
          </w:tcPr>
          <w:p>
            <w:pPr>
              <w:spacing w:after="0"/>
              <w:rPr>
                <w:sz w:val="11"/>
                <w:szCs w:val="11"/>
                <w:color w:val="auto"/>
              </w:rPr>
            </w:pPr>
          </w:p>
        </w:tc>
        <w:tc>
          <w:tcPr>
            <w:tcW w:w="152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44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87"/>
              </w:rPr>
              <w:t>(Effective Portion)</w:t>
            </w:r>
          </w:p>
        </w:tc>
        <w:tc>
          <w:tcPr>
            <w:tcW w:w="1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(Effective Portion)</w:t>
            </w:r>
          </w:p>
        </w:tc>
        <w:tc>
          <w:tcPr>
            <w:tcW w:w="120" w:type="dxa"/>
            <w:vAlign w:val="bottom"/>
          </w:tcPr>
          <w:p>
            <w:pPr>
              <w:spacing w:after="0"/>
              <w:rPr>
                <w:sz w:val="13"/>
                <w:szCs w:val="13"/>
                <w:color w:val="auto"/>
              </w:rPr>
            </w:pPr>
          </w:p>
        </w:tc>
        <w:tc>
          <w:tcPr>
            <w:tcW w:w="162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89"/>
              </w:rPr>
              <w:t>(Effective Portion)</w:t>
            </w:r>
          </w:p>
        </w:tc>
        <w:tc>
          <w:tcPr>
            <w:tcW w:w="1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Effectiveness Testing)</w:t>
            </w:r>
          </w:p>
        </w:tc>
        <w:tc>
          <w:tcPr>
            <w:tcW w:w="100" w:type="dxa"/>
            <w:vAlign w:val="bottom"/>
          </w:tcPr>
          <w:p>
            <w:pPr>
              <w:spacing w:after="0"/>
              <w:rPr>
                <w:sz w:val="13"/>
                <w:szCs w:val="13"/>
                <w:color w:val="auto"/>
              </w:rPr>
            </w:pPr>
          </w:p>
        </w:tc>
        <w:tc>
          <w:tcPr>
            <w:tcW w:w="15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4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5"/>
              </w:rPr>
              <w:t>July 29,</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July 30,</w:t>
            </w:r>
          </w:p>
        </w:tc>
        <w:tc>
          <w:tcPr>
            <w:tcW w:w="160" w:type="dxa"/>
            <w:vAlign w:val="bottom"/>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5"/>
              </w:rPr>
              <w:t>July 29,</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38"/>
              <w:spacing w:after="0" w:line="110" w:lineRule="exact"/>
              <w:rPr>
                <w:sz w:val="20"/>
                <w:szCs w:val="20"/>
                <w:color w:val="auto"/>
              </w:rPr>
            </w:pPr>
            <w:r>
              <w:rPr>
                <w:rFonts w:ascii="Arial" w:cs="Arial" w:eastAsia="Arial" w:hAnsi="Arial"/>
                <w:sz w:val="12"/>
                <w:szCs w:val="12"/>
                <w:b w:val="1"/>
                <w:bCs w:val="1"/>
                <w:color w:val="auto"/>
                <w:w w:val="95"/>
              </w:rPr>
              <w:t>July 30,</w:t>
            </w:r>
          </w:p>
        </w:tc>
        <w:tc>
          <w:tcPr>
            <w:tcW w:w="160" w:type="dxa"/>
            <w:vAlign w:val="bottom"/>
          </w:tcPr>
          <w:p>
            <w:pPr>
              <w:spacing w:after="0"/>
              <w:rPr>
                <w:sz w:val="9"/>
                <w:szCs w:val="9"/>
                <w:color w:val="auto"/>
              </w:rPr>
            </w:pPr>
          </w:p>
        </w:tc>
        <w:tc>
          <w:tcPr>
            <w:tcW w:w="16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5"/>
              </w:rPr>
              <w:t>July 29,</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July 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For the three months ended</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2010</w:t>
            </w:r>
          </w:p>
        </w:tc>
        <w:tc>
          <w:tcPr>
            <w:tcW w:w="1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Foreign exchange contracts</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732</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428</w:t>
            </w:r>
          </w:p>
        </w:tc>
        <w:tc>
          <w:tcPr>
            <w:tcW w:w="16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(1,992)</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6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(353)</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line="129" w:lineRule="exact"/>
              <w:rPr>
                <w:sz w:val="20"/>
                <w:szCs w:val="20"/>
                <w:color w:val="auto"/>
              </w:rPr>
            </w:pPr>
            <w:r>
              <w:rPr>
                <w:rFonts w:ascii="Arial" w:cs="Arial" w:eastAsia="Arial" w:hAnsi="Arial"/>
                <w:sz w:val="13"/>
                <w:szCs w:val="13"/>
                <w:color w:val="auto"/>
              </w:rPr>
              <w:t>Foreign exchange contracts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(28)</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154</w:t>
            </w:r>
          </w:p>
        </w:tc>
        <w:tc>
          <w:tcPr>
            <w:tcW w:w="15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387</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178</w:t>
            </w: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4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July 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July 30,</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July 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July 30,</w:t>
            </w: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July 29,</w:t>
            </w:r>
          </w:p>
        </w:tc>
        <w:tc>
          <w:tcPr>
            <w:tcW w:w="10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July 30,</w:t>
            </w:r>
          </w:p>
        </w:tc>
        <w:tc>
          <w:tcPr>
            <w:tcW w:w="0" w:type="dxa"/>
            <w:vAlign w:val="bottom"/>
          </w:tcPr>
          <w:p>
            <w:pPr>
              <w:spacing w:after="0"/>
              <w:rPr>
                <w:sz w:val="1"/>
                <w:szCs w:val="1"/>
                <w:color w:val="auto"/>
              </w:rPr>
            </w:pPr>
          </w:p>
        </w:tc>
      </w:tr>
      <w:tr>
        <w:trPr>
          <w:trHeight w:val="153"/>
        </w:trPr>
        <w:tc>
          <w:tcPr>
            <w:tcW w:w="2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For the nine months ended</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2010</w:t>
            </w:r>
          </w:p>
        </w:tc>
        <w:tc>
          <w:tcPr>
            <w:tcW w:w="1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Foreign exchange contracts</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(6,387)</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(1,917)</w:t>
            </w:r>
          </w:p>
        </w:tc>
        <w:tc>
          <w:tcPr>
            <w:tcW w:w="16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(4,582)</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(1,518)</w:t>
            </w:r>
          </w:p>
        </w:tc>
        <w:tc>
          <w:tcPr>
            <w:tcW w:w="16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(711)</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w:t>
            </w: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line="129" w:lineRule="exact"/>
              <w:rPr>
                <w:sz w:val="20"/>
                <w:szCs w:val="20"/>
                <w:color w:val="auto"/>
              </w:rPr>
            </w:pPr>
            <w:r>
              <w:rPr>
                <w:rFonts w:ascii="Arial" w:cs="Arial" w:eastAsia="Arial" w:hAnsi="Arial"/>
                <w:sz w:val="13"/>
                <w:szCs w:val="13"/>
                <w:color w:val="auto"/>
              </w:rPr>
              <w:t>Foreign exchange contracts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1,200</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405</w:t>
            </w:r>
          </w:p>
        </w:tc>
        <w:tc>
          <w:tcPr>
            <w:tcW w:w="15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761</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273</w:t>
            </w: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4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(5,187)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(3,821)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July 29, 2011, the company anticipates reclassifying approximately $0.5 million of losses from AOCL to earnings during the next 12 months.</w:t>
      </w:r>
    </w:p>
    <w:p>
      <w:pPr>
        <w:spacing w:after="0" w:line="237"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w w:val="96"/>
              </w:rPr>
              <w:t>Gain (Loss) Recognized in Net Earnings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260" w:type="dxa"/>
            <w:vAlign w:val="bottom"/>
          </w:tcPr>
          <w:p>
            <w:pPr>
              <w:spacing w:after="0"/>
              <w:rPr>
                <w:sz w:val="12"/>
                <w:szCs w:val="12"/>
                <w:color w:val="auto"/>
              </w:rPr>
            </w:pPr>
          </w:p>
        </w:tc>
        <w:tc>
          <w:tcPr>
            <w:tcW w:w="2540" w:type="dxa"/>
            <w:vAlign w:val="bottom"/>
            <w:gridSpan w:val="7"/>
          </w:tcPr>
          <w:p>
            <w:pPr>
              <w:jc w:val="right"/>
              <w:ind w:right="680"/>
              <w:spacing w:after="0" w:line="142"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ind w:left="400"/>
              <w:spacing w:after="0" w:line="142"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Borders>
              <w:top w:val="single" w:sz="8" w:color="auto"/>
            </w:tcBorders>
          </w:tcPr>
          <w:p>
            <w:pPr>
              <w:jc w:val="center"/>
              <w:ind w:left="231"/>
              <w:spacing w:after="0" w:line="119" w:lineRule="exact"/>
              <w:rPr>
                <w:sz w:val="20"/>
                <w:szCs w:val="20"/>
                <w:color w:val="auto"/>
              </w:rPr>
            </w:pPr>
            <w:r>
              <w:rPr>
                <w:rFonts w:ascii="Arial" w:cs="Arial" w:eastAsia="Arial" w:hAnsi="Arial"/>
                <w:sz w:val="13"/>
                <w:szCs w:val="13"/>
                <w:b w:val="1"/>
                <w:bCs w:val="1"/>
                <w:color w:val="auto"/>
              </w:rPr>
              <w:t>July 29,</w:t>
            </w: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24"/>
              <w:spacing w:after="0" w:line="119" w:lineRule="exact"/>
              <w:rPr>
                <w:sz w:val="20"/>
                <w:szCs w:val="20"/>
                <w:color w:val="auto"/>
              </w:rPr>
            </w:pPr>
            <w:r>
              <w:rPr>
                <w:rFonts w:ascii="Arial" w:cs="Arial" w:eastAsia="Arial" w:hAnsi="Arial"/>
                <w:sz w:val="13"/>
                <w:szCs w:val="13"/>
                <w:b w:val="1"/>
                <w:bCs w:val="1"/>
                <w:color w:val="auto"/>
              </w:rPr>
              <w:t>July 30,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44"/>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Recognized in Net Earnings</w:t>
            </w:r>
          </w:p>
        </w:tc>
        <w:tc>
          <w:tcPr>
            <w:tcW w:w="10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2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2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income, net</w:t>
            </w:r>
          </w:p>
        </w:tc>
        <w:tc>
          <w:tcPr>
            <w:tcW w:w="104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543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(8,966)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right="2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200" w:firstLine="252"/>
        <w:spacing w:after="0" w:line="276" w:lineRule="auto"/>
        <w:rPr>
          <w:sz w:val="20"/>
          <w:szCs w:val="20"/>
          <w:color w:val="auto"/>
        </w:rPr>
      </w:pPr>
      <w:r>
        <w:rPr>
          <w:rFonts w:ascii="Arial" w:cs="Arial" w:eastAsia="Arial" w:hAnsi="Arial"/>
          <w:sz w:val="17"/>
          <w:szCs w:val="17"/>
          <w:color w:val="auto"/>
        </w:rPr>
        <w:t xml:space="preserve">In January 2010, the Financial Accounting Standards Board (“FASB”) issued Accounting Standards Update (“ASU”) No. 2010-06,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 (Topic 820)</w:t>
      </w:r>
      <w:r>
        <w:rPr>
          <w:rFonts w:ascii="Arial" w:cs="Arial" w:eastAsia="Arial" w:hAnsi="Arial"/>
          <w:sz w:val="17"/>
          <w:szCs w:val="17"/>
          <w:color w:val="auto"/>
        </w:rPr>
        <w:t>. ASU No. 2010-06 requires new disclosures regarding activity in Level 3 fair value measurements,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purchases, sales, issuances, and settlements on a gross basis in the reconciliation of Level 3 fair-value measurements. The company adopted the provision of ASU No. 2010-06 for Level 3 fair-value measurements for its third fiscal quarter beginning on April 30, 2011, as required. The adoption of ASU No. 2010-06 for Level 3 fair value measurements did not have an impact on the company’s disclosures.</w:t>
      </w:r>
    </w:p>
    <w:p>
      <w:pPr>
        <w:sectPr>
          <w:pgSz w:w="11900" w:h="16838" w:orient="portrait"/>
          <w:cols w:equalWidth="0" w:num="1">
            <w:col w:w="11420"/>
          </w:cols>
          <w:pgMar w:left="240" w:top="125" w:right="239" w:bottom="33" w:gutter="0" w:footer="0" w:header="0"/>
        </w:sectPr>
      </w:pPr>
    </w:p>
    <w:bookmarkStart w:id="9" w:name="page10"/>
    <w:bookmarkEnd w:id="9"/>
    <w:p>
      <w:pPr>
        <w:ind w:right="20" w:firstLine="270"/>
        <w:spacing w:after="0" w:line="264"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 maturities. Foreign currency forward exchange contracts are valued at fair market value using the market approach based on exchange rates as of the reporting date, which is the amount the company would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receive or pay to terminate the contracts.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Assets and liabilities measured at fair value on a recurring basis, as of July 29, 2011, are summarized below:</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118,113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118,113</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4,173</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4,477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4,477</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Assets measured at fair value on a nonrecurring basis related to the company’s acquisitions of Lawn Solutions and Unique Lighting, as of July 29, 2011,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w:t>
            </w:r>
          </w:p>
        </w:tc>
        <w:tc>
          <w:tcPr>
            <w:tcW w:w="14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Level 1</w:t>
            </w: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71"/>
        </w:trPr>
        <w:tc>
          <w:tcPr>
            <w:tcW w:w="4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14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Technique</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1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w:t>
            </w:r>
          </w:p>
        </w:tc>
        <w:tc>
          <w:tcPr>
            <w:tcW w:w="300" w:type="dxa"/>
            <w:vAlign w:val="bottom"/>
          </w:tcPr>
          <w:p>
            <w:pPr>
              <w:spacing w:after="0"/>
              <w:rPr>
                <w:sz w:val="18"/>
                <w:szCs w:val="18"/>
                <w:color w:val="auto"/>
              </w:rPr>
            </w:pP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1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11,250</w:t>
            </w:r>
          </w:p>
        </w:tc>
        <w:tc>
          <w:tcPr>
            <w:tcW w:w="300" w:type="dxa"/>
            <w:vAlign w:val="bottom"/>
          </w:tcPr>
          <w:p>
            <w:pPr>
              <w:spacing w:after="0"/>
              <w:rPr>
                <w:sz w:val="18"/>
                <w:szCs w:val="18"/>
                <w:color w:val="auto"/>
              </w:rPr>
            </w:pP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11,250</w:t>
            </w:r>
          </w:p>
        </w:tc>
        <w:tc>
          <w:tcPr>
            <w:tcW w:w="2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measured at fair value are based on one or more valuation techniques. The valuation techniques are identified in the table above and are as follows:</w:t>
      </w:r>
    </w:p>
    <w:p>
      <w:pPr>
        <w:spacing w:after="0" w:line="170" w:lineRule="exact"/>
        <w:rPr>
          <w:sz w:val="20"/>
          <w:szCs w:val="20"/>
          <w:color w:val="auto"/>
        </w:rPr>
      </w:pPr>
    </w:p>
    <w:p>
      <w:pPr>
        <w:ind w:left="1300" w:right="400" w:hanging="644"/>
        <w:spacing w:after="0" w:line="258" w:lineRule="auto"/>
        <w:tabs>
          <w:tab w:leader="none" w:pos="131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used an internally developed income based approach to value these assets. Inputs for this valuation model were based on internally developed forecasts and assumptions.</w:t>
      </w:r>
    </w:p>
    <w:p>
      <w:pPr>
        <w:spacing w:after="0" w:line="1" w:lineRule="exact"/>
        <w:rPr>
          <w:rFonts w:ascii="Arial" w:cs="Arial" w:eastAsia="Arial" w:hAnsi="Arial"/>
          <w:sz w:val="18"/>
          <w:szCs w:val="18"/>
          <w:color w:val="auto"/>
        </w:rPr>
      </w:pPr>
    </w:p>
    <w:p>
      <w:pPr>
        <w:ind w:left="1300" w:right="440" w:hanging="644"/>
        <w:spacing w:after="0" w:line="261" w:lineRule="auto"/>
        <w:tabs>
          <w:tab w:leader="none" w:pos="1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used a replacement cost model to value these assets. Inputs for this valuation model were based on internal estimates of the cost to recreate these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The company is party to litigation in the ordinary course of business. Litigation occasionally involves claims for punitive as well as compensatory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damages 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 Some of these claims assert damages and liability for remedial investigations and clean up costs.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Lawnmower Engine Horsepower Marketing and Sales Practices Litigation. </w:t>
      </w:r>
      <w:r>
        <w:rPr>
          <w:rFonts w:ascii="Arial" w:cs="Arial" w:eastAsia="Arial" w:hAnsi="Arial"/>
          <w:sz w:val="18"/>
          <w:szCs w:val="18"/>
          <w:color w:val="auto"/>
        </w:rPr>
        <w:t>Beginning in June 2004, various plaintiffs filed class action lawsuits in state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courts throughout the country against the company and other defendants alleging that the horsepower labels on the products the plaintiffs purchased were inaccurate. The plaintiffs (i) asserted statutory and common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claims, and (ii) sought an injunction, unspecified compensatory and punitive damages, treble damages, and attorneys’ fees. In December 2008, all lawsuits were transferred to the United States District Court for the Eastern District of Wisconsin for coordinated or consolidated pretrial proceedings.</w:t>
      </w:r>
    </w:p>
    <w:p>
      <w:pPr>
        <w:spacing w:after="0" w:line="147"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In February 2010, the company and certain other defendants entered into a settlement agreement with plaintiffs and, ultimately, all defendants entered into various settlement agreements with the plaintiffs. The company’s settlement agreement provides for, among other things, (i) a monetary settlement, (ii) an additional warranty period for certain engines that are subject to the litigation, and (iii) injunctive relief relating to power rating labeling practices.</w:t>
      </w:r>
    </w:p>
    <w:p>
      <w:pPr>
        <w:sectPr>
          <w:pgSz w:w="11900" w:h="16838" w:orient="portrait"/>
          <w:cols w:equalWidth="0" w:num="1">
            <w:col w:w="11420"/>
          </w:cols>
          <w:pgMar w:left="240" w:top="125" w:right="239" w:bottom="62" w:gutter="0" w:footer="0" w:header="0"/>
        </w:sectPr>
      </w:pPr>
    </w:p>
    <w:bookmarkStart w:id="10" w:name="page11"/>
    <w:bookmarkEnd w:id="10"/>
    <w:p>
      <w:pPr>
        <w:ind w:right="40" w:firstLine="270"/>
        <w:spacing w:after="0" w:line="293" w:lineRule="auto"/>
        <w:rPr>
          <w:sz w:val="20"/>
          <w:szCs w:val="20"/>
          <w:color w:val="auto"/>
        </w:rPr>
      </w:pPr>
      <w:r>
        <w:rPr>
          <w:rFonts w:ascii="Arial" w:cs="Arial" w:eastAsia="Arial" w:hAnsi="Arial"/>
          <w:sz w:val="16"/>
          <w:szCs w:val="16"/>
          <w:color w:val="auto"/>
        </w:rPr>
        <w:t>In August 2010, the Court entered an order and judgment in which it determined that the company’s settlement is fair, reasonable, and adequate, and approved the settlement. The Court also entered an order certifying a settlement class consisting of all persons in the United States who, beginning January 1, 1994 and through April 12, 2010, purchased a lawnmower containing a two-stroke or four-stroke gas combustible engine up to 30 horsepower that was manufactured or sold by the company and other defendants. The Court entered similar orders and judgments approving the settlements entered into by other defendants. Also in August 2010, certain objectors filed notices with the United States Court of Appeals for the Seventh Circuit to appeal the order and judgment approving the company’s settlement and the other orders and judgments approving the settlements with the other defendants.</w:t>
      </w:r>
    </w:p>
    <w:p>
      <w:pPr>
        <w:spacing w:after="0" w:line="165" w:lineRule="exact"/>
        <w:rPr>
          <w:sz w:val="20"/>
          <w:szCs w:val="20"/>
          <w:color w:val="auto"/>
        </w:rPr>
      </w:pPr>
    </w:p>
    <w:p>
      <w:pPr>
        <w:jc w:val="both"/>
        <w:ind w:right="100" w:firstLine="270"/>
        <w:spacing w:after="0" w:line="312" w:lineRule="auto"/>
        <w:rPr>
          <w:sz w:val="20"/>
          <w:szCs w:val="20"/>
          <w:color w:val="auto"/>
        </w:rPr>
      </w:pPr>
      <w:r>
        <w:rPr>
          <w:rFonts w:ascii="Arial" w:cs="Arial" w:eastAsia="Arial" w:hAnsi="Arial"/>
          <w:sz w:val="16"/>
          <w:szCs w:val="16"/>
          <w:color w:val="auto"/>
        </w:rPr>
        <w:t>In February 2011, all objectors to the company’s settlement dismissed their appeals. Accordingly, the company’s settlement agreement became final. The expected costs of the company’s performance of its settlement obligations are consistent with accruals established in prior periods and, as such, management does not currently expect that the settlement will have a material adverse effect on the company’s consolidated operating results or financial condition.</w:t>
      </w:r>
    </w:p>
    <w:p>
      <w:pPr>
        <w:spacing w:after="0" w:line="147"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188" w:lineRule="exact"/>
        <w:rPr>
          <w:sz w:val="20"/>
          <w:szCs w:val="20"/>
          <w:color w:val="auto"/>
        </w:rPr>
      </w:pPr>
    </w:p>
    <w:p>
      <w:pPr>
        <w:ind w:right="10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In the event the company is unable to favorably resolve this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agricultural micro-irrigation systems, landscaping equipment and lighting,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Our results for the third quarter of fiscal 2011 were positive with net sales growth of 9.2 percent and net earnings growth of 5.0 percent, each as compared to the third quarter of fiscal 2010. Net sales and net earnings for the year-to-date period of fiscal 2011 grew 12.0 percent and 25.1 percent, respectively, as compared to the same period in the prior fiscal year. Sales for most professional segment businesses increased due to higher demand for the company’s products resulting from the successful introduction of new products, better product availability, and improved economic conditions, mainly in the first half of fiscal 2011. Rebound in the rental market and continued demand for our micro-irrigation products also contributed to the growth of professional segment sales. To meet increasing worldwide demand for micro-irrigation products for the agricultural market, particularly in Eastern Europe, we expect to complete the construction of our new manufacturing facility in Romania in the fourth quarter of fiscal 2011 with production also anticipated to begin during the fourth quarter of fiscal 2011. Residential segment sales also increased, driven primarily from strong preseason shipments of snow thrower products due to higher demand for these products resulting from depleted field inventory levels entering the 2011/2012 snow season following strong sales from heavy snow falls during the 2010/2011 snow season. Somewhat offsetting this increase were unfavorable weather conditions that dampened sales of walk power mowers and riding products for the third quarter of fiscal 2011 compared to the same period in the prior fiscal year. Net earnings as a percentage of net sales declined to</w:t>
      </w:r>
    </w:p>
    <w:p>
      <w:pPr>
        <w:spacing w:after="0" w:line="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7.0 percent compared to 7.3 percent in the third quarter of fiscal 2010. Our net earnings were primarily hampered by a pre-tax charge of $4.5 million due to costs associated with a rework for a non-safety quality issue that affected a large number of our residential segment walk power mowers, as well as lower gross margins from higher commodity costs and fuel prices.</w:t>
      </w:r>
    </w:p>
    <w:p>
      <w:pPr>
        <w:spacing w:after="0" w:line="190" w:lineRule="exact"/>
        <w:rPr>
          <w:sz w:val="20"/>
          <w:szCs w:val="20"/>
          <w:color w:val="auto"/>
        </w:rPr>
      </w:pPr>
    </w:p>
    <w:p>
      <w:pPr>
        <w:ind w:right="80" w:firstLine="272"/>
        <w:spacing w:after="0" w:line="291" w:lineRule="auto"/>
        <w:rPr>
          <w:sz w:val="20"/>
          <w:szCs w:val="20"/>
          <w:color w:val="auto"/>
        </w:rPr>
      </w:pPr>
      <w:r>
        <w:rPr>
          <w:rFonts w:ascii="Arial" w:cs="Arial" w:eastAsia="Arial" w:hAnsi="Arial"/>
          <w:sz w:val="16"/>
          <w:szCs w:val="16"/>
          <w:color w:val="auto"/>
        </w:rPr>
        <w:t>Our overall financial condition remains strong. Our receivables increased by 17.0 percent as of the end of the third quarter of fiscal 2011 compared to the end of the third quarter of fiscal 2010 due mainly to higher sales volumes and foreign currency exchange rates. Our inventory levels also increased by 31.1 percent as of the end of the third quarter of fiscal 2011 compared to the end of the third quarter of fiscal 2010 as we prebuilt inventory, mainly for new residential products, in anticipation of higher demand, which did not occur as expected due to unfavorable weather conditions, as well as higher foreign currency exchange rates. As of the end of our third quarter of fiscal 2011, our average net working capital (accounts receivable plus inventory less trade payables) as a percentage of net sales was 14.5 percent compared to 15.4 percent as of the end of our third quarter of fiscal 2010. We also increased our third quarter cash dividend by 11 percent from $0.18 to $0.20 per share compared to the quarterly cash dividend paid in the third quarter of fiscal 2010.</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off to a good start with our new multi-year initiative, “Destination 2014,” that will take us to our centennial in 2014 and into our second century.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four-year initiative is intended to focus our efforts on driving our legacy of excellence through building caring relationships and engaging in innovation.</w:t>
      </w:r>
    </w:p>
    <w:p>
      <w:pPr>
        <w:sectPr>
          <w:pgSz w:w="11900" w:h="16838" w:orient="portrait"/>
          <w:cols w:equalWidth="0" w:num="1">
            <w:col w:w="11400"/>
          </w:cols>
          <w:pgMar w:left="240" w:top="125" w:right="259" w:bottom="0" w:gutter="0" w:footer="0" w:header="0"/>
        </w:sectPr>
      </w:pPr>
    </w:p>
    <w:bookmarkStart w:id="11" w:name="page12"/>
    <w:bookmarkEnd w:id="11"/>
    <w:p>
      <w:pPr>
        <w:ind w:right="140"/>
        <w:spacing w:after="0" w:line="259" w:lineRule="auto"/>
        <w:rPr>
          <w:sz w:val="20"/>
          <w:szCs w:val="20"/>
          <w:color w:val="auto"/>
        </w:rPr>
      </w:pPr>
      <w:r>
        <w:rPr>
          <w:rFonts w:ascii="Arial" w:cs="Arial" w:eastAsia="Arial" w:hAnsi="Arial"/>
          <w:sz w:val="18"/>
          <w:szCs w:val="18"/>
          <w:color w:val="auto"/>
        </w:rPr>
        <w:t>Through our Destination 2014 initiative financial goals, we will strive to achieve $100 million in organic revenue growth in each of fiscal 2011, 2012, 2013, and 2014, and 12 percent operating earnings as a percentage of net sales by the end of fiscal 2014. We currently believe that we will achieve our organic revenue growth goal of $100 million for fiscal 2011. We define organic revenue growth as the increase in net sales, less net sales from acquisitions that occurred in the current fiscal year.</w:t>
      </w:r>
    </w:p>
    <w:p>
      <w:pPr>
        <w:spacing w:after="0" w:line="187" w:lineRule="exact"/>
        <w:rPr>
          <w:sz w:val="20"/>
          <w:szCs w:val="20"/>
          <w:color w:val="auto"/>
        </w:rPr>
      </w:pPr>
    </w:p>
    <w:p>
      <w:pPr>
        <w:ind w:right="360" w:firstLine="272"/>
        <w:spacing w:after="0" w:line="277" w:lineRule="auto"/>
        <w:rPr>
          <w:sz w:val="20"/>
          <w:szCs w:val="20"/>
          <w:color w:val="auto"/>
        </w:rPr>
      </w:pPr>
      <w:r>
        <w:rPr>
          <w:rFonts w:ascii="Arial" w:cs="Arial" w:eastAsia="Arial" w:hAnsi="Arial"/>
          <w:sz w:val="18"/>
          <w:szCs w:val="18"/>
          <w:color w:val="auto"/>
        </w:rPr>
        <w:t>We believe that the positive momentum experienced in the first nine months should continue through the remainder of fiscal 2011, despite challenges from the current level of economic uncertainty and unfavorable weather patterns. Our continued focus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generating customer demand and aggressively driving retail sales for our innovative products, while keeping production closely aligned with expected shipment volumes. We will continue to keep a cautionary eye on the global economies and the uncertainty of the pace and degree of recovery, retail demand, field inventory levels, commodity prices, weather conditions, competitive actions, expenses, and other factors identified below under the heading “Forward-Looking Information,” which could cause our actual results to differ from our anticipated outlook.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earnings for the third quarter of fiscal 2011 were $35.1 million, or $1.11 per diluted share, compared to $33.4 million, or $1.01 per diluted share, for the third quarter of fiscal 2010, resulting in net earnings per diluted share increase of 9.9 percent. Year-to-date net earnings in fiscal 2011 were $112.6 million, or $3.51 per diluted share, compared to $90.0 million, or $2.66 per diluted share, last fiscal year, resulting in net earnings per diluted share increase of 32.0 percent. The primary factors contributing to our earnings improvements were higher sales volumes, an increase in gross profit, and a lower effective tax rate, somewhat offset by an increase in selling, general, and administrative (“SG&amp;A”) expense and a pre-tax charge of $4.5 million due to costs associated with a rework for a non-safety quality issue, as discussed previously. In addition, net earnings per diluted share for the third quarter and year-to-date periods of fiscal 2011 were benefited by approximately $0.05 per share and $0.18 per share, respectively, compared to the same periods in fiscal 2010, as a result of reduced shares outstanding from repurchases of our common stock.</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600" w:type="dxa"/>
            <w:vAlign w:val="bottom"/>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4"/>
          </w:tcPr>
          <w:p>
            <w:pPr>
              <w:jc w:val="right"/>
              <w:ind w:right="101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120" w:type="dxa"/>
            <w:vAlign w:val="bottom"/>
          </w:tcPr>
          <w:p>
            <w:pPr>
              <w:spacing w:after="0"/>
              <w:rPr>
                <w:sz w:val="10"/>
                <w:szCs w:val="10"/>
                <w:color w:val="auto"/>
              </w:rPr>
            </w:pPr>
          </w:p>
        </w:tc>
        <w:tc>
          <w:tcPr>
            <w:tcW w:w="960" w:type="dxa"/>
            <w:vAlign w:val="bottom"/>
            <w:tcBorders>
              <w:top w:val="single" w:sz="8" w:color="auto"/>
            </w:tcBorders>
          </w:tcPr>
          <w:p>
            <w:pPr>
              <w:jc w:val="center"/>
              <w:ind w:left="370"/>
              <w:spacing w:after="0" w:line="119" w:lineRule="exact"/>
              <w:rPr>
                <w:sz w:val="20"/>
                <w:szCs w:val="20"/>
                <w:color w:val="auto"/>
              </w:rPr>
            </w:pPr>
            <w:r>
              <w:rPr>
                <w:rFonts w:ascii="Arial" w:cs="Arial" w:eastAsia="Arial" w:hAnsi="Arial"/>
                <w:sz w:val="13"/>
                <w:szCs w:val="13"/>
                <w:b w:val="1"/>
                <w:bCs w:val="1"/>
                <w:color w:val="auto"/>
              </w:rPr>
              <w:t>July 29,</w:t>
            </w: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left="391"/>
              <w:spacing w:after="0" w:line="119" w:lineRule="exact"/>
              <w:rPr>
                <w:sz w:val="20"/>
                <w:szCs w:val="20"/>
                <w:color w:val="auto"/>
              </w:rPr>
            </w:pPr>
            <w:r>
              <w:rPr>
                <w:rFonts w:ascii="Arial" w:cs="Arial" w:eastAsia="Arial" w:hAnsi="Arial"/>
                <w:sz w:val="13"/>
                <w:szCs w:val="13"/>
                <w:b w:val="1"/>
                <w:bCs w:val="1"/>
                <w:color w:val="auto"/>
              </w:rPr>
              <w:t>July 30,</w:t>
            </w: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630"/>
              <w:spacing w:after="0" w:line="119" w:lineRule="exact"/>
              <w:rPr>
                <w:sz w:val="20"/>
                <w:szCs w:val="20"/>
                <w:color w:val="auto"/>
              </w:rPr>
            </w:pPr>
            <w:r>
              <w:rPr>
                <w:rFonts w:ascii="Arial" w:cs="Arial" w:eastAsia="Arial" w:hAnsi="Arial"/>
                <w:sz w:val="13"/>
                <w:szCs w:val="13"/>
                <w:b w:val="1"/>
                <w:bCs w:val="1"/>
                <w:color w:val="auto"/>
              </w:rPr>
              <w:t>July 29,</w:t>
            </w:r>
          </w:p>
        </w:tc>
        <w:tc>
          <w:tcPr>
            <w:tcW w:w="1360" w:type="dxa"/>
            <w:vAlign w:val="bottom"/>
            <w:tcBorders>
              <w:top w:val="single" w:sz="8" w:color="auto"/>
            </w:tcBorders>
          </w:tcPr>
          <w:p>
            <w:pPr>
              <w:jc w:val="right"/>
              <w:ind w:right="354"/>
              <w:spacing w:after="0" w:line="119" w:lineRule="exact"/>
              <w:rPr>
                <w:sz w:val="20"/>
                <w:szCs w:val="20"/>
                <w:color w:val="auto"/>
              </w:rPr>
            </w:pPr>
            <w:r>
              <w:rPr>
                <w:rFonts w:ascii="Arial" w:cs="Arial" w:eastAsia="Arial" w:hAnsi="Arial"/>
                <w:sz w:val="13"/>
                <w:szCs w:val="13"/>
                <w:b w:val="1"/>
                <w:bCs w:val="1"/>
                <w:color w:val="auto"/>
              </w:rPr>
              <w:t>July 30,</w:t>
            </w:r>
          </w:p>
        </w:tc>
        <w:tc>
          <w:tcPr>
            <w:tcW w:w="220" w:type="dxa"/>
            <w:vAlign w:val="bottom"/>
          </w:tcPr>
          <w:p>
            <w:pPr>
              <w:spacing w:after="0"/>
              <w:rPr>
                <w:sz w:val="10"/>
                <w:szCs w:val="10"/>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1"/>
              </w:rPr>
              <w:t>100.0%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1"/>
              </w:rPr>
              <w:t>100.0%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(66.5)</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(64.8)</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(65.8)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(65.6)</w:t>
            </w:r>
          </w:p>
        </w:tc>
      </w:tr>
      <w:tr>
        <w:trPr>
          <w:trHeight w:val="210"/>
        </w:trPr>
        <w:tc>
          <w:tcPr>
            <w:tcW w:w="4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(22.6)</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(23.5)</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(22.6)</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(23.6)</w:t>
            </w:r>
          </w:p>
        </w:tc>
      </w:tr>
      <w:tr>
        <w:trPr>
          <w:trHeight w:val="210"/>
        </w:trPr>
        <w:tc>
          <w:tcPr>
            <w:tcW w:w="4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r>
      <w:tr>
        <w:trPr>
          <w:trHeight w:val="223"/>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Worldwide consolidated net sales for the third quarter and year-to-date periods of fiscal 2011 were up 9.2 percent and 12.0 percent, respectively, from the same periods in the prior fiscal year. Worldwide professional segment net sales were up 8.8 percent and 16.2 percent for the third quarter and year-to-date periods of fiscal 2011, respectively, compared to the same periods in the prior fiscal year. Shipments for most professional segment businesses increased due to higher demand for the company’s products resulting from the successful introduction of new products, better product availability, and improved economic conditions, mainly in the first half of fiscal 2011. Demand for golf equipment and irrigation systems was particularly strong for the year-to-date period of fiscal 2011 compared to the same period last fiscal year due to golf development projects in key international markets and domestic renovation projects. In addition, shipments of products from our Sitework Systems business were up as a result of the rebound in the rental market, as well as new products that were positively received by customers. Micro-irrigation product sales also increased due to the continued growing market demand, particularly in Eastern Europe, and additional manufacturing capacity that increased production and sales of our water-conserving products. Early shipments of landscape contractor equipment were strong, which benefited our sales growth for the year-to-date period of fiscal 2011 as compared to the same period last fiscal year. However, severe drought conditions in key markets resulted in decreased demand and shipments of our landscape contractor equipment products for the third quarter of fiscal 2011 compared to the same period last fiscal year. Worldwide residential segment net sales increased 8.6 percent and 3.8 percent for the third quarter and year-to-date periods of fiscal 2011, respectively, compared to the same periods in fiscal 2010. These increases were driven primarily from strong preseason shipments of snow thrower products due to higher demand for these products resulting from depleted field inventory levels entering the 2011/2012 snow season following strong sales from heavy snow falls during the 2010/2011 snow season. Somewhat offsetting this increase were unfavorable weather conditions that dampened sales of walk power mowers and riding products for the third quarter of fiscal 2011 compared to the same period in the prior fiscal year. International net sales for the third quarter and year-to-date periods of fiscal 2011 increased 12.6 percent and 14.0 percent, respectively, from the same periods in the prior fiscal year due to the same factors discussed above, as well as a weaker U.S.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dollar compared to other currencies in which we transact business that accounted for approximately $9.3 million and $15.4 million of additional net sales for the third quarter and year-to-date periods of fiscal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ectPr>
          <w:pgSz w:w="11900" w:h="16838" w:orient="portrait"/>
          <w:cols w:equalWidth="0" w:num="1">
            <w:col w:w="11400"/>
          </w:cols>
          <w:pgMar w:left="240" w:top="125" w:right="259" w:bottom="117" w:gutter="0" w:footer="0" w:header="0"/>
        </w:sectPr>
      </w:pPr>
    </w:p>
    <w:bookmarkStart w:id="12" w:name="page13"/>
    <w:bookmarkEnd w:id="12"/>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percentage of net sales, gross profit for the third quarter of fiscal 2011 decreased 170 basis points to 33.5 percent compared to 35.2 percent in the third quarter of fiscal 2010. Gross profit as a percent of net sales for the year-to-date period of fiscal 2011 also decreased by 20 basis points to 34.2 percent compared to 34.4 percent for year-to-date period of fiscal 2010. These decreases were primarily due to the following factors: (i) rework costs associated with a non-safety quality issue that affected a large number of our residential segment walk power mowers; (ii) higher average prices paid for commodities in fiscal 2011 compared to fiscal 2010; and (iii) increased freight expense due to higher fuel prices in fiscal 2011 compared to fiscal 2010. Somewhat offsetting those negative factors were lower manufacturing costs for the year-to-date period of fiscal 2011 compared to the same period last fiscal year from higher plant utilization, mainly related to increased demand for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SG&amp;A expense increased $5.1 million, or 4.7 percent, for the third quarter of fiscal 2011 compared to the third quarter of fiscal 2010, and increased $22.9 million, or 7.2 percent, for the year-to-date period of fiscal 2011 compared to the year-to-date period of fiscal 2010. As a percentage of net sales, SG&amp;A expense decreased 90 basis points and 100 basis points for the third quarter and year-to-date periods of fiscal 2011, respectively, compared to the same periods in the prior fiscal year. These decreases were primarily attributable to leveraging SG&amp;A costs over higher sales volumes and lower incentive compensation expense, which was lower by $4.2 million and $2.6 million for the third quarter and the year-to-date periods of fiscal 2011, respectively, compared to the same periods in the prior fiscal year due to changes in financial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Interest expense for the third quarter of fiscal 2011 increased slightly, by 1.2 percent, compared to the third quarter of fiscal 2010, but was down slightly by 1.3 percent for the year-to-date period of fiscal 2011 compared to the same period in the prior fiscal year as a result of lower average debt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income, net for the third quarter of fiscal 2011 decreased $0.5 million compared to the same period in the prior fiscal year due primarily to an increase in foreign currency exchange rate losses, somewhat offset by an increase in income from affiliates. Other income, net for the year-to-date period of fiscal 2011 increased $0.4 million compared to the same period last fiscal year due mainly to an increase in income from equity investments, somewhat offset by higher foreign currency exchange rate losses.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effective tax rate for the third quarter of fiscal 2011 was 32.9 percent compared to 35.7 percent for the third quarter of fiscal 2010. The effective tax rate for the year-to-date periods of fiscal 2011 and 2010 was 32.7 percent and 34.4 percent, respectively. The reduction in the effective tax rate was primarily the result of the retroactive reenactment of the federal research and development tax credit and a benefit from the finalization of the fiscal 2010 tax return as compared to the tax provision.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Pr>
          <w:p>
            <w:pPr>
              <w:spacing w:after="0"/>
              <w:rPr>
                <w:sz w:val="10"/>
                <w:szCs w:val="10"/>
                <w:color w:val="auto"/>
              </w:rPr>
            </w:pPr>
          </w:p>
        </w:tc>
        <w:tc>
          <w:tcPr>
            <w:tcW w:w="14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30,</w:t>
            </w:r>
          </w:p>
        </w:tc>
        <w:tc>
          <w:tcPr>
            <w:tcW w:w="220" w:type="dxa"/>
            <w:vAlign w:val="bottom"/>
          </w:tcPr>
          <w:p>
            <w:pPr>
              <w:spacing w:after="0"/>
              <w:rPr>
                <w:sz w:val="10"/>
                <w:szCs w:val="10"/>
                <w:color w:val="auto"/>
              </w:rPr>
            </w:pPr>
          </w:p>
        </w:tc>
        <w:tc>
          <w:tcPr>
            <w:tcW w:w="11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0"/>
                <w:szCs w:val="10"/>
                <w:color w:val="auto"/>
              </w:rPr>
            </w:pPr>
          </w:p>
        </w:tc>
        <w:tc>
          <w:tcPr>
            <w:tcW w:w="15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317,876</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2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147,479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135,759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11,720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5,255</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501,045</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458,890</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42,155</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gridSpan w:val="2"/>
          </w:tcPr>
          <w:p>
            <w:pPr>
              <w:spacing w:after="0"/>
              <w:rPr>
                <w:sz w:val="8"/>
                <w:szCs w:val="8"/>
                <w:color w:val="auto"/>
              </w:rPr>
            </w:pPr>
          </w:p>
        </w:tc>
        <w:tc>
          <w:tcPr>
            <w:tcW w:w="58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146,678</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130,317</w:t>
            </w: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Pr>
          <w:p>
            <w:pPr>
              <w:spacing w:after="0"/>
              <w:rPr>
                <w:sz w:val="10"/>
                <w:szCs w:val="10"/>
                <w:color w:val="auto"/>
              </w:rPr>
            </w:pPr>
          </w:p>
        </w:tc>
        <w:tc>
          <w:tcPr>
            <w:tcW w:w="14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30,</w:t>
            </w:r>
          </w:p>
        </w:tc>
        <w:tc>
          <w:tcPr>
            <w:tcW w:w="220" w:type="dxa"/>
            <w:vAlign w:val="bottom"/>
          </w:tcPr>
          <w:p>
            <w:pPr>
              <w:spacing w:after="0"/>
              <w:rPr>
                <w:sz w:val="10"/>
                <w:szCs w:val="10"/>
                <w:color w:val="auto"/>
              </w:rPr>
            </w:pPr>
          </w:p>
        </w:tc>
        <w:tc>
          <w:tcPr>
            <w:tcW w:w="11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0"/>
                <w:szCs w:val="10"/>
                <w:color w:val="auto"/>
              </w:rPr>
            </w:pPr>
          </w:p>
        </w:tc>
        <w:tc>
          <w:tcPr>
            <w:tcW w:w="15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880,252</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142,284</w:t>
            </w:r>
          </w:p>
        </w:tc>
        <w:tc>
          <w:tcPr>
            <w:tcW w:w="2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480,404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462,613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17,791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12,918</w:t>
            </w:r>
          </w:p>
        </w:tc>
        <w:tc>
          <w:tcPr>
            <w:tcW w:w="26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10,202</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1,515,858</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1,353,067</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162,791</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gridSpan w:val="2"/>
          </w:tcPr>
          <w:p>
            <w:pPr>
              <w:spacing w:after="0"/>
              <w:rPr>
                <w:sz w:val="8"/>
                <w:szCs w:val="8"/>
                <w:color w:val="auto"/>
              </w:rPr>
            </w:pPr>
          </w:p>
        </w:tc>
        <w:tc>
          <w:tcPr>
            <w:tcW w:w="58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487,325</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427,646</w:t>
            </w: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59,679</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July 29,</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July 30,</w:t>
            </w:r>
          </w:p>
        </w:tc>
        <w:tc>
          <w:tcPr>
            <w:tcW w:w="1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Change</w:t>
            </w: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3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360" w:type="dxa"/>
            <w:vAlign w:val="bottom"/>
          </w:tcPr>
          <w:p>
            <w:pPr>
              <w:jc w:val="right"/>
              <w:ind w:right="470"/>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62,681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10,650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(6,012)</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(16,691)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4,675</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52,291</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Pr>
          <w:p>
            <w:pPr>
              <w:spacing w:after="0"/>
              <w:rPr>
                <w:sz w:val="10"/>
                <w:szCs w:val="10"/>
                <w:color w:val="auto"/>
              </w:rPr>
            </w:pPr>
          </w:p>
        </w:tc>
        <w:tc>
          <w:tcPr>
            <w:tcW w:w="138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July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13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42,545</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49,190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(6,645)</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(63,170)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167,244</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137,170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for the professional segment in the third quarter and year-to-date periods of fiscal 2011 increased 8.8 percent and 16.2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same periods in the prior fiscal year. Shipments for most professional segment businesses increased due to higher demand for our products resulting from the successful introduction of new products, better product availability, and improved economic conditions, mainly for the first half of fiscal 2011. Demand for golf equipment and irrigation systems was particularly strong for the year-to-date period of fiscal 2011 compared to the same period last fiscal year due to golf development projects in key international markets and domestic renovation projects. In addition, shipments of products from our Sitework Systems business were up as a result of the rebound in the rental market, as well as new products that were positively received by customers. Micro-irrigation product sales also increased due to the continued growing market demand, particularly in Eastern Europe, and additional manufacturing capacity that increased production and sales of our water-conserving products. Early shipments of landscape contractor equipment were strong, which benefited our sales growth for the year-to-date period of fiscal 2011 as compared to the same period last fiscal year. However, severe drought conditions in key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markets resulted in decreased demand and shipments of our landscape contractor equipment products for the third quarter of fiscal 2011 compared to the same period last fiscal year.</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third quarter and year-to-date periods of fiscal 2011 increased 2.7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20.4 percent, respectively, compared to the same periods in fiscal 2010. Expressed as a percentage of net sales, professional segment operating margin decreased to 18.6 percent compared to 19.7 percent in the third quarter of fiscal 2010 due mainly to lower gross margin from higher commodity prices and increased freight expense in fiscal 2011. Professional segment operating margin for the year-to-date period of fiscal 2011 increased to 18.4 percent compared to 17.7 percent in the same period last fiscal year. This profit improvement was primarily attributable to higher sales volumes and lower SG&amp;A expense as a percentage of net sales due to leveraging fixed SG&amp;A costs over higher sales volumes, somewhat offset by a decline in gross margin, as previously discussed.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residential segment in the third quarter and year-to-date periods of fiscal 2011 increased 8.6 percent and 3.8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in the prior fiscal year. These increases were driven primarily from strong preseason shipments of snow thrower products due to higher demand for these products resulting from depleted field inventory levels entering the 2011/2012 snow season following strong sales from heavy snow falls during the 2010/2011 snow season. Net sales of the company’s Pope products sold in Australia also increased in the third quarter of fiscal 2011 compared to the third quarter of fiscal 2010; however, shipments of Pope products were down for the year-to-date comparison due to heavy rains and flooding in Australia that negatively affected demand in the first quarter of fiscal 2011. Unfavorable weather conditions dampened sales of walk power mowers and riding products for the third quarter of fiscal 2011 compared to the same period in the prior fiscal year. However, for the year-to-date period of fiscal 2011 compared to the year-to-date period last fiscal year, riding product sales were up as a result of positive customer acceptance for our new line of zero-turn radius riding mowers, as well as better product availability. Residential segment field inventory levels were up as of the end of the third quarter of fiscal 2011 compared to the same period last fiscal year due to strong preseason demand of snow thrower products and higher riding product field inventory levels from continued strong demand for our new riding mower products.</w:t>
      </w:r>
    </w:p>
    <w:p>
      <w:pPr>
        <w:spacing w:after="0" w:line="17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third quarter and year-to-date periods of fiscal 2011 decreased 56.5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13.5 percent, respectively, compared to the same periods in fiscal 2010. Expressed as a percentage of net sales, residential segment operating margin for the third quarter of fiscal 2011 also decreased to 3.1 percent compared to 7.8 percent in the third quarter of fiscal 2010, and fiscal 2011 year-to-date residential segment operating margin decreased to 8.9 percent compared to 10.6 percent in the same period last fiscal year. These profit declines were primarily attributable to a pre-tax charge of $4.5 million due to costs associated with a rework for a non-safety quality issue that affected a large number of our walk power mowers, lower gross margin from higher commodity prices and increased freight expense in fiscal 2011, and higher SG&amp;A expense, mainly from an increase in warranty expense due to special provisions for product modifications, and increased expenses for marketing, warehousing, and engineering.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Net sales for the other segment include sales from our wholly owned domestic distribution companies less sales from the professional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residential segments to those distribution companies. The other segment net sales for the third quarter and year-to-date periods of fiscal 2011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and $2.7 million, respectively, compared to the same periods in the prior fiscal year, due to incremental sales from the addition of a U.S Western-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distribution company that was acquired on October 29, 2010.</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were down for the third quarter and year-to-date periods of fiscal 2011 by $4.7 million, or 21.9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$4.9 million, or 7.3 percent, respectively, compared to the same periods in the prior fiscal year. These loss declines were primarily attributable to the following factors: (i) lower incentive compensation expense; (ii) improved profitability at our wholly owned domestic distribution companies; (iii) lower self-insured health care costs; and (iv) an increase in income from affiliates. Somewhat offsetting those factors were higher foreign currency exchange rate losses.</w:t>
      </w:r>
    </w:p>
    <w:p>
      <w:pPr>
        <w:sectPr>
          <w:pgSz w:w="11900" w:h="16838" w:orient="portrait"/>
          <w:cols w:equalWidth="0" w:num="1">
            <w:col w:w="11420"/>
          </w:cols>
          <w:pgMar w:left="240" w:top="140" w:right="239" w:bottom="0" w:gutter="0" w:footer="0" w:header="0"/>
        </w:sectPr>
      </w:pPr>
    </w:p>
    <w:bookmarkStart w:id="14" w:name="page15"/>
    <w:bookmarkEnd w:id="14"/>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taken proactive measures to improve working capital utilization, including managing our assets and adjusting production plans. As such, our financial condition remains strong. We continue to place emphasis on asset management, with a focus on minimizing the amount of working capital in the supply chain and maintaining or improving order replenishment and service levels to end users.</w:t>
      </w:r>
    </w:p>
    <w:p>
      <w:pPr>
        <w:spacing w:after="0" w:line="181"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Receivables as of the end of the third quarter of fiscal 2011 were up $28.9 million, or 17.0 percent, compared to the end of the third quarter of fiscal 2010 due mainly to higher sales volumes and foreign currency exchange rates, which accounted for approximately $8 million of the receivables increase. Our average days sales outstanding for receivables improved to 37 days based on sales for the last twelve months ended July 29, 2011, compared to 42 days for the twelve months ended July 30, 2010 primarily as the result of floor plan receivables and certain open account receivables financed with Red Iron, our financing joint venture with TCFIF, instead of with us. Inventory levels as of the end of the third quarter of fiscal 2011 were up $55.2 million, or 31.1 percent, compared to the end of the third quarter of fiscal 2010 as we prebuilt inventory, mainly for new residential products, in anticipation of higher demand, which did not occur as expected due to unfavorable weather conditions, as well as higher foreign currency exchange rates, which accounted for approximately $10 million of the inventory increase. Average inventory turnover also declined by 8.6 percent for the twelve months ended July 29, 2011 compared to the twelve months ended July 30, 2010. Accounts payable increased as of the end of our third quarter of fiscal 2011 by $8.7 million, or 7.4 percent, driven by higher levels of inventory and production and our supply chain initiatives. Our average net working capital as a percentage of net sales for the twelve months ended July 29, 2011 was 14.5 percent compared to 15.4 percent for the twelve months ended July 30,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third quarter of fiscal 2011 paid on July 8, 2011, which was an increase of 11 percent over our cash dividend of $0.18 per share for the third quarter of fiscal 2010.</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for the first nine months of fiscal 2011 decreased $84.9 million compared to the first nine months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due to an increase in working capital for the first nine months of fiscal 2011 as compared to the first nine months of fiscal 2010, as described above, somewhat offset by higher net earnings. Cash used for investing activities was up by $16.1 million compared to the first nine months of fiscal 2010, due to an increase in cash utilized for acquisitions and higher levels of cash used for purchases of property, plant, and equipment, mainly for a new manufacturing facility in Romania. Cash used for financing activities for the first nine months of fiscal 2011 was down by $61.3 million. This decline was primarily attributable to lower levels of funds used to repurchase our common stock during the first nine months of fiscal 2011 compared to the first nine months of fiscal 2010.</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businesses are seasonal, with accounts receivable balances historically increasing between January and</w:t>
      </w:r>
      <w:r>
        <w:rPr>
          <w:rFonts w:ascii="Arial" w:cs="Arial" w:eastAsia="Arial" w:hAnsi="Arial"/>
          <w:sz w:val="17"/>
          <w:szCs w:val="17"/>
          <w:i w:val="1"/>
          <w:iCs w:val="1"/>
          <w:color w:val="auto"/>
        </w:rPr>
        <w:t xml:space="preserve"> </w:t>
      </w:r>
      <w:r>
        <w:rPr>
          <w:rFonts w:ascii="Arial" w:cs="Arial" w:eastAsia="Arial" w:hAnsi="Arial"/>
          <w:sz w:val="17"/>
          <w:szCs w:val="17"/>
          <w:color w:val="auto"/>
        </w:rPr>
        <w:t>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a four-year, $150.0 million unsecured senior revolving credit facility entered into on July 28, 2011. This replaced the prior revolving credit facility that was scheduled to mature in January 2012. Included in the $150.0 million revolving credit facility is a sublimit for standby letters of credit and a sublimit for swingline loans. At the election of the company, and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We had no outstanding short-term debt under this revolving credit facility as of July 29, 2011.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million. These facilities bear interest at various rates depending on the rates in their respective countries of operation. As of July 29, 2011, we had no outstanding short-term debt under these lines of credit. As of July 29, 2011, we had $6.2 million of outstanding standby letters of credit. As of July 29, 2011, we had $164.3 million of unutilized availability under our credit agreements. In addition, we had $0.1 million in short-term debt for certain receivables for which we provided recourse to Red Iron as of July 29, 2011.</w:t>
      </w:r>
    </w:p>
    <w:p>
      <w:pPr>
        <w:spacing w:after="0" w:line="187"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We were in compliance with all covenants related to our credit agreement for our revolving credit facility as of July 29, 2011, and we expect to be in compliance with all covenants during the remainder of fiscal 2011.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w:t>
      </w:r>
    </w:p>
    <w:p>
      <w:pPr>
        <w:sectPr>
          <w:pgSz w:w="11900" w:h="16932" w:orient="portrait"/>
          <w:cols w:equalWidth="0" w:num="1">
            <w:col w:w="11400"/>
          </w:cols>
          <w:pgMar w:left="240" w:top="125" w:right="259" w:bottom="0" w:gutter="0" w:footer="0" w:header="0"/>
        </w:sectPr>
      </w:pPr>
    </w:p>
    <w:bookmarkStart w:id="15" w:name="page16"/>
    <w:bookmarkEnd w:id="15"/>
    <w:p>
      <w:pPr>
        <w:spacing w:after="0" w:line="297" w:lineRule="auto"/>
        <w:rPr>
          <w:sz w:val="20"/>
          <w:szCs w:val="20"/>
          <w:color w:val="auto"/>
        </w:rPr>
      </w:pPr>
      <w:r>
        <w:rPr>
          <w:rFonts w:ascii="Arial" w:cs="Arial" w:eastAsia="Arial" w:hAnsi="Arial"/>
          <w:sz w:val="16"/>
          <w:szCs w:val="16"/>
          <w:color w:val="auto"/>
        </w:rPr>
        <w:t>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third quarter of fiscal 2011 by Standard and Poor’s Ratings Group at BBB- and by Moody’s Investors Service at Baa3.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$15.5 million of receivables from us during the first nine months of fiscal 2011. As of July 29, 2011, $9.2 million of receivables financed by the third party financing company, excluding Red Iron, were outstanding, and also includes outstanding receivables that were financed by third party sources before the establishment of Red Iron. See our most recently filed Annual Report on Form 10-K for further details regarding our customer financing arrangements and contractual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subject to the effects of inflation, deflation, and changing prices. In the first nine months of fiscal 2011, average prices paid for fuel, commodities and components we purchase were higher compared to the average prices paid for fuel, commodities and components in the first nine months of fiscal 2010, which contributed to the decline in our gross margin rate for the first nine months of fiscal 2011 compared to the first nine months of fiscal 2010. We will continue to closely follow the fuel, commodities and components costs that affect our product lines, and we anticipate average prices paid for fuel, commodities and components to be higher for the remainder of fiscal 2011 as compared to fiscal 2010.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2010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June 2011, FASB issued ASU No. 2011-05, </w:t>
      </w:r>
      <w:r>
        <w:rPr>
          <w:rFonts w:ascii="Arial" w:cs="Arial" w:eastAsia="Arial" w:hAnsi="Arial"/>
          <w:sz w:val="16"/>
          <w:szCs w:val="16"/>
          <w:i w:val="1"/>
          <w:iCs w:val="1"/>
          <w:color w:val="auto"/>
        </w:rPr>
        <w:t>Comprehensive Income (Topic 220) — Presentation of Comprehensive Income</w:t>
      </w:r>
      <w:r>
        <w:rPr>
          <w:rFonts w:ascii="Arial" w:cs="Arial" w:eastAsia="Arial" w:hAnsi="Arial"/>
          <w:sz w:val="16"/>
          <w:szCs w:val="16"/>
          <w:color w:val="auto"/>
        </w:rPr>
        <w:t>. The ASU 2011-05 guidance amended the presentation of comprehensive income to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The guidance eliminates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option to present the components of other comprehensive income as part of the statement of changes in stockholders’ equity. The amended guidance is effective for fiscal years, and interim periods within those years, beginning after December 15, 2011, and is to be applied retrospectively. The company will adopt this guidance at the beginning of its first quarter of fiscal year 2013. The adoption of this guidance is not expected to have a material impact on the company’s consolidated financial statements.</w:t>
      </w:r>
    </w:p>
    <w:p>
      <w:pPr>
        <w:spacing w:after="0" w:line="187" w:lineRule="exact"/>
        <w:rPr>
          <w:sz w:val="20"/>
          <w:szCs w:val="20"/>
          <w:color w:val="auto"/>
        </w:rPr>
      </w:pPr>
    </w:p>
    <w:p>
      <w:pPr>
        <w:ind w:right="80" w:firstLine="270"/>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Requirements in U.S. GAAP and IFRS</w:t>
      </w:r>
      <w:r>
        <w:rPr>
          <w:rFonts w:ascii="Arial" w:cs="Arial" w:eastAsia="Arial" w:hAnsi="Arial"/>
          <w:sz w:val="16"/>
          <w:szCs w:val="16"/>
          <w:color w:val="auto"/>
        </w:rPr>
        <w:t>. The amendments result in a consistent definition of fair value and common requirements for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and disclosure about fair value between U.S. GAAP and International Financial Reporting Standards. The amendments clarify the application of existing fair value measurement and disclosure requirements, including: a) application of the highest and best use and valuation premise concepts, b) measurement of the fair value of an instrument classified in a reporting entity’s shareholders equity, and c) quantitative disclosure about the unobservable inputs used in a fair value measurement that is categorized within Level 3 of the fair value hierarchy. The amendments also change a particular principle or requirement for fair value measurement and disclosure, including: a) measurement of the fair value of financial instruments that are managed within a portfolio, b) application of premiums and discounts in a fair value measurement, and c) additional disclosure about fair value measurements. The amendments are effective during interim and annual periods beginning after December 15, 2011 and are to be applied prospectively. The company will adopt the amendments of ASU</w:t>
      </w:r>
    </w:p>
    <w:p>
      <w:pPr>
        <w:spacing w:after="0" w:line="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No. 2011-04 at the beginning of its second quarter of fiscal year 2012. The adoption of this guidance is not expected to have a material impact on the company’s disclosures.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and by using future dates. Our forward-looking statements generally relate to our future performance, including our anticipated operating results and liquidity requirements,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ectPr>
          <w:pgSz w:w="11900" w:h="16838" w:orient="portrait"/>
          <w:cols w:equalWidth="0" w:num="1">
            <w:col w:w="11400"/>
          </w:cols>
          <w:pgMar w:left="240" w:top="125" w:right="259" w:bottom="0" w:gutter="0" w:footer="0" w:header="0"/>
        </w:sectPr>
      </w:pPr>
    </w:p>
    <w:bookmarkStart w:id="16" w:name="page17"/>
    <w:bookmarkEnd w:id="16"/>
    <w:p>
      <w:pPr>
        <w:ind w:left="260" w:right="20" w:hanging="252"/>
        <w:spacing w:after="0" w:line="272"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Economic conditions and outlook in the United States and around the world could adversely affect our net sales and earnings, which includes but is not limited to recessionary conditions; slow or negative economic growth rates; slow down or reductions in levels of golf course development, renovation, and improvement; golf course closures; continued slow down or reductions in levels of home ownership, construction, and home sales; home foreclosures; reduced consumer spending levels; reduced credit availability or unfavorable credit terms for our distributors, dealers, and end-user customers; higher commodity and component costs and fuel prices; higher short-term, mortgage, and other interest rates; continued high unemployment rates; inflationary or deflationary pressures; negative consumer confidence; the impact of sovereign and state debt; and general economic and political conditions and expectations in the U.S. and the other countries in which we conduct business.</w:t>
      </w:r>
    </w:p>
    <w:p>
      <w:pPr>
        <w:spacing w:after="0" w:line="177" w:lineRule="exact"/>
        <w:rPr>
          <w:rFonts w:ascii="Arial" w:cs="Arial" w:eastAsia="Arial" w:hAnsi="Arial"/>
          <w:sz w:val="17"/>
          <w:szCs w:val="17"/>
          <w:color w:val="auto"/>
        </w:rPr>
      </w:pPr>
    </w:p>
    <w:p>
      <w:pPr>
        <w:jc w:val="both"/>
        <w:ind w:left="260" w:right="60" w:hanging="252"/>
        <w:spacing w:after="0" w:line="264"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and components that we purchase, such as steel, engines, hydraulics, resins and other commodities and components, and increases in our other costs of doing business, such as transportation costs, may adversely affect our profit margins and business.</w:t>
      </w:r>
    </w:p>
    <w:p>
      <w:pPr>
        <w:spacing w:after="0" w:line="181"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w:t>
      </w:r>
    </w:p>
    <w:p>
      <w:pPr>
        <w:spacing w:after="0" w:line="225" w:lineRule="exact"/>
        <w:rPr>
          <w:rFonts w:ascii="Arial" w:cs="Arial" w:eastAsia="Arial" w:hAnsi="Arial"/>
          <w:sz w:val="18"/>
          <w:szCs w:val="18"/>
          <w:color w:val="auto"/>
        </w:rPr>
      </w:pPr>
    </w:p>
    <w:p>
      <w:pPr>
        <w:ind w:left="260" w:right="160" w:hanging="252"/>
        <w:spacing w:after="0" w:line="279"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availability of credit to professional segment customers on acceptable terms to finance new product purchases; and the amount of government revenues, budget, and spending levels for grounds maintenance equipment; and other factors.</w:t>
      </w:r>
    </w:p>
    <w:p>
      <w:pPr>
        <w:spacing w:after="0" w:line="171" w:lineRule="exact"/>
        <w:rPr>
          <w:rFonts w:ascii="Arial" w:cs="Arial" w:eastAsia="Arial" w:hAnsi="Arial"/>
          <w:sz w:val="17"/>
          <w:szCs w:val="17"/>
          <w:color w:val="auto"/>
        </w:rPr>
      </w:pPr>
    </w:p>
    <w:p>
      <w:pPr>
        <w:ind w:left="260" w:right="180" w:hanging="25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The Home Depot, Inc. as a major customer, the amount of product placement at retailers, consumer confidence and spending levels, and changing buying patterns of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180" w:hanging="252"/>
        <w:spacing w:after="0" w:line="286"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65" w:lineRule="exact"/>
        <w:rPr>
          <w:rFonts w:ascii="Arial" w:cs="Arial" w:eastAsia="Arial" w:hAnsi="Arial"/>
          <w:sz w:val="17"/>
          <w:szCs w:val="17"/>
          <w:color w:val="auto"/>
        </w:rPr>
      </w:pPr>
    </w:p>
    <w:p>
      <w:pPr>
        <w:ind w:left="260" w:right="100" w:hanging="252"/>
        <w:spacing w:after="0" w:line="342"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spacing w:after="0" w:line="123" w:lineRule="exact"/>
        <w:rPr>
          <w:rFonts w:ascii="Arial" w:cs="Arial" w:eastAsia="Arial" w:hAnsi="Arial"/>
          <w:sz w:val="16"/>
          <w:szCs w:val="16"/>
          <w:color w:val="auto"/>
        </w:rPr>
      </w:pPr>
    </w:p>
    <w:p>
      <w:pPr>
        <w:ind w:left="260" w:right="220" w:hanging="252"/>
        <w:spacing w:after="0" w:line="302"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w:t>
      </w:r>
    </w:p>
    <w:p>
      <w:pPr>
        <w:spacing w:after="0" w:line="154"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225" w:lineRule="exact"/>
        <w:rPr>
          <w:rFonts w:ascii="Arial" w:cs="Arial" w:eastAsia="Arial" w:hAnsi="Arial"/>
          <w:sz w:val="18"/>
          <w:szCs w:val="18"/>
          <w:color w:val="auto"/>
        </w:rPr>
      </w:pPr>
    </w:p>
    <w:p>
      <w:pPr>
        <w:ind w:left="260" w:right="80" w:hanging="252"/>
        <w:spacing w:after="0" w:line="273"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open and manage new, and/or move production between manufacturing facilities could adversely affect our business and operating results. We expect to complete the construction of our new manufacturing facility in Romania for micro-irrigation products and begin production in the fourth quarter of fiscal 2011. If this facility does not produce the anticipated manufacturing or operational efficiencies, or if the micro-irrigation products to be produced at this facility are not accepted into the new geographic markets at expected levels, we may not recover the costs of the new facility and our operating results may be adversely affected.</w:t>
      </w:r>
    </w:p>
    <w:p>
      <w:pPr>
        <w:spacing w:after="0" w:line="178" w:lineRule="exact"/>
        <w:rPr>
          <w:rFonts w:ascii="Arial" w:cs="Arial" w:eastAsia="Arial" w:hAnsi="Arial"/>
          <w:sz w:val="17"/>
          <w:szCs w:val="17"/>
          <w:color w:val="auto"/>
        </w:rPr>
      </w:pPr>
    </w:p>
    <w:p>
      <w:pPr>
        <w:ind w:left="260" w:right="120" w:hanging="252"/>
        <w:spacing w:after="0" w:line="26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which are risky and could harm our business, particularly if we are not able to successfully integrate such acquisitions and alliances, joint ventures, and partnerships.</w:t>
      </w:r>
    </w:p>
    <w:p>
      <w:pPr>
        <w:spacing w:after="0" w:line="181" w:lineRule="exact"/>
        <w:rPr>
          <w:rFonts w:ascii="Arial" w:cs="Arial" w:eastAsia="Arial" w:hAnsi="Arial"/>
          <w:sz w:val="18"/>
          <w:szCs w:val="18"/>
          <w:color w:val="auto"/>
        </w:rPr>
      </w:pPr>
    </w:p>
    <w:p>
      <w:pPr>
        <w:ind w:left="260" w:right="200" w:hanging="252"/>
        <w:spacing w:after="0" w:line="25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86" w:lineRule="exact"/>
        <w:rPr>
          <w:rFonts w:ascii="Arial" w:cs="Arial" w:eastAsia="Arial" w:hAnsi="Arial"/>
          <w:sz w:val="18"/>
          <w:szCs w:val="18"/>
          <w:color w:val="auto"/>
        </w:rPr>
      </w:pPr>
    </w:p>
    <w:p>
      <w:pPr>
        <w:jc w:val="both"/>
        <w:ind w:left="260" w:right="80" w:hanging="252"/>
        <w:spacing w:after="0" w:line="26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81" w:lineRule="exact"/>
        <w:rPr>
          <w:rFonts w:ascii="Arial" w:cs="Arial" w:eastAsia="Arial" w:hAnsi="Arial"/>
          <w:sz w:val="18"/>
          <w:szCs w:val="18"/>
          <w:color w:val="auto"/>
        </w:rPr>
      </w:pPr>
    </w:p>
    <w:p>
      <w:pPr>
        <w:ind w:left="260" w:hanging="252"/>
        <w:spacing w:after="0" w:line="342"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23" w:lineRule="exact"/>
        <w:rPr>
          <w:rFonts w:ascii="Arial" w:cs="Arial" w:eastAsia="Arial" w:hAnsi="Arial"/>
          <w:sz w:val="16"/>
          <w:szCs w:val="16"/>
          <w:color w:val="auto"/>
        </w:rPr>
      </w:pPr>
    </w:p>
    <w:p>
      <w:pPr>
        <w:ind w:left="260" w:right="420" w:hanging="25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70" w:lineRule="exact"/>
        <w:rPr>
          <w:rFonts w:ascii="Arial" w:cs="Arial" w:eastAsia="Arial" w:hAnsi="Arial"/>
          <w:sz w:val="18"/>
          <w:szCs w:val="18"/>
          <w:color w:val="auto"/>
        </w:rPr>
      </w:pPr>
    </w:p>
    <w:p>
      <w:pPr>
        <w:ind w:left="260" w:hanging="252"/>
        <w:spacing w:after="0" w:line="255"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that beginning in 2012 are applicable to diesel engines in a specified horsepower range that are used in some of our products. Although we are developing plans to achieve substantial compliance with Tier 4 requirements, these plans will be subject to many variables and if we are unable to successfully execute such plans, our ability to sell our products into certain markets may be inhibited, which could adversely affect our competitive position and financial results.</w:t>
      </w:r>
    </w:p>
    <w:p>
      <w:pPr>
        <w:spacing w:after="0" w:line="18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ectPr>
          <w:pgSz w:w="11900" w:h="16838" w:orient="portrait"/>
          <w:cols w:equalWidth="0" w:num="1">
            <w:col w:w="11420"/>
          </w:cols>
          <w:pgMar w:left="240" w:top="125" w:right="239" w:bottom="0" w:gutter="0" w:footer="0" w:header="0"/>
        </w:sectPr>
      </w:pPr>
    </w:p>
    <w:bookmarkStart w:id="17" w:name="page18"/>
    <w:bookmarkEnd w:id="17"/>
    <w:p>
      <w:pPr>
        <w:spacing w:after="0" w:line="106" w:lineRule="exact"/>
        <w:rPr>
          <w:sz w:val="20"/>
          <w:szCs w:val="20"/>
          <w:color w:val="auto"/>
        </w:rPr>
      </w:pPr>
    </w:p>
    <w:p>
      <w:pPr>
        <w:ind w:left="260" w:right="160" w:hanging="25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spacing w:after="0" w:line="170" w:lineRule="exact"/>
        <w:rPr>
          <w:rFonts w:ascii="Arial" w:cs="Arial" w:eastAsia="Arial" w:hAnsi="Arial"/>
          <w:sz w:val="18"/>
          <w:szCs w:val="18"/>
          <w:color w:val="auto"/>
        </w:rPr>
      </w:pPr>
    </w:p>
    <w:p>
      <w:pPr>
        <w:ind w:left="260" w:right="500" w:hanging="25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40" w:hanging="252"/>
        <w:spacing w:after="0" w:line="279"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spacing w:after="0" w:line="171" w:lineRule="exact"/>
        <w:rPr>
          <w:rFonts w:ascii="Arial" w:cs="Arial" w:eastAsia="Arial" w:hAnsi="Arial"/>
          <w:sz w:val="17"/>
          <w:szCs w:val="17"/>
          <w:color w:val="auto"/>
        </w:rPr>
      </w:pPr>
    </w:p>
    <w:p>
      <w:pPr>
        <w:ind w:left="260" w:right="20" w:hanging="252"/>
        <w:spacing w:after="0" w:line="290"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operating earnings, and employee engagement goals of our new, multi-year employee initiative called “Destination 2014”; natural or man-made disasters or global pandemics that may result in shortages of raw materials and components, higher fuel and commodity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other operating results, and cash flows. See further discussions on these market risks below. We are also exposed to equity market risk pertaining to the trading price of our common stock.</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exchange rate market risk</w:t>
      </w:r>
      <w:r>
        <w:rPr>
          <w:rFonts w:ascii="Arial" w:cs="Arial" w:eastAsia="Arial" w:hAnsi="Arial"/>
          <w:sz w:val="17"/>
          <w:szCs w:val="17"/>
          <w:i w:val="1"/>
          <w:iCs w:val="1"/>
          <w:color w:val="auto"/>
        </w:rPr>
        <w:t xml:space="preserve"> </w:t>
      </w:r>
      <w:r>
        <w:rPr>
          <w:rFonts w:ascii="Arial" w:cs="Arial" w:eastAsia="Arial" w:hAnsi="Arial"/>
          <w:sz w:val="17"/>
          <w:szCs w:val="17"/>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foreign subsidiaries, foreign plant operations,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exposures are with the Euro, the Australian dollar, the Canadian dollar, the British pound, the Mexican peso, and the Japanese yen against the U.S. dollar. We also have exposure with the Romanian New Lei against the Euro and U.S. dollar as a result of our new manufacturing facility in Romania.</w:t>
      </w:r>
    </w:p>
    <w:p>
      <w:pPr>
        <w:spacing w:after="0" w:line="178" w:lineRule="exact"/>
        <w:rPr>
          <w:sz w:val="20"/>
          <w:szCs w:val="20"/>
          <w:color w:val="auto"/>
        </w:rPr>
      </w:pPr>
    </w:p>
    <w:p>
      <w:pPr>
        <w:ind w:right="480" w:firstLine="270"/>
        <w:spacing w:after="0" w:line="277" w:lineRule="auto"/>
        <w:rPr>
          <w:sz w:val="20"/>
          <w:szCs w:val="20"/>
          <w:color w:val="auto"/>
        </w:rPr>
      </w:pPr>
      <w:r>
        <w:rPr>
          <w:rFonts w:ascii="Arial" w:cs="Arial" w:eastAsia="Arial" w:hAnsi="Arial"/>
          <w:sz w:val="18"/>
          <w:szCs w:val="18"/>
          <w:color w:val="auto"/>
        </w:rPr>
        <w:t>We enter into various contracts, principally forward contracts that change in value as foreign currency exchange rates change, to protect the value of existing foreign currency assets, liabilities, anticipated sales, and probable commitments. Decisions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market values of the related exposures. Therefore, changes in market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93" w:lineRule="exact"/>
        <w:rPr>
          <w:sz w:val="20"/>
          <w:szCs w:val="20"/>
          <w:color w:val="auto"/>
        </w:rPr>
      </w:pPr>
    </w:p>
    <w:p>
      <w:pPr>
        <w:ind w:right="200" w:firstLine="216"/>
        <w:spacing w:after="0" w:line="302" w:lineRule="auto"/>
        <w:rPr>
          <w:sz w:val="20"/>
          <w:szCs w:val="20"/>
          <w:color w:val="auto"/>
        </w:rPr>
      </w:pPr>
      <w:r>
        <w:rPr>
          <w:rFonts w:ascii="Arial" w:cs="Arial" w:eastAsia="Arial" w:hAnsi="Arial"/>
          <w:sz w:val="16"/>
          <w:szCs w:val="16"/>
          <w:color w:val="auto"/>
        </w:rPr>
        <w:t>The following foreign currency exchange contracts held by us have maturity dates in fiscal 2011, 2012, and 2013.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July 29, 2011 were as follows:</w:t>
      </w:r>
    </w:p>
    <w:p>
      <w:pPr>
        <w:sectPr>
          <w:pgSz w:w="11900" w:h="16945" w:orient="portrait"/>
          <w:cols w:equalWidth="0" w:num="1">
            <w:col w:w="11420"/>
          </w:cols>
          <w:pgMar w:left="240" w:top="341"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in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Contracted</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Gain (Loss)</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(5,309.0)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Buy US dollar/Sell Canadian dollar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0.9785</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13,183.6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1.4284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92,562.0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Buy US dollar/Sell British pound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1.6316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Buy Canadian dollar/Sell US dollar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0.9480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Buy Mexican peso/Sell US dollar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12.1436</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23,386.9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Buy Euro/Sell Romanian New Lei</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4.2720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Buy Swiss Franc/Sell Romanian New Lei</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3.4383</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third fiscal quarter ended July 29, 2011 that has materially affected, or is reasonably likely to materially affect, our internal control over financial reporting.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which we are asserting or defending against patent infringement claims.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w:t>
      </w:r>
    </w:p>
    <w:p>
      <w:pPr>
        <w:spacing w:after="0" w:line="167"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54"/>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208"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third quarter of fiscal 2011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Average</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Purchased</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Paid per</w:t>
            </w: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As Part of Publicly</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Shares (or Units)</w:t>
            </w: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w:t>
            </w: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080" w:type="dxa"/>
            <w:vAlign w:val="bottom"/>
            <w:gridSpan w:val="3"/>
            <w:vMerge w:val="continue"/>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Purchased (1)(2)</w:t>
            </w:r>
          </w:p>
        </w:tc>
        <w:tc>
          <w:tcPr>
            <w:tcW w:w="2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(or Unit)</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2011 through May 27, 2011</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119,598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64.11</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119,598</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3,461,690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28, 2011 through June 24, 2011</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279,900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60.15</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279,900</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25, 2011 through July 29, 2011</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61.56</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3,181,790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400,828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61.34</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399,498</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140" w:hanging="328"/>
        <w:spacing w:after="0" w:line="264" w:lineRule="auto"/>
        <w:tabs>
          <w:tab w:leader="none" w:pos="681"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July 21, 2009, the company’s Board of Directors authorized the repurchase of 5,000,000 shares of the company’s common stock in open-market or in privately negotiated transactions. This program has no expiration date but may be terminated by the company’s Board of Directors at any time. As of July 29, 2011, there were 181,790 shares remaining for repurchase under this program.</w:t>
      </w:r>
    </w:p>
    <w:p>
      <w:pPr>
        <w:spacing w:after="0" w:line="181" w:lineRule="exact"/>
        <w:rPr>
          <w:rFonts w:ascii="Arial" w:cs="Arial" w:eastAsia="Arial" w:hAnsi="Arial"/>
          <w:sz w:val="18"/>
          <w:szCs w:val="18"/>
          <w:color w:val="auto"/>
        </w:rPr>
      </w:pPr>
    </w:p>
    <w:p>
      <w:pPr>
        <w:ind w:left="660" w:right="180" w:hanging="328"/>
        <w:spacing w:after="0" w:line="259" w:lineRule="auto"/>
        <w:tabs>
          <w:tab w:leader="none" w:pos="681"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 2010, the company’s Board of Directors authorized the repurchase of up to an additional 3,000,000 shares of the company’s common stock in open-market or in privately negotiated transactions. This program has no expiration date but may be terminated by the company’s Board of Directors at any time. No shares were repurchased under this program during the third quarter of fiscal 2011. As of July 29, 2011, there were 3,000,000 shares remaining for purchase under this program.</w:t>
      </w:r>
    </w:p>
    <w:p>
      <w:pPr>
        <w:spacing w:after="0" w:line="186" w:lineRule="exact"/>
        <w:rPr>
          <w:rFonts w:ascii="Arial" w:cs="Arial" w:eastAsia="Arial" w:hAnsi="Arial"/>
          <w:sz w:val="18"/>
          <w:szCs w:val="18"/>
          <w:color w:val="auto"/>
        </w:rPr>
      </w:pPr>
    </w:p>
    <w:p>
      <w:pPr>
        <w:ind w:left="660" w:right="140" w:hanging="328"/>
        <w:spacing w:after="0" w:line="264" w:lineRule="auto"/>
        <w:tabs>
          <w:tab w:leader="none" w:pos="68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1,330 units (shares) of the company’s common stock purchased in open-market transactions at an average price of $61.56 per share on behalf of a rabbi trust formed to pay benefit obligations of the company to participants in deferred compensation plans. These 1,330 shares were not repurchased under the company’s repurchase programs described in footnotes 1 and 2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344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rPr>
              <w:t>(a)  Exhibits</w:t>
            </w:r>
          </w:p>
        </w:tc>
        <w:tc>
          <w:tcPr>
            <w:tcW w:w="9920" w:type="dxa"/>
            <w:vAlign w:val="bottom"/>
          </w:tcPr>
          <w:p>
            <w:pPr>
              <w:spacing w:after="0"/>
              <w:rPr>
                <w:sz w:val="24"/>
                <w:szCs w:val="24"/>
                <w:color w:val="auto"/>
              </w:rPr>
            </w:pPr>
          </w:p>
        </w:tc>
      </w:tr>
      <w:tr>
        <w:trPr>
          <w:trHeight w:val="418"/>
        </w:trPr>
        <w:tc>
          <w:tcPr>
            <w:tcW w:w="1540" w:type="dxa"/>
            <w:vAlign w:val="bottom"/>
            <w:gridSpan w:val="2"/>
          </w:tcPr>
          <w:p>
            <w:pPr>
              <w:ind w:left="340"/>
              <w:spacing w:after="0"/>
              <w:rPr>
                <w:sz w:val="20"/>
                <w:szCs w:val="20"/>
                <w:color w:val="auto"/>
              </w:rPr>
            </w:pPr>
            <w:r>
              <w:rPr>
                <w:rFonts w:ascii="Arial" w:cs="Arial" w:eastAsia="Arial" w:hAnsi="Arial"/>
                <w:sz w:val="18"/>
                <w:szCs w:val="18"/>
                <w:color w:val="auto"/>
              </w:rPr>
              <w:t>3.1 and 4.1</w:t>
            </w: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Restated Certificate of Incorporation of The Toro Company (incorporated by reference to Exhibit 3.1 to Registrant’s Current Report</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on Form 8-K dated June 17, 2008, Commission File No. 1-8649).</w:t>
            </w:r>
          </w:p>
        </w:tc>
      </w:tr>
      <w:tr>
        <w:trPr>
          <w:trHeight w:val="418"/>
        </w:trPr>
        <w:tc>
          <w:tcPr>
            <w:tcW w:w="1540" w:type="dxa"/>
            <w:vAlign w:val="bottom"/>
            <w:gridSpan w:val="2"/>
          </w:tcPr>
          <w:p>
            <w:pPr>
              <w:ind w:left="340"/>
              <w:spacing w:after="0"/>
              <w:rPr>
                <w:sz w:val="20"/>
                <w:szCs w:val="20"/>
                <w:color w:val="auto"/>
              </w:rPr>
            </w:pPr>
            <w:r>
              <w:rPr>
                <w:rFonts w:ascii="Arial" w:cs="Arial" w:eastAsia="Arial" w:hAnsi="Arial"/>
                <w:sz w:val="18"/>
                <w:szCs w:val="18"/>
                <w:color w:val="auto"/>
              </w:rPr>
              <w:t>3.2 and 4.2</w:t>
            </w:r>
          </w:p>
        </w:tc>
        <w:tc>
          <w:tcPr>
            <w:tcW w:w="9920" w:type="dxa"/>
            <w:vAlign w:val="bottom"/>
          </w:tcPr>
          <w:p>
            <w:pPr>
              <w:ind w:left="260"/>
              <w:spacing w:after="0"/>
              <w:rPr>
                <w:sz w:val="20"/>
                <w:szCs w:val="20"/>
                <w:color w:val="auto"/>
              </w:rPr>
            </w:pPr>
            <w:r>
              <w:rPr>
                <w:rFonts w:ascii="Arial" w:cs="Arial" w:eastAsia="Arial" w:hAnsi="Arial"/>
                <w:sz w:val="18"/>
                <w:szCs w:val="18"/>
                <w:color w:val="auto"/>
                <w:w w:val="94"/>
              </w:rPr>
              <w:t>Amended and Restated Bylaws of The Toro Company (incorporated by reference to Exhibit 3.2 to Registrant’s Current Report on</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8"/>
              </w:rPr>
              <w:t>Specimen Form of Common Stock Certificate (incorporated by reference to Exhibit 4(c) to Registrant’s Quarterly Report on</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Form 8-K dated June 24, 1997, Commission File No. 1-8649).</w:t>
            </w: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28</w:t>
            </w:r>
          </w:p>
        </w:tc>
      </w:tr>
      <w:tr>
        <w:trPr>
          <w:trHeight w:val="132"/>
        </w:trPr>
        <w:tc>
          <w:tcPr>
            <w:tcW w:w="1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r>
      <w:tr>
        <w:trPr>
          <w:trHeight w:val="523"/>
        </w:trPr>
        <w:tc>
          <w:tcPr>
            <w:tcW w:w="15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2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3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Indenture dated as of April 20, 2007, between Registrant and The Bank of New York Trust Company, N.A., as Trustee, relating to</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9"/>
              </w:rPr>
              <w:t>The Toro Company’s 6.625% Notes due May 1, 2037 (incorporated by reference to Exhibit 4.3 to Registrant’s Registration</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7"/>
              </w:rPr>
              <w:t>Statement on Form S-3 filed with the Securities and Exchange Commission on April 23, 2007, Registration No. 333-142282).</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4"/>
              </w:rPr>
              <w:t>Trustee, relating to The Toro Company’s 6.625% Notes due May 1, 2037 (incorporated by reference to Exhibit 4.1 to Registrant’s</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9"/>
              </w:rPr>
              <w:t>Credit Agreement dated as of July 28, 2011, among The Toro Company, Toro Manufacturing LLC, Exmark Manufacturing</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5"/>
              </w:rPr>
              <w:t>Company Incorporated, Toro International Company and certain subsidiaries, as Borrowers, the lenders from time to time party</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7"/>
              </w:rPr>
              <w:t>thereto, Bank of America, N.A., as Administrative Agent, Swingline Lender and Letter of Credit Issuer and Wells Fargo Bank,</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National Association, as Syndication Agent (incorporated by reference to Exhibit 10.1 of Registrant’s Current Report on Form 8-K</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dated July 28, 2011,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Offer Letter dated July 25, 2011 between The Toro Company and Renee J. Peterson (incorporated by reference to Exhibit 10.1 of</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Registrant’s Current Report on Form 8-K dated July 29, 2011, Commission File No. 1-8649).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0" w:name="page21"/>
    <w:bookmarkEnd w:id="20"/>
    <w:tbl>
      <w:tblPr>
        <w:tblLayout w:type="fixed"/>
        <w:tblInd w:w="340" w:type="dxa"/>
        <w:tblCellMar>
          <w:top w:w="0" w:type="dxa"/>
          <w:left w:w="0" w:type="dxa"/>
          <w:bottom w:w="0" w:type="dxa"/>
          <w:right w:w="0" w:type="dxa"/>
        </w:tblCellMar>
      </w:tblPr>
      <w:tr>
        <w:trPr>
          <w:trHeight w:val="216"/>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31.1</w:t>
            </w:r>
          </w:p>
        </w:tc>
        <w:tc>
          <w:tcPr>
            <w:tcW w:w="9460" w:type="dxa"/>
            <w:vAlign w:val="bottom"/>
          </w:tcPr>
          <w:p>
            <w:pPr>
              <w:ind w:left="580"/>
              <w:spacing w:after="0"/>
              <w:rPr>
                <w:sz w:val="20"/>
                <w:szCs w:val="20"/>
                <w:color w:val="auto"/>
              </w:rPr>
            </w:pPr>
            <w:r>
              <w:rPr>
                <w:rFonts w:ascii="Arial" w:cs="Arial" w:eastAsia="Arial" w:hAnsi="Arial"/>
                <w:sz w:val="18"/>
                <w:szCs w:val="18"/>
                <w:color w:val="auto"/>
                <w:w w:val="92"/>
              </w:rPr>
              <w:t>Certification of Chief Executive Officer Pursuant to Rule 13a-14(a) (Section 302 of the Sarbanes-Oxley Act of 2002) (filed</w:t>
            </w:r>
          </w:p>
        </w:tc>
      </w:tr>
      <w:tr>
        <w:trPr>
          <w:trHeight w:val="230"/>
        </w:trPr>
        <w:tc>
          <w:tcPr>
            <w:tcW w:w="880" w:type="dxa"/>
            <w:vAlign w:val="bottom"/>
          </w:tcPr>
          <w:p>
            <w:pPr>
              <w:spacing w:after="0"/>
              <w:rPr>
                <w:sz w:val="20"/>
                <w:szCs w:val="20"/>
                <w:color w:val="auto"/>
              </w:rPr>
            </w:pPr>
          </w:p>
        </w:tc>
        <w:tc>
          <w:tcPr>
            <w:tcW w:w="9460" w:type="dxa"/>
            <w:vAlign w:val="bottom"/>
          </w:tcPr>
          <w:p>
            <w:pPr>
              <w:ind w:left="580"/>
              <w:spacing w:after="0"/>
              <w:rPr>
                <w:sz w:val="20"/>
                <w:szCs w:val="20"/>
                <w:color w:val="auto"/>
              </w:rPr>
            </w:pPr>
            <w:r>
              <w:rPr>
                <w:rFonts w:ascii="Arial" w:cs="Arial" w:eastAsia="Arial" w:hAnsi="Arial"/>
                <w:sz w:val="18"/>
                <w:szCs w:val="18"/>
                <w:color w:val="auto"/>
              </w:rPr>
              <w:t>herewith).</w:t>
            </w:r>
          </w:p>
        </w:tc>
      </w:tr>
      <w:tr>
        <w:trPr>
          <w:trHeight w:val="418"/>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31.2</w:t>
            </w:r>
          </w:p>
        </w:tc>
        <w:tc>
          <w:tcPr>
            <w:tcW w:w="9460" w:type="dxa"/>
            <w:vAlign w:val="bottom"/>
          </w:tcPr>
          <w:p>
            <w:pPr>
              <w:ind w:left="58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w:t>
            </w:r>
          </w:p>
        </w:tc>
      </w:tr>
      <w:tr>
        <w:trPr>
          <w:trHeight w:val="230"/>
        </w:trPr>
        <w:tc>
          <w:tcPr>
            <w:tcW w:w="880" w:type="dxa"/>
            <w:vAlign w:val="bottom"/>
          </w:tcPr>
          <w:p>
            <w:pPr>
              <w:spacing w:after="0"/>
              <w:rPr>
                <w:sz w:val="20"/>
                <w:szCs w:val="20"/>
                <w:color w:val="auto"/>
              </w:rPr>
            </w:pPr>
          </w:p>
        </w:tc>
        <w:tc>
          <w:tcPr>
            <w:tcW w:w="9460" w:type="dxa"/>
            <w:vAlign w:val="bottom"/>
          </w:tcPr>
          <w:p>
            <w:pPr>
              <w:ind w:left="580"/>
              <w:spacing w:after="0"/>
              <w:rPr>
                <w:sz w:val="20"/>
                <w:szCs w:val="20"/>
                <w:color w:val="auto"/>
              </w:rPr>
            </w:pPr>
            <w:r>
              <w:rPr>
                <w:rFonts w:ascii="Arial" w:cs="Arial" w:eastAsia="Arial" w:hAnsi="Arial"/>
                <w:sz w:val="18"/>
                <w:szCs w:val="18"/>
                <w:color w:val="auto"/>
              </w:rPr>
              <w:t>herewith).</w:t>
            </w:r>
          </w:p>
        </w:tc>
      </w:tr>
    </w:tbl>
    <w:p>
      <w:pPr>
        <w:spacing w:after="0" w:line="202" w:lineRule="exact"/>
        <w:rPr>
          <w:sz w:val="20"/>
          <w:szCs w:val="20"/>
          <w:color w:val="auto"/>
        </w:rPr>
      </w:pPr>
    </w:p>
    <w:p>
      <w:pPr>
        <w:ind w:left="1800" w:right="240" w:hanging="1468"/>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800" w:right="420" w:hanging="1468"/>
        <w:spacing w:after="0" w:line="291" w:lineRule="auto"/>
        <w:tabs>
          <w:tab w:leader="none" w:pos="1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quarterly period ended July 29, 2011, filed with the SEC on September 1, 2011, formatted in eXtensible Business Reporting Language (XBRL):</w:t>
      </w:r>
    </w:p>
    <w:p>
      <w:pPr>
        <w:ind w:left="2020" w:hanging="216"/>
        <w:spacing w:after="0"/>
        <w:tabs>
          <w:tab w:leader="none" w:pos="2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 and nine-month periods ended July 29, 2011 and July 30, 2010,</w:t>
      </w:r>
    </w:p>
    <w:p>
      <w:pPr>
        <w:spacing w:after="0" w:line="32" w:lineRule="exact"/>
        <w:rPr>
          <w:rFonts w:ascii="Arial" w:cs="Arial" w:eastAsia="Arial" w:hAnsi="Arial"/>
          <w:sz w:val="16"/>
          <w:szCs w:val="16"/>
          <w:color w:val="auto"/>
        </w:rPr>
      </w:pPr>
    </w:p>
    <w:p>
      <w:pPr>
        <w:ind w:left="1800" w:firstLine="4"/>
        <w:spacing w:after="0" w:line="255" w:lineRule="auto"/>
        <w:tabs>
          <w:tab w:leader="none" w:pos="2065"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Condensed Consolidated Balance Sheets as of July 29, 2011, July 30, 2010, and October 31, 2010, (iii) Condensed Consolidated Statement of Cash Flows for the nine months ended July 29, 2011 and July 30, 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0" w:right="160" w:firstLine="4"/>
        <w:spacing w:after="0" w:line="257" w:lineRule="auto"/>
        <w:tabs>
          <w:tab w:leader="none" w:pos="2025"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900" w:right="3440" w:hanging="5887"/>
        <w:spacing w:after="0" w:line="274" w:lineRule="auto"/>
        <w:tabs>
          <w:tab w:leader="none" w:pos="5880" w:val="left"/>
        </w:tabs>
        <w:rPr>
          <w:sz w:val="20"/>
          <w:szCs w:val="20"/>
          <w:color w:val="auto"/>
        </w:rPr>
      </w:pPr>
      <w:r>
        <w:rPr>
          <w:rFonts w:ascii="Arial" w:cs="Arial" w:eastAsia="Arial" w:hAnsi="Arial"/>
          <w:sz w:val="18"/>
          <w:szCs w:val="18"/>
          <w:color w:val="auto"/>
        </w:rPr>
        <w:t>Date: September 1, 2011</w:t>
      </w:r>
      <w:r>
        <w:rPr>
          <w:sz w:val="20"/>
          <w:szCs w:val="20"/>
          <w:color w:val="auto"/>
        </w:rPr>
        <w:tab/>
      </w:r>
      <w:r>
        <w:rPr>
          <w:rFonts w:ascii="Arial" w:cs="Arial" w:eastAsia="Arial" w:hAnsi="Arial"/>
          <w:sz w:val="17"/>
          <w:szCs w:val="17"/>
          <w:color w:val="auto"/>
        </w:rPr>
        <w:t>By /s/ Renee J. Peterson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-136525</wp:posOffset>
            </wp:positionV>
            <wp:extent cx="31984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July 29, 2011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2011</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2"/>
    </w:lvl>
  </w:abstractNum>
  <w:abstractNum w:abstractNumId="7">
    <w:nsid w:val="4DB127F8"/>
    <w:multiLevelType w:val="hybridMultilevel"/>
    <w:lvl w:ilvl="0">
      <w:lvlJc w:val="left"/>
      <w:lvlText w:val="%1"/>
      <w:numFmt w:val="decimal"/>
      <w:start w:val="101"/>
    </w:lvl>
    <w:lvl w:ilvl="1">
      <w:lvlJc w:val="left"/>
      <w:lvlText w:val="(%2)"/>
      <w:numFmt w:val="lowerRoman"/>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2019-12-10T05:22:24Z</dcterms:created>
  <dcterms:modified xsi:type="dcterms:W3CDTF">2019-12-10T05:22:24Z</dcterms:modified>
</cp:coreProperties>
</file>