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61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96" w:lineRule="exact"/>
        <w:rPr>
          <w:sz w:val="24"/>
          <w:szCs w:val="24"/>
          <w:color w:val="auto"/>
        </w:rPr>
      </w:pPr>
    </w:p>
    <w:p>
      <w:pPr>
        <w:sectPr>
          <w:pgSz w:w="11900" w:h="16845" w:orient="portrait"/>
          <w:cols w:equalWidth="0" w:num="2">
            <w:col w:w="2260" w:space="300"/>
            <w:col w:w="8520"/>
          </w:cols>
          <w:pgMar w:left="460" w:top="221"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PETERSON RENEE J</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12/16/2020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60"/>
        <w:spacing w:after="0"/>
        <w:rPr>
          <w:sz w:val="20"/>
          <w:szCs w:val="20"/>
          <w:color w:val="auto"/>
        </w:rPr>
      </w:pPr>
      <w:r>
        <w:rPr>
          <w:rFonts w:ascii="Arial" w:cs="Arial" w:eastAsia="Arial" w:hAnsi="Arial"/>
          <w:sz w:val="17"/>
          <w:szCs w:val="17"/>
          <w:color w:val="0000FF"/>
        </w:rPr>
        <w:t>VP, Treasurer &amp; CFO</w:t>
      </w:r>
    </w:p>
    <w:p>
      <w:pPr>
        <w:spacing w:after="0" w:line="307" w:lineRule="exact"/>
        <w:rPr>
          <w:sz w:val="24"/>
          <w:szCs w:val="24"/>
          <w:color w:val="auto"/>
        </w:rPr>
      </w:pPr>
    </w:p>
    <w:p>
      <w:pPr>
        <w:sectPr>
          <w:pgSz w:w="11900" w:h="16845" w:orient="portrait"/>
          <w:cols w:equalWidth="0" w:num="3">
            <w:col w:w="3200" w:space="720"/>
            <w:col w:w="3100" w:space="720"/>
            <w:col w:w="3340"/>
          </w:cols>
          <w:pgMar w:left="460" w:top="221" w:right="359" w:bottom="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00" w:type="dxa"/>
            <w:vAlign w:val="bottom"/>
          </w:tcPr>
          <w:p>
            <w:pPr>
              <w:ind w:left="440"/>
              <w:spacing w:after="0"/>
              <w:rPr>
                <w:sz w:val="20"/>
                <w:szCs w:val="20"/>
                <w:color w:val="auto"/>
              </w:rPr>
            </w:pPr>
            <w:r>
              <w:rPr>
                <w:rFonts w:ascii="Arial" w:cs="Arial" w:eastAsia="Arial" w:hAnsi="Arial"/>
                <w:sz w:val="17"/>
                <w:szCs w:val="17"/>
                <w:color w:val="0000FF"/>
              </w:rPr>
              <w:t>55420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151130</wp:posOffset>
            </wp:positionV>
            <wp:extent cx="6968490" cy="5117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5117465"/>
                    </a:xfrm>
                    <a:prstGeom prst="rect">
                      <a:avLst/>
                    </a:prstGeom>
                    <a:noFill/>
                  </pic:spPr>
                </pic:pic>
              </a:graphicData>
            </a:graphic>
          </wp:anchor>
        </w:drawing>
      </w:r>
    </w:p>
    <w:p>
      <w:pPr>
        <w:spacing w:after="0" w:line="298" w:lineRule="exact"/>
        <w:rPr>
          <w:sz w:val="24"/>
          <w:szCs w:val="24"/>
          <w:color w:val="auto"/>
        </w:rPr>
      </w:pPr>
    </w:p>
    <w:p>
      <w:pPr>
        <w:sectPr>
          <w:pgSz w:w="11900" w:h="16845" w:orient="portrait"/>
          <w:cols w:equalWidth="0" w:num="2">
            <w:col w:w="3760" w:space="160"/>
            <w:col w:w="716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3"/>
                <w:szCs w:val="13"/>
                <w:color w:val="auto"/>
              </w:rPr>
            </w:pP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740" w:type="dxa"/>
            <w:vAlign w:val="bottom"/>
          </w:tcPr>
          <w:p>
            <w:pPr>
              <w:ind w:left="72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6"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jc w:val="center"/>
              <w:ind w:left="56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4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Borders>
              <w:bottom w:val="single" w:sz="8" w:color="2C2C2C"/>
            </w:tcBorders>
          </w:tcPr>
          <w:p>
            <w:pPr>
              <w:jc w:val="center"/>
              <w:ind w:left="589"/>
              <w:spacing w:after="0"/>
              <w:rPr>
                <w:sz w:val="20"/>
                <w:szCs w:val="20"/>
                <w:color w:val="auto"/>
              </w:rPr>
            </w:pPr>
            <w:r>
              <w:rPr>
                <w:rFonts w:ascii="Arial" w:cs="Arial" w:eastAsia="Arial" w:hAnsi="Arial"/>
                <w:sz w:val="17"/>
                <w:szCs w:val="17"/>
                <w:color w:val="0000FF"/>
                <w:w w:val="89"/>
              </w:rPr>
              <w:t>12/16/2020</w:t>
            </w:r>
          </w:p>
        </w:tc>
        <w:tc>
          <w:tcPr>
            <w:tcW w:w="10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4,595</w:t>
            </w:r>
            <w:r>
              <w:rPr>
                <w:rFonts w:ascii="Arial" w:cs="Arial" w:eastAsia="Arial" w:hAnsi="Arial"/>
                <w:sz w:val="21"/>
                <w:szCs w:val="21"/>
                <w:color w:val="008000"/>
                <w:w w:val="83"/>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6"/>
              </w:rPr>
              <w:t>26,907.344</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6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Pr>
          <w:p>
            <w:pPr>
              <w:jc w:val="center"/>
              <w:ind w:left="589"/>
              <w:spacing w:after="0"/>
              <w:rPr>
                <w:sz w:val="20"/>
                <w:szCs w:val="20"/>
                <w:color w:val="auto"/>
              </w:rPr>
            </w:pPr>
            <w:r>
              <w:rPr>
                <w:rFonts w:ascii="Arial" w:cs="Arial" w:eastAsia="Arial" w:hAnsi="Arial"/>
                <w:sz w:val="17"/>
                <w:szCs w:val="17"/>
                <w:color w:val="0000FF"/>
                <w:w w:val="89"/>
              </w:rPr>
              <w:t>12/16/2020</w:t>
            </w:r>
          </w:p>
        </w:tc>
        <w:tc>
          <w:tcPr>
            <w:tcW w:w="108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0000FF"/>
              </w:rPr>
              <w:t>F</w:t>
            </w:r>
          </w:p>
        </w:tc>
        <w:tc>
          <w:tcPr>
            <w:tcW w:w="34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7"/>
                <w:szCs w:val="17"/>
                <w:color w:val="0000FF"/>
                <w:w w:val="89"/>
              </w:rPr>
              <w:t>2,096</w:t>
            </w:r>
          </w:p>
        </w:tc>
        <w:tc>
          <w:tcPr>
            <w:tcW w:w="50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680" w:type="dxa"/>
            <w:vAlign w:val="bottom"/>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92.26</w:t>
            </w:r>
          </w:p>
        </w:tc>
        <w:tc>
          <w:tcPr>
            <w:tcW w:w="1120" w:type="dxa"/>
            <w:vAlign w:val="bottom"/>
          </w:tcPr>
          <w:p>
            <w:pPr>
              <w:jc w:val="center"/>
              <w:spacing w:after="0"/>
              <w:rPr>
                <w:sz w:val="20"/>
                <w:szCs w:val="20"/>
                <w:color w:val="auto"/>
              </w:rPr>
            </w:pPr>
            <w:r>
              <w:rPr>
                <w:rFonts w:ascii="Arial" w:cs="Arial" w:eastAsia="Arial" w:hAnsi="Arial"/>
                <w:sz w:val="17"/>
                <w:szCs w:val="17"/>
                <w:color w:val="0000FF"/>
                <w:w w:val="86"/>
              </w:rPr>
              <w:t>24,811.344</w:t>
            </w:r>
          </w:p>
        </w:tc>
        <w:tc>
          <w:tcPr>
            <w:tcW w:w="94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Held 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w w:val="99"/>
              </w:rPr>
              <w:t>the Renee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w w:val="90"/>
              </w:rPr>
              <w:t>J. Peterson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Pr>
          <w:p>
            <w:pPr>
              <w:jc w:val="center"/>
              <w:ind w:left="589"/>
              <w:spacing w:after="0"/>
              <w:rPr>
                <w:sz w:val="20"/>
                <w:szCs w:val="20"/>
                <w:color w:val="auto"/>
              </w:rPr>
            </w:pPr>
            <w:r>
              <w:rPr>
                <w:rFonts w:ascii="Arial" w:cs="Arial" w:eastAsia="Arial" w:hAnsi="Arial"/>
                <w:sz w:val="17"/>
                <w:szCs w:val="17"/>
                <w:color w:val="0000FF"/>
                <w:w w:val="89"/>
              </w:rPr>
              <w:t>12/16/2020</w:t>
            </w:r>
          </w:p>
        </w:tc>
        <w:tc>
          <w:tcPr>
            <w:tcW w:w="1080" w:type="dxa"/>
            <w:vAlign w:val="bottom"/>
          </w:tcPr>
          <w:p>
            <w:pPr>
              <w:spacing w:after="0"/>
              <w:rPr>
                <w:sz w:val="17"/>
                <w:szCs w:val="17"/>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0000FF"/>
              </w:rPr>
              <w:t>G</w:t>
            </w:r>
          </w:p>
        </w:tc>
        <w:tc>
          <w:tcPr>
            <w:tcW w:w="340" w:type="dxa"/>
            <w:vAlign w:val="bottom"/>
          </w:tcPr>
          <w:p>
            <w:pPr>
              <w:ind w:left="120"/>
              <w:spacing w:after="0"/>
              <w:rPr>
                <w:sz w:val="20"/>
                <w:szCs w:val="20"/>
                <w:color w:val="auto"/>
              </w:rPr>
            </w:pPr>
            <w:r>
              <w:rPr>
                <w:rFonts w:ascii="Arial" w:cs="Arial" w:eastAsia="Arial" w:hAnsi="Arial"/>
                <w:sz w:val="13"/>
                <w:szCs w:val="13"/>
                <w:color w:val="0000FF"/>
              </w:rPr>
              <w:t>V</w:t>
            </w:r>
          </w:p>
        </w:tc>
        <w:tc>
          <w:tcPr>
            <w:tcW w:w="760" w:type="dxa"/>
            <w:vAlign w:val="bottom"/>
          </w:tcPr>
          <w:p>
            <w:pPr>
              <w:jc w:val="center"/>
              <w:spacing w:after="0"/>
              <w:rPr>
                <w:sz w:val="20"/>
                <w:szCs w:val="20"/>
                <w:color w:val="auto"/>
              </w:rPr>
            </w:pPr>
            <w:r>
              <w:rPr>
                <w:rFonts w:ascii="Arial" w:cs="Arial" w:eastAsia="Arial" w:hAnsi="Arial"/>
                <w:sz w:val="17"/>
                <w:szCs w:val="17"/>
                <w:color w:val="0000FF"/>
                <w:w w:val="89"/>
              </w:rPr>
              <w:t>9,302</w:t>
            </w:r>
          </w:p>
        </w:tc>
        <w:tc>
          <w:tcPr>
            <w:tcW w:w="50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68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120" w:type="dxa"/>
            <w:vAlign w:val="bottom"/>
          </w:tcPr>
          <w:p>
            <w:pPr>
              <w:jc w:val="center"/>
              <w:spacing w:after="0"/>
              <w:rPr>
                <w:sz w:val="20"/>
                <w:szCs w:val="20"/>
                <w:color w:val="auto"/>
              </w:rPr>
            </w:pPr>
            <w:r>
              <w:rPr>
                <w:rFonts w:ascii="Arial" w:cs="Arial" w:eastAsia="Arial" w:hAnsi="Arial"/>
                <w:sz w:val="17"/>
                <w:szCs w:val="17"/>
                <w:color w:val="0000FF"/>
              </w:rPr>
              <w:t>0</w:t>
            </w:r>
          </w:p>
        </w:tc>
        <w:tc>
          <w:tcPr>
            <w:tcW w:w="940" w:type="dxa"/>
            <w:vAlign w:val="bottom"/>
          </w:tcPr>
          <w:p>
            <w:pPr>
              <w:jc w:val="center"/>
              <w:spacing w:after="0"/>
              <w:rPr>
                <w:sz w:val="20"/>
                <w:szCs w:val="20"/>
                <w:color w:val="auto"/>
              </w:rPr>
            </w:pPr>
            <w:r>
              <w:rPr>
                <w:rFonts w:ascii="Arial" w:cs="Arial" w:eastAsia="Arial" w:hAnsi="Arial"/>
                <w:sz w:val="17"/>
                <w:szCs w:val="17"/>
                <w:color w:val="0000FF"/>
              </w:rPr>
              <w:t>I</w:t>
            </w:r>
          </w:p>
        </w:tc>
        <w:tc>
          <w:tcPr>
            <w:tcW w:w="880" w:type="dxa"/>
            <w:vAlign w:val="bottom"/>
          </w:tcPr>
          <w:p>
            <w:pPr>
              <w:ind w:left="80"/>
              <w:spacing w:after="0"/>
              <w:rPr>
                <w:sz w:val="20"/>
                <w:szCs w:val="20"/>
                <w:color w:val="auto"/>
              </w:rPr>
            </w:pPr>
            <w:r>
              <w:rPr>
                <w:rFonts w:ascii="Arial" w:cs="Arial" w:eastAsia="Arial" w:hAnsi="Arial"/>
                <w:sz w:val="17"/>
                <w:szCs w:val="17"/>
                <w:color w:val="0000FF"/>
              </w:rPr>
              <w:t>Grantor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Retained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Annuity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Trust #1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Performance Share Units</w:t>
            </w:r>
          </w:p>
        </w:tc>
        <w:tc>
          <w:tcPr>
            <w:tcW w:w="17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6"/>
              </w:rPr>
              <w:t>84,989.604</w:t>
            </w:r>
            <w:r>
              <w:rPr>
                <w:rFonts w:ascii="Arial" w:cs="Arial" w:eastAsia="Arial" w:hAnsi="Arial"/>
                <w:sz w:val="21"/>
                <w:szCs w:val="21"/>
                <w:color w:val="008000"/>
                <w:w w:val="86"/>
                <w:vertAlign w:val="superscript"/>
              </w:rPr>
              <w:t>(2)</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The Toro</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Arial" w:cs="Arial" w:eastAsia="Arial" w:hAnsi="Arial"/>
                <w:sz w:val="17"/>
                <w:szCs w:val="17"/>
                <w:color w:val="0000FF"/>
                <w:w w:val="83"/>
              </w:rPr>
              <w:t>725.717</w:t>
            </w:r>
            <w:r>
              <w:rPr>
                <w:rFonts w:ascii="Arial" w:cs="Arial" w:eastAsia="Arial" w:hAnsi="Arial"/>
                <w:sz w:val="21"/>
                <w:szCs w:val="21"/>
                <w:color w:val="008000"/>
                <w:w w:val="83"/>
                <w:vertAlign w:val="superscript"/>
              </w:rPr>
              <w:t>(3)</w:t>
            </w:r>
          </w:p>
        </w:tc>
        <w:tc>
          <w:tcPr>
            <w:tcW w:w="94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880" w:type="dxa"/>
            <w:vAlign w:val="bottom"/>
          </w:tcPr>
          <w:p>
            <w:pPr>
              <w:ind w:left="80"/>
              <w:spacing w:after="0"/>
              <w:rPr>
                <w:sz w:val="20"/>
                <w:szCs w:val="20"/>
                <w:color w:val="auto"/>
              </w:rPr>
            </w:pPr>
            <w:r>
              <w:rPr>
                <w:rFonts w:ascii="Arial" w:cs="Arial" w:eastAsia="Arial" w:hAnsi="Arial"/>
                <w:sz w:val="17"/>
                <w:szCs w:val="17"/>
                <w:color w:val="0000FF"/>
              </w:rPr>
              <w:t>Company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vMerge w:val="continue"/>
          </w:tcPr>
          <w:p>
            <w:pPr>
              <w:spacing w:after="0"/>
              <w:rPr>
                <w:sz w:val="14"/>
                <w:szCs w:val="14"/>
                <w:color w:val="auto"/>
              </w:rPr>
            </w:pPr>
          </w:p>
        </w:tc>
        <w:tc>
          <w:tcPr>
            <w:tcW w:w="1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restart"/>
          </w:tcPr>
          <w:p>
            <w:pPr>
              <w:ind w:left="80"/>
              <w:spacing w:after="0"/>
              <w:rPr>
                <w:sz w:val="20"/>
                <w:szCs w:val="20"/>
                <w:color w:val="auto"/>
              </w:rPr>
            </w:pPr>
            <w:r>
              <w:rPr>
                <w:rFonts w:ascii="Arial" w:cs="Arial" w:eastAsia="Arial" w:hAnsi="Arial"/>
                <w:sz w:val="17"/>
                <w:szCs w:val="17"/>
                <w:color w:val="0000FF"/>
                <w:w w:val="93"/>
              </w:rPr>
              <w:t>Retirement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Plan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Held 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w w:val="99"/>
              </w:rPr>
              <w:t>the Renee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w w:val="90"/>
              </w:rPr>
              <w:t>J. Peterson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0000FF"/>
                <w:w w:val="89"/>
              </w:rPr>
              <w:t>9,294</w:t>
            </w:r>
          </w:p>
        </w:tc>
        <w:tc>
          <w:tcPr>
            <w:tcW w:w="940" w:type="dxa"/>
            <w:vAlign w:val="bottom"/>
          </w:tcPr>
          <w:p>
            <w:pPr>
              <w:jc w:val="center"/>
              <w:spacing w:after="0"/>
              <w:rPr>
                <w:sz w:val="20"/>
                <w:szCs w:val="20"/>
                <w:color w:val="auto"/>
              </w:rPr>
            </w:pPr>
            <w:r>
              <w:rPr>
                <w:rFonts w:ascii="Arial" w:cs="Arial" w:eastAsia="Arial" w:hAnsi="Arial"/>
                <w:sz w:val="17"/>
                <w:szCs w:val="17"/>
                <w:color w:val="0000FF"/>
              </w:rPr>
              <w:t>I</w:t>
            </w:r>
          </w:p>
        </w:tc>
        <w:tc>
          <w:tcPr>
            <w:tcW w:w="880" w:type="dxa"/>
            <w:vAlign w:val="bottom"/>
          </w:tcPr>
          <w:p>
            <w:pPr>
              <w:ind w:left="80"/>
              <w:spacing w:after="0"/>
              <w:rPr>
                <w:sz w:val="20"/>
                <w:szCs w:val="20"/>
                <w:color w:val="auto"/>
              </w:rPr>
            </w:pPr>
            <w:r>
              <w:rPr>
                <w:rFonts w:ascii="Arial" w:cs="Arial" w:eastAsia="Arial" w:hAnsi="Arial"/>
                <w:sz w:val="17"/>
                <w:szCs w:val="17"/>
                <w:color w:val="0000FF"/>
              </w:rPr>
              <w:t>Grantor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Retained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Annuity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Trust #2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Held 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w w:val="99"/>
              </w:rPr>
              <w:t>the Renee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w w:val="90"/>
              </w:rPr>
              <w:t>J. Peterson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0000FF"/>
                <w:w w:val="88"/>
              </w:rPr>
              <w:t>23,700</w:t>
            </w:r>
          </w:p>
        </w:tc>
        <w:tc>
          <w:tcPr>
            <w:tcW w:w="940" w:type="dxa"/>
            <w:vAlign w:val="bottom"/>
          </w:tcPr>
          <w:p>
            <w:pPr>
              <w:jc w:val="center"/>
              <w:spacing w:after="0"/>
              <w:rPr>
                <w:sz w:val="20"/>
                <w:szCs w:val="20"/>
                <w:color w:val="auto"/>
              </w:rPr>
            </w:pPr>
            <w:r>
              <w:rPr>
                <w:rFonts w:ascii="Arial" w:cs="Arial" w:eastAsia="Arial" w:hAnsi="Arial"/>
                <w:sz w:val="17"/>
                <w:szCs w:val="17"/>
                <w:color w:val="0000FF"/>
              </w:rPr>
              <w:t>I</w:t>
            </w:r>
          </w:p>
        </w:tc>
        <w:tc>
          <w:tcPr>
            <w:tcW w:w="880" w:type="dxa"/>
            <w:vAlign w:val="bottom"/>
          </w:tcPr>
          <w:p>
            <w:pPr>
              <w:ind w:left="80"/>
              <w:spacing w:after="0"/>
              <w:rPr>
                <w:sz w:val="20"/>
                <w:szCs w:val="20"/>
                <w:color w:val="auto"/>
              </w:rPr>
            </w:pPr>
            <w:r>
              <w:rPr>
                <w:rFonts w:ascii="Arial" w:cs="Arial" w:eastAsia="Arial" w:hAnsi="Arial"/>
                <w:sz w:val="17"/>
                <w:szCs w:val="17"/>
                <w:color w:val="0000FF"/>
              </w:rPr>
              <w:t>Grantor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Retained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Annuity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Trust #3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246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60" w:type="dxa"/>
            <w:vAlign w:val="bottom"/>
            <w:tcBorders>
              <w:top w:val="single" w:sz="8" w:color="808080"/>
            </w:tcBorders>
            <w:shd w:val="clear" w:color="auto" w:fill="2C2C2C"/>
          </w:tcPr>
          <w:p>
            <w:pPr>
              <w:spacing w:after="0" w:line="20" w:lineRule="exact"/>
              <w:rPr>
                <w:sz w:val="1"/>
                <w:szCs w:val="1"/>
                <w:color w:val="auto"/>
              </w:rPr>
            </w:pPr>
          </w:p>
        </w:tc>
        <w:tc>
          <w:tcPr>
            <w:tcW w:w="174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440" w:type="dxa"/>
            <w:vAlign w:val="bottom"/>
            <w:tcBorders>
              <w:top w:val="single" w:sz="8" w:color="808080"/>
            </w:tcBorders>
            <w:shd w:val="clear" w:color="auto" w:fill="2C2C2C"/>
          </w:tcPr>
          <w:p>
            <w:pPr>
              <w:spacing w:after="0" w:line="20" w:lineRule="exact"/>
              <w:rPr>
                <w:sz w:val="1"/>
                <w:szCs w:val="1"/>
                <w:color w:val="auto"/>
              </w:rPr>
            </w:pPr>
          </w:p>
        </w:tc>
        <w:tc>
          <w:tcPr>
            <w:tcW w:w="34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33895" cy="2096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09613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93.33</w:t>
            </w:r>
          </w:p>
        </w:tc>
        <w:tc>
          <w:tcPr>
            <w:tcW w:w="1080" w:type="dxa"/>
            <w:vAlign w:val="bottom"/>
          </w:tcPr>
          <w:p>
            <w:pPr>
              <w:jc w:val="right"/>
              <w:ind w:right="180"/>
              <w:spacing w:after="0"/>
              <w:rPr>
                <w:sz w:val="20"/>
                <w:szCs w:val="20"/>
                <w:color w:val="auto"/>
              </w:rPr>
            </w:pPr>
            <w:r>
              <w:rPr>
                <w:rFonts w:ascii="Arial" w:cs="Arial" w:eastAsia="Arial" w:hAnsi="Arial"/>
                <w:sz w:val="13"/>
                <w:szCs w:val="13"/>
                <w:color w:val="0000FF"/>
              </w:rPr>
              <w:t>12/17/2020</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520" w:type="dxa"/>
            <w:vAlign w:val="bottom"/>
          </w:tcPr>
          <w:p>
            <w:pPr>
              <w:ind w:left="100"/>
              <w:spacing w:after="0"/>
              <w:rPr>
                <w:sz w:val="20"/>
                <w:szCs w:val="20"/>
                <w:color w:val="auto"/>
              </w:rPr>
            </w:pPr>
            <w:r>
              <w:rPr>
                <w:rFonts w:ascii="Arial" w:cs="Arial" w:eastAsia="Arial" w:hAnsi="Arial"/>
                <w:sz w:val="13"/>
                <w:szCs w:val="13"/>
                <w:color w:val="0000FF"/>
              </w:rPr>
              <w:t>33,600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(4)</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12/17/2030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33,600</w:t>
            </w:r>
          </w:p>
        </w:tc>
        <w:tc>
          <w:tcPr>
            <w:tcW w:w="68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93.33</w:t>
            </w:r>
          </w:p>
        </w:tc>
        <w:tc>
          <w:tcPr>
            <w:tcW w:w="940" w:type="dxa"/>
            <w:vAlign w:val="bottom"/>
          </w:tcPr>
          <w:p>
            <w:pPr>
              <w:ind w:left="300"/>
              <w:spacing w:after="0"/>
              <w:rPr>
                <w:sz w:val="20"/>
                <w:szCs w:val="20"/>
                <w:color w:val="auto"/>
              </w:rPr>
            </w:pPr>
            <w:r>
              <w:rPr>
                <w:rFonts w:ascii="Arial" w:cs="Arial" w:eastAsia="Arial" w:hAnsi="Arial"/>
                <w:sz w:val="13"/>
                <w:szCs w:val="13"/>
                <w:color w:val="0000FF"/>
              </w:rPr>
              <w:t>33,600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180" w:firstLine="2"/>
        <w:spacing w:after="0" w:line="236"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payout of a Performance Share Award for the Fiscal 2018 to Fiscal 2020 Performance Period under The Toro Company Amended and Restated 2010 Equity and Incentive Plan, as amended and restated (the "Amended and Restated 2010 Plan"), as approved by the Issuer's Compensation &amp; Human Resources Committee of its Board of Directors on December 1, 2020, and which was conditioned upon and subject to confirmation by the Issuer's Fiscal 2020 financial results that were released on December 16, 2020. Performance Share Awards are paid in shares of common stock under the Amended and Restated 2010 Plan.</w:t>
      </w:r>
    </w:p>
    <w:p>
      <w:pPr>
        <w:sectPr>
          <w:pgSz w:w="11900" w:h="16845" w:orient="portrait"/>
          <w:cols w:equalWidth="0" w:num="1">
            <w:col w:w="11080"/>
          </w:cols>
          <w:pgMar w:left="460" w:top="221" w:right="359" w:bottom="0" w:gutter="0" w:footer="0" w:header="0"/>
          <w:type w:val="continuous"/>
        </w:sectPr>
      </w:pPr>
    </w:p>
    <w:bookmarkStart w:id="1" w:name="page2"/>
    <w:bookmarkEnd w:id="1"/>
    <w:p>
      <w:pPr>
        <w:ind w:right="260" w:firstLine="2"/>
        <w:spacing w:after="0" w:line="249" w:lineRule="auto"/>
        <w:tabs>
          <w:tab w:leader="none" w:pos="129"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Includes 242.072 performance share units acquired by the reporting person since the date of her last report under the dividend reinvestment feature of The Toro Company Deferred Compensation Plan for Officers.</w:t>
      </w:r>
    </w:p>
    <w:p>
      <w:pPr>
        <w:spacing w:after="0" w:line="25" w:lineRule="exact"/>
        <w:rPr>
          <w:rFonts w:ascii="Arial" w:cs="Arial" w:eastAsia="Arial" w:hAnsi="Arial"/>
          <w:sz w:val="13"/>
          <w:szCs w:val="13"/>
          <w:color w:val="008000"/>
        </w:rPr>
      </w:pPr>
    </w:p>
    <w:p>
      <w:pPr>
        <w:ind w:firstLine="2"/>
        <w:spacing w:after="0" w:line="249" w:lineRule="auto"/>
        <w:tabs>
          <w:tab w:leader="none" w:pos="129"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Includes 2.050 net shares of common stock acquired by the reporting person since the date of her last report under the dividend reinvestment feature of The Toro Company Retirement Plan, less quarterly non-discretionary administrative fees.</w:t>
      </w:r>
    </w:p>
    <w:p>
      <w:pPr>
        <w:spacing w:after="0" w:line="25" w:lineRule="exact"/>
        <w:rPr>
          <w:rFonts w:ascii="Arial" w:cs="Arial" w:eastAsia="Arial" w:hAnsi="Arial"/>
          <w:sz w:val="13"/>
          <w:szCs w:val="13"/>
          <w:color w:val="008000"/>
        </w:rPr>
      </w:pPr>
    </w:p>
    <w:p>
      <w:pPr>
        <w:ind w:left="140" w:hanging="138"/>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51"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Angela D. Snavely,</w:t>
            </w:r>
          </w:p>
        </w:tc>
        <w:tc>
          <w:tcPr>
            <w:tcW w:w="7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12/18/2020</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Arial" w:cs="Arial" w:eastAsia="Arial" w:hAnsi="Arial"/>
                <w:sz w:val="17"/>
                <w:szCs w:val="17"/>
                <w:color w:val="0000FF"/>
                <w:w w:val="90"/>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20" w:firstLine="2"/>
        <w:spacing w:after="0" w:line="334"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28002"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2020-12-18T16:56:45Z</dcterms:created>
  <dcterms:modified xsi:type="dcterms:W3CDTF">2020-12-18T16:56:45Z</dcterms:modified>
</cp:coreProperties>
</file>