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Quarterly Report Pursuant to Section 13 or 15(d) of the</w:t>
      </w:r>
    </w:p>
    <w:p>
      <w:pPr>
        <w:ind w:left="211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Quarterly Period Ended April 30, 1999</w:t>
      </w:r>
    </w:p>
    <w:p>
      <w:pPr>
        <w:jc w:val="center"/>
        <w:ind w:right="3250"/>
        <w:spacing w:after="0"/>
        <w:rPr>
          <w:sz w:val="20"/>
          <w:szCs w:val="20"/>
          <w:color w:val="auto"/>
        </w:rPr>
      </w:pPr>
      <w:r>
        <w:rPr>
          <w:rFonts w:ascii="Courier New" w:cs="Courier New" w:eastAsia="Courier New" w:hAnsi="Courier New"/>
          <w:sz w:val="15"/>
          <w:szCs w:val="15"/>
          <w:color w:val="auto"/>
        </w:rPr>
        <w:t>Commission File Number 1-8649</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THE TORO COMPANY</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571" w:right="1440" w:bottom="1440" w:gutter="0" w:footer="0" w:header="0"/>
        </w:sectPr>
      </w:pPr>
    </w:p>
    <w:p>
      <w:pPr>
        <w:spacing w:after="0" w:line="338"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630" w:space="720"/>
            <w:col w:w="6879"/>
          </w:cols>
          <w:pgMar w:left="230" w:top="571" w:right="1440" w:bottom="1440" w:gutter="0" w:footer="0" w:header="0"/>
          <w:type w:val="continuous"/>
        </w:sectPr>
      </w:pPr>
    </w:p>
    <w:p>
      <w:pPr>
        <w:spacing w:after="0" w:line="144"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8111 LYNDALE AVENUE SOUTH</w:t>
      </w:r>
    </w:p>
    <w:p>
      <w:pPr>
        <w:jc w:val="center"/>
        <w:ind w:right="3170"/>
        <w:spacing w:after="0"/>
        <w:rPr>
          <w:sz w:val="20"/>
          <w:szCs w:val="20"/>
          <w:color w:val="auto"/>
        </w:rPr>
      </w:pPr>
      <w:r>
        <w:rPr>
          <w:rFonts w:ascii="Courier New" w:cs="Courier New" w:eastAsia="Courier New" w:hAnsi="Courier New"/>
          <w:sz w:val="15"/>
          <w:szCs w:val="15"/>
          <w:color w:val="auto"/>
        </w:rPr>
        <w:t>BLOOMINGTON, MINNESOTA 55420</w:t>
      </w:r>
    </w:p>
    <w:p>
      <w:pPr>
        <w:jc w:val="center"/>
        <w:ind w:right="3170"/>
        <w:spacing w:after="0"/>
        <w:rPr>
          <w:sz w:val="20"/>
          <w:szCs w:val="20"/>
          <w:color w:val="auto"/>
        </w:rPr>
      </w:pPr>
      <w:r>
        <w:rPr>
          <w:rFonts w:ascii="Courier New" w:cs="Courier New" w:eastAsia="Courier New" w:hAnsi="Courier New"/>
          <w:sz w:val="15"/>
          <w:szCs w:val="15"/>
          <w:color w:val="auto"/>
        </w:rPr>
        <w:t>TELEPHONE NUMBER: (612) 888-8801</w:t>
      </w:r>
    </w:p>
    <w:p>
      <w:pPr>
        <w:spacing w:after="0" w:line="174" w:lineRule="exact"/>
        <w:rPr>
          <w:sz w:val="24"/>
          <w:szCs w:val="24"/>
          <w:color w:val="auto"/>
        </w:rPr>
      </w:pPr>
    </w:p>
    <w:p>
      <w:pPr>
        <w:ind w:left="1670" w:right="3359" w:hanging="1409"/>
        <w:spacing w:after="0" w:line="235"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345" w:lineRule="exact"/>
        <w:rPr>
          <w:sz w:val="24"/>
          <w:szCs w:val="24"/>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9"/>
          </w:cols>
          <w:pgMar w:left="230" w:top="571" w:right="1440" w:bottom="1440" w:gutter="0" w:footer="0" w:header="0"/>
          <w:type w:val="continuous"/>
        </w:sectPr>
      </w:pPr>
    </w:p>
    <w:p>
      <w:pPr>
        <w:spacing w:after="0" w:line="173"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330" w:space="520"/>
            <w:col w:w="1840" w:space="720"/>
            <w:col w:w="5819"/>
          </w:cols>
          <w:pgMar w:left="230" w:top="571" w:right="1440" w:bottom="1440" w:gutter="0" w:footer="0" w:header="0"/>
          <w:type w:val="continuous"/>
        </w:sectPr>
      </w:pPr>
    </w:p>
    <w:p>
      <w:pPr>
        <w:ind w:left="16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130" w:space="720"/>
            <w:col w:w="5379"/>
          </w:cols>
          <w:pgMar w:left="230" w:top="571" w:right="1440" w:bottom="1440" w:gutter="0" w:footer="0" w:header="0"/>
          <w:type w:val="continuous"/>
        </w:sectPr>
      </w:pPr>
    </w:p>
    <w:p>
      <w:pPr>
        <w:ind w:left="10" w:right="3979"/>
        <w:spacing w:after="0" w:line="235" w:lineRule="auto"/>
        <w:rPr>
          <w:sz w:val="20"/>
          <w:szCs w:val="20"/>
          <w:color w:val="auto"/>
        </w:rPr>
      </w:pPr>
      <w:r>
        <w:rPr>
          <w:rFonts w:ascii="Courier New" w:cs="Courier New" w:eastAsia="Courier New" w:hAnsi="Courier New"/>
          <w:sz w:val="15"/>
          <w:szCs w:val="15"/>
          <w:color w:val="auto"/>
        </w:rPr>
        <w:t>The number of shares of Common Stock outstanding as of May 28, 1999 was 12,933,253.</w:t>
      </w:r>
    </w:p>
    <w:p>
      <w:pPr>
        <w:spacing w:after="0" w:line="34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571" w:right="1440" w:bottom="1440" w:gutter="0" w:footer="0" w:header="0"/>
          <w:type w:val="continuous"/>
        </w:sectPr>
      </w:pPr>
    </w:p>
    <w:bookmarkStart w:id="1" w:name="page2"/>
    <w:bookmarkEnd w:id="1"/>
    <w:p>
      <w:pPr>
        <w:jc w:val="center"/>
        <w:ind w:right="4600"/>
        <w:spacing w:after="0"/>
        <w:rPr>
          <w:sz w:val="20"/>
          <w:szCs w:val="20"/>
          <w:color w:val="auto"/>
        </w:rPr>
      </w:pPr>
      <w:r>
        <w:rPr>
          <w:rFonts w:ascii="Courier New" w:cs="Courier New" w:eastAsia="Courier New" w:hAnsi="Courier New"/>
          <w:sz w:val="15"/>
          <w:szCs w:val="15"/>
          <w:color w:val="auto"/>
        </w:rPr>
        <w:t>THE TORO COMPANY</w:t>
      </w:r>
    </w:p>
    <w:p>
      <w:pPr>
        <w:jc w:val="center"/>
        <w:ind w:right="460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Page Number</w:t>
            </w:r>
          </w:p>
        </w:tc>
      </w:tr>
      <w:tr>
        <w:trPr>
          <w:trHeight w:val="170"/>
        </w:trPr>
        <w:tc>
          <w:tcPr>
            <w:tcW w:w="114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980" w:type="dxa"/>
            <w:vAlign w:val="bottom"/>
          </w:tcPr>
          <w:p>
            <w:pPr>
              <w:ind w:left="440"/>
              <w:spacing w:after="0"/>
              <w:rPr>
                <w:sz w:val="20"/>
                <w:szCs w:val="20"/>
                <w:color w:val="auto"/>
              </w:rPr>
            </w:pPr>
            <w:r>
              <w:rPr>
                <w:rFonts w:ascii="Courier New" w:cs="Courier New" w:eastAsia="Courier New" w:hAnsi="Courier New"/>
                <w:sz w:val="15"/>
                <w:szCs w:val="15"/>
                <w:color w:val="auto"/>
              </w:rPr>
              <w:t>FINANCIAL INFORMATION:</w:t>
            </w:r>
          </w:p>
        </w:tc>
        <w:tc>
          <w:tcPr>
            <w:tcW w:w="980" w:type="dxa"/>
            <w:vAlign w:val="bottom"/>
          </w:tcPr>
          <w:p>
            <w:pPr>
              <w:spacing w:after="0"/>
              <w:rPr>
                <w:sz w:val="24"/>
                <w:szCs w:val="2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Earnings (Unaudited) -</w:t>
            </w:r>
          </w:p>
        </w:tc>
        <w:tc>
          <w:tcPr>
            <w:tcW w:w="98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Courier New" w:cs="Courier New" w:eastAsia="Courier New" w:hAnsi="Courier New"/>
                <w:sz w:val="15"/>
                <w:szCs w:val="15"/>
                <w:color w:val="auto"/>
                <w:w w:val="90"/>
              </w:rPr>
              <w:t>Three and Six Months Ended April 30, 1999 and May 1, 1998.........................................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9"/>
        </w:trPr>
        <w:tc>
          <w:tcPr>
            <w:tcW w:w="1140" w:type="dxa"/>
            <w:vAlign w:val="bottom"/>
          </w:tcPr>
          <w:p>
            <w:pPr>
              <w:spacing w:after="0"/>
              <w:rPr>
                <w:sz w:val="24"/>
                <w:szCs w:val="24"/>
                <w:color w:val="auto"/>
              </w:rPr>
            </w:pP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Balance Sheets (Unaudited) -</w:t>
            </w:r>
          </w:p>
        </w:tc>
        <w:tc>
          <w:tcPr>
            <w:tcW w:w="98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Courier New" w:cs="Courier New" w:eastAsia="Courier New" w:hAnsi="Courier New"/>
                <w:sz w:val="15"/>
                <w:szCs w:val="15"/>
                <w:color w:val="auto"/>
                <w:w w:val="90"/>
              </w:rPr>
              <w:t>April 30, 1999, May 1, 1998 and October 31, 1998..................................................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9"/>
        </w:trPr>
        <w:tc>
          <w:tcPr>
            <w:tcW w:w="1140" w:type="dxa"/>
            <w:vAlign w:val="bottom"/>
          </w:tcPr>
          <w:p>
            <w:pPr>
              <w:spacing w:after="0"/>
              <w:rPr>
                <w:sz w:val="24"/>
                <w:szCs w:val="24"/>
                <w:color w:val="auto"/>
              </w:rPr>
            </w:pP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Cash Flows (Unaudited) -</w:t>
            </w:r>
          </w:p>
        </w:tc>
        <w:tc>
          <w:tcPr>
            <w:tcW w:w="98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Courier New" w:cs="Courier New" w:eastAsia="Courier New" w:hAnsi="Courier New"/>
                <w:sz w:val="15"/>
                <w:szCs w:val="15"/>
                <w:color w:val="auto"/>
                <w:w w:val="90"/>
              </w:rPr>
              <w:t>Six Months Ended April 30, 1999 and May 1, 1998...................................................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339"/>
        </w:trPr>
        <w:tc>
          <w:tcPr>
            <w:tcW w:w="1140" w:type="dxa"/>
            <w:vAlign w:val="bottom"/>
          </w:tcPr>
          <w:p>
            <w:pPr>
              <w:spacing w:after="0"/>
              <w:rPr>
                <w:sz w:val="24"/>
                <w:szCs w:val="24"/>
                <w:color w:val="auto"/>
              </w:rPr>
            </w:pP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w w:val="91"/>
              </w:rPr>
              <w:t>Notes to Condensed Consolidated Financial Statements (Unaudited).....................................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8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w w:val="91"/>
              </w:rPr>
              <w:t>Condition and Results of Operations..................................................................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9-16</w:t>
            </w:r>
          </w:p>
        </w:tc>
      </w:tr>
      <w:tr>
        <w:trPr>
          <w:trHeight w:val="509"/>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8980" w:type="dxa"/>
            <w:vAlign w:val="bottom"/>
          </w:tcPr>
          <w:p>
            <w:pPr>
              <w:ind w:left="440"/>
              <w:spacing w:after="0"/>
              <w:rPr>
                <w:sz w:val="20"/>
                <w:szCs w:val="20"/>
                <w:color w:val="auto"/>
              </w:rPr>
            </w:pPr>
            <w:r>
              <w:rPr>
                <w:rFonts w:ascii="Courier New" w:cs="Courier New" w:eastAsia="Courier New" w:hAnsi="Courier New"/>
                <w:sz w:val="15"/>
                <w:szCs w:val="15"/>
                <w:color w:val="auto"/>
              </w:rPr>
              <w:t>OTHER INFORMATION:</w:t>
            </w:r>
          </w:p>
        </w:tc>
        <w:tc>
          <w:tcPr>
            <w:tcW w:w="980" w:type="dxa"/>
            <w:vAlign w:val="bottom"/>
          </w:tcPr>
          <w:p>
            <w:pPr>
              <w:spacing w:after="0"/>
              <w:rPr>
                <w:sz w:val="24"/>
                <w:szCs w:val="2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w w:val="91"/>
              </w:rPr>
              <w:t>Submission of Matters to a Vote of Security Holders..................................................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w w:val="92"/>
              </w:rPr>
              <w:t>Exhibits and Reports on Form 8-K....................................................................</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17-18</w:t>
            </w:r>
          </w:p>
        </w:tc>
      </w:tr>
      <w:tr>
        <w:trPr>
          <w:trHeight w:val="339"/>
        </w:trPr>
        <w:tc>
          <w:tcPr>
            <w:tcW w:w="1140" w:type="dxa"/>
            <w:vAlign w:val="bottom"/>
          </w:tcPr>
          <w:p>
            <w:pPr>
              <w:spacing w:after="0"/>
              <w:rPr>
                <w:sz w:val="24"/>
                <w:szCs w:val="24"/>
                <w:color w:val="auto"/>
              </w:rPr>
            </w:pPr>
          </w:p>
        </w:tc>
        <w:tc>
          <w:tcPr>
            <w:tcW w:w="8980" w:type="dxa"/>
            <w:vAlign w:val="bottom"/>
          </w:tcPr>
          <w:p>
            <w:pPr>
              <w:ind w:left="620"/>
              <w:spacing w:after="0"/>
              <w:rPr>
                <w:sz w:val="20"/>
                <w:szCs w:val="20"/>
                <w:color w:val="auto"/>
              </w:rPr>
            </w:pPr>
            <w:r>
              <w:rPr>
                <w:rFonts w:ascii="Courier New" w:cs="Courier New" w:eastAsia="Courier New" w:hAnsi="Courier New"/>
                <w:sz w:val="15"/>
                <w:szCs w:val="15"/>
                <w:color w:val="auto"/>
                <w:w w:val="91"/>
              </w:rPr>
              <w:t>Signatures...........................................................................................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r>
      <w:tr>
        <w:trPr>
          <w:trHeight w:val="678"/>
        </w:trPr>
        <w:tc>
          <w:tcPr>
            <w:tcW w:w="1140" w:type="dxa"/>
            <w:vAlign w:val="bottom"/>
          </w:tcPr>
          <w:p>
            <w:pPr>
              <w:spacing w:after="0"/>
              <w:rPr>
                <w:sz w:val="24"/>
                <w:szCs w:val="24"/>
                <w:color w:val="auto"/>
              </w:rPr>
            </w:pPr>
          </w:p>
        </w:tc>
        <w:tc>
          <w:tcPr>
            <w:tcW w:w="8980" w:type="dxa"/>
            <w:vAlign w:val="bottom"/>
          </w:tcPr>
          <w:p>
            <w:pPr>
              <w:ind w:left="228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24"/>
                <w:szCs w:val="24"/>
                <w:color w:val="auto"/>
              </w:rPr>
            </w:pPr>
          </w:p>
        </w:tc>
      </w:tr>
    </w:tbl>
    <w:p>
      <w:pPr>
        <w:sectPr>
          <w:pgSz w:w="11900" w:h="16838" w:orient="portrait"/>
          <w:cols w:equalWidth="0" w:num="1">
            <w:col w:w="11100"/>
          </w:cols>
          <w:pgMar w:left="240" w:top="791" w:right="559" w:bottom="1440" w:gutter="0" w:footer="0" w:header="0"/>
        </w:sectPr>
      </w:pPr>
    </w:p>
    <w:bookmarkStart w:id="2" w:name="page3"/>
    <w:bookmarkEnd w:id="2"/>
    <w:p>
      <w:pPr>
        <w:ind w:left="1580"/>
        <w:spacing w:after="0"/>
        <w:tabs>
          <w:tab w:leader="none" w:pos="2360" w:val="left"/>
          <w:tab w:leader="none" w:pos="3140" w:val="left"/>
        </w:tabs>
        <w:rPr>
          <w:sz w:val="20"/>
          <w:szCs w:val="20"/>
          <w:color w:val="auto"/>
        </w:rPr>
      </w:pPr>
      <w:r>
        <w:rPr>
          <w:rFonts w:ascii="Courier New" w:cs="Courier New" w:eastAsia="Courier New" w:hAnsi="Courier New"/>
          <w:sz w:val="15"/>
          <w:szCs w:val="15"/>
          <w:color w:val="auto"/>
        </w:rPr>
        <w:t>PART I.</w:t>
        <w:tab/>
        <w:t>ITEM 1.</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580"/>
        <w:spacing w:after="0"/>
        <w:rPr>
          <w:sz w:val="20"/>
          <w:szCs w:val="20"/>
          <w:color w:val="auto"/>
        </w:rPr>
      </w:pPr>
      <w:r>
        <w:rPr>
          <w:rFonts w:ascii="Courier New" w:cs="Courier New" w:eastAsia="Courier New" w:hAnsi="Courier New"/>
          <w:sz w:val="15"/>
          <w:szCs w:val="15"/>
          <w:color w:val="auto"/>
        </w:rPr>
        <w:t>CONDENSED CONSOLIDATED STATEMENTS OF EARNINGS (UNAUDITED)</w:t>
      </w:r>
    </w:p>
    <w:tbl>
      <w:tblPr>
        <w:tblLayout w:type="fixed"/>
        <w:tblInd w:w="0" w:type="dxa"/>
        <w:tblCellMar>
          <w:top w:w="0" w:type="dxa"/>
          <w:left w:w="0" w:type="dxa"/>
          <w:bottom w:w="0" w:type="dxa"/>
          <w:right w:w="0" w:type="dxa"/>
        </w:tblCellMar>
      </w:tblPr>
      <w:tr>
        <w:trPr>
          <w:trHeight w:val="169"/>
        </w:trPr>
        <w:tc>
          <w:tcPr>
            <w:tcW w:w="660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(DOLLARS AND SHARES IN THOUSANDS, EXCEPT PER-SHARE DATA)</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24"/>
                <w:szCs w:val="24"/>
                <w:color w:val="auto"/>
              </w:rPr>
            </w:pPr>
          </w:p>
        </w:tc>
        <w:tc>
          <w:tcPr>
            <w:tcW w:w="26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2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April 30,</w:t>
            </w:r>
          </w:p>
        </w:tc>
        <w:tc>
          <w:tcPr>
            <w:tcW w:w="3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May 1,</w:t>
            </w:r>
          </w:p>
        </w:tc>
        <w:tc>
          <w:tcPr>
            <w:tcW w:w="30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April 30,</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May 1,</w:t>
            </w:r>
          </w:p>
        </w:tc>
      </w:tr>
      <w:tr>
        <w:trPr>
          <w:trHeight w:val="170"/>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sales..................................................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433,108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379,686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683,869</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589,745</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Cost of sales..............................................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280,255</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246,737</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443,072</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383,744</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152,853</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132,949</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240,797</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206,001</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Selling, general, and administrative expenses..............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106,775</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95,034</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189,136</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166,898</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Earnings from operations............................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46,078</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37,915</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51,661</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39,103</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expense...........................................</w:t>
            </w:r>
          </w:p>
        </w:tc>
        <w:tc>
          <w:tcPr>
            <w:tcW w:w="3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(6,697)</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(6,911)</w:t>
            </w:r>
          </w:p>
        </w:tc>
        <w:tc>
          <w:tcPr>
            <w:tcW w:w="30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(11,727)</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(12,716)</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income, net..........................................</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2,141</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5,004</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Earnings before income taxes........................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39,459</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33,145</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40,797</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31,391</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income taxes.................................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15,369</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13,092</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15,911</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12,399</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24,090</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20,053</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24,886</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18,992</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net earnings per share of common stock...............</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net earnings per share of common stock.............</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82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outstanding and assumed issuance of</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contingent shares...................................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12,922</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12,836</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13,030</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12,736</w:t>
            </w:r>
          </w:p>
        </w:tc>
      </w:tr>
      <w:tr>
        <w:trPr>
          <w:trHeight w:val="339"/>
        </w:trPr>
        <w:tc>
          <w:tcPr>
            <w:tcW w:w="5200" w:type="dxa"/>
            <w:vAlign w:val="bottom"/>
          </w:tcPr>
          <w:p>
            <w:pPr>
              <w:jc w:val="right"/>
              <w:ind w:right="82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outstanding, assumed issuance of contingent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shares, and assumed conversion of options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13,163</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13,149</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13,241</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13,082</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000"/>
          </w:cols>
          <w:pgMar w:left="240" w:top="622" w:right="659" w:bottom="1440" w:gutter="0" w:footer="0" w:header="0"/>
        </w:sectPr>
      </w:pPr>
    </w:p>
    <w:bookmarkStart w:id="3" w:name="page4"/>
    <w:bookmarkEnd w:id="3"/>
    <w:p>
      <w:pPr>
        <w:jc w:val="center"/>
        <w:ind w:right="350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500"/>
        <w:spacing w:after="0"/>
        <w:rPr>
          <w:sz w:val="20"/>
          <w:szCs w:val="20"/>
          <w:color w:val="auto"/>
        </w:rPr>
      </w:pPr>
      <w:r>
        <w:rPr>
          <w:rFonts w:ascii="Courier New" w:cs="Courier New" w:eastAsia="Courier New" w:hAnsi="Courier New"/>
          <w:sz w:val="15"/>
          <w:szCs w:val="15"/>
          <w:color w:val="auto"/>
        </w:rPr>
        <w:t>CONDENSED CONSOLIDATED BALANCE SHEETS (UNAUDITED)</w:t>
      </w:r>
    </w:p>
    <w:tbl>
      <w:tblPr>
        <w:tblLayout w:type="fixed"/>
        <w:tblInd w:w="0" w:type="dxa"/>
        <w:tblCellMar>
          <w:top w:w="0" w:type="dxa"/>
          <w:left w:w="0" w:type="dxa"/>
          <w:bottom w:w="0" w:type="dxa"/>
          <w:right w:w="0" w:type="dxa"/>
        </w:tblCellMar>
      </w:tblPr>
      <w:tr>
        <w:trPr>
          <w:trHeight w:val="169"/>
        </w:trPr>
        <w:tc>
          <w:tcPr>
            <w:tcW w:w="6600" w:type="dxa"/>
            <w:vAlign w:val="bottom"/>
            <w:gridSpan w:val="2"/>
          </w:tcPr>
          <w:p>
            <w:pPr>
              <w:ind w:left="1400"/>
              <w:spacing w:after="0"/>
              <w:rPr>
                <w:sz w:val="20"/>
                <w:szCs w:val="20"/>
                <w:color w:val="auto"/>
              </w:rPr>
            </w:pPr>
            <w:r>
              <w:rPr>
                <w:rFonts w:ascii="Courier New" w:cs="Courier New" w:eastAsia="Courier New" w:hAnsi="Courier New"/>
                <w:sz w:val="15"/>
                <w:szCs w:val="15"/>
                <w:color w:val="auto"/>
                <w:w w:val="99"/>
              </w:rPr>
              <w:t>(DOLLARS IN THOUSANDS, EXCEPT SHARE AND PER SHARE AMOUNTS)</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8"/>
        </w:trPr>
        <w:tc>
          <w:tcPr>
            <w:tcW w:w="6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April 30,</w:t>
            </w:r>
          </w:p>
        </w:tc>
        <w:tc>
          <w:tcPr>
            <w:tcW w:w="62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May 1,</w:t>
            </w:r>
          </w:p>
        </w:tc>
        <w:tc>
          <w:tcPr>
            <w:tcW w:w="360" w:type="dxa"/>
            <w:vAlign w:val="bottom"/>
          </w:tcPr>
          <w:p>
            <w:pPr>
              <w:spacing w:after="0"/>
              <w:rPr>
                <w:sz w:val="24"/>
                <w:szCs w:val="2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8"/>
              </w:rPr>
              <w:t>October 31,</w:t>
            </w:r>
          </w:p>
        </w:tc>
      </w:tr>
      <w:tr>
        <w:trPr>
          <w:trHeight w:val="170"/>
        </w:trPr>
        <w:tc>
          <w:tcPr>
            <w:tcW w:w="6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34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Cash and cash equivalents.............................................</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3,341</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Receivables, net......................................................</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439,423</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440,435</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241,426</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Inventories, net......................................................</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185,699</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212,425</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184,306</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Prepaid expenses and other current assets.............................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8,869</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8,275</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14,618</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Deferred income taxes.................................................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38,526</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45,243</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38,997</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Total current assets..........................................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675,858</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707,018</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479,437</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Property, plant, and equipment........................................</w:t>
            </w:r>
          </w:p>
        </w:tc>
        <w:tc>
          <w:tcPr>
            <w:tcW w:w="440" w:type="dxa"/>
            <w:vAlign w:val="bottom"/>
          </w:tcPr>
          <w:p>
            <w:pPr>
              <w:spacing w:after="0"/>
              <w:rPr>
                <w:sz w:val="24"/>
                <w:szCs w:val="2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336,990</w:t>
            </w:r>
          </w:p>
        </w:tc>
        <w:tc>
          <w:tcPr>
            <w:tcW w:w="62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318,977</w:t>
            </w:r>
          </w:p>
        </w:tc>
        <w:tc>
          <w:tcPr>
            <w:tcW w:w="36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330,539</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Less accumulated depreciation.................................</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214,916</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188,226</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203,402</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122,074</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130,751</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127,137</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Deferred income taxes.................................................</w:t>
            </w:r>
          </w:p>
        </w:tc>
        <w:tc>
          <w:tcPr>
            <w:tcW w:w="440" w:type="dxa"/>
            <w:vAlign w:val="bottom"/>
          </w:tcPr>
          <w:p>
            <w:pPr>
              <w:spacing w:after="0"/>
              <w:rPr>
                <w:sz w:val="24"/>
                <w:szCs w:val="2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3,786</w:t>
            </w:r>
          </w:p>
        </w:tc>
        <w:tc>
          <w:tcPr>
            <w:tcW w:w="62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1,182</w:t>
            </w:r>
          </w:p>
        </w:tc>
        <w:tc>
          <w:tcPr>
            <w:tcW w:w="36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3,763</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Goodwill and other assets.............................................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129,506</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113,227</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113,654</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Total assets..................................................</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931,224</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952,178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723,991</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Current portion of long-term debt.....................................</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624</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580</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Short-term debt.......................................................</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183,909</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236,632</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31,000</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Accounts payable......................................................</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57,965</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69,408</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65,273</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Accrued liabilities...................................................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197,908</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155,825</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161,357</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Total current liabilities.....................................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440,406</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463,704</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258,210</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440" w:type="dxa"/>
            <w:vAlign w:val="bottom"/>
          </w:tcPr>
          <w:p>
            <w:pPr>
              <w:spacing w:after="0"/>
              <w:rPr>
                <w:sz w:val="24"/>
                <w:szCs w:val="2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196,758</w:t>
            </w:r>
          </w:p>
        </w:tc>
        <w:tc>
          <w:tcPr>
            <w:tcW w:w="62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198,251</w:t>
            </w:r>
          </w:p>
        </w:tc>
        <w:tc>
          <w:tcPr>
            <w:tcW w:w="36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196,844</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7"/>
              </w:rPr>
              <w:t>Other long-term liabilities...........................................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5,938</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6,610</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5,538</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Common stock, par value $1.00, authorized 35,000,000 shares;</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issued and outstanding 12,916,010 shares at April 30,</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1999 (net of 592,045 treasury shares), 12,841,273</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shares at May 1, 1998 (net of 666,782 treasury shares),</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and 12,769,560 shares at October 31, 1998 (net of</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738,495 treasury shares)......................................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12,916</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12,841</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12,770</w:t>
            </w:r>
          </w:p>
        </w:tc>
      </w:tr>
      <w:tr>
        <w:trPr>
          <w:trHeight w:val="170"/>
        </w:trPr>
        <w:tc>
          <w:tcPr>
            <w:tcW w:w="6160" w:type="dxa"/>
            <w:vAlign w:val="bottom"/>
          </w:tcPr>
          <w:p>
            <w:pPr>
              <w:ind w:left="80"/>
              <w:spacing w:after="0"/>
              <w:rPr>
                <w:sz w:val="20"/>
                <w:szCs w:val="20"/>
                <w:color w:val="auto"/>
              </w:rPr>
            </w:pPr>
            <w:r>
              <w:rPr>
                <w:rFonts w:ascii="Courier New" w:cs="Courier New" w:eastAsia="Courier New" w:hAnsi="Courier New"/>
                <w:sz w:val="15"/>
                <w:szCs w:val="15"/>
                <w:color w:val="auto"/>
                <w:w w:val="97"/>
              </w:rPr>
              <w:t>Additional paid-in capital...........................................</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58,904</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58,958</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56,546</w:t>
            </w:r>
          </w:p>
        </w:tc>
      </w:tr>
      <w:tr>
        <w:trPr>
          <w:trHeight w:val="170"/>
        </w:trPr>
        <w:tc>
          <w:tcPr>
            <w:tcW w:w="6160" w:type="dxa"/>
            <w:vAlign w:val="bottom"/>
          </w:tcPr>
          <w:p>
            <w:pPr>
              <w:ind w:left="80"/>
              <w:spacing w:after="0"/>
              <w:rPr>
                <w:sz w:val="20"/>
                <w:szCs w:val="20"/>
                <w:color w:val="auto"/>
              </w:rPr>
            </w:pPr>
            <w:r>
              <w:rPr>
                <w:rFonts w:ascii="Courier New" w:cs="Courier New" w:eastAsia="Courier New" w:hAnsi="Courier New"/>
                <w:sz w:val="15"/>
                <w:szCs w:val="15"/>
                <w:color w:val="auto"/>
                <w:w w:val="97"/>
              </w:rPr>
              <w:t>Retained earnings....................................................</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222,425</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218,597</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200,609</w:t>
            </w:r>
          </w:p>
        </w:tc>
      </w:tr>
      <w:tr>
        <w:trPr>
          <w:trHeight w:val="170"/>
        </w:trPr>
        <w:tc>
          <w:tcPr>
            <w:tcW w:w="6160" w:type="dxa"/>
            <w:vAlign w:val="bottom"/>
          </w:tcPr>
          <w:p>
            <w:pPr>
              <w:ind w:left="80"/>
              <w:spacing w:after="0"/>
              <w:rPr>
                <w:sz w:val="20"/>
                <w:szCs w:val="20"/>
                <w:color w:val="auto"/>
              </w:rPr>
            </w:pPr>
            <w:r>
              <w:rPr>
                <w:rFonts w:ascii="Courier New" w:cs="Courier New" w:eastAsia="Courier New" w:hAnsi="Courier New"/>
                <w:sz w:val="15"/>
                <w:szCs w:val="15"/>
                <w:color w:val="auto"/>
                <w:w w:val="97"/>
              </w:rPr>
              <w:t>Foreign currency translation adjustment..............................</w:t>
            </w:r>
          </w:p>
        </w:tc>
        <w:tc>
          <w:tcPr>
            <w:tcW w:w="44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(6,123)</w:t>
            </w:r>
          </w:p>
        </w:tc>
        <w:tc>
          <w:tcPr>
            <w:tcW w:w="6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(6,783)</w:t>
            </w:r>
          </w:p>
        </w:tc>
        <w:tc>
          <w:tcPr>
            <w:tcW w:w="3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(6,526)</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Total stockholders' equity....................................</w:t>
            </w:r>
          </w:p>
        </w:tc>
        <w:tc>
          <w:tcPr>
            <w:tcW w:w="44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288,122</w:t>
            </w:r>
          </w:p>
        </w:tc>
        <w:tc>
          <w:tcPr>
            <w:tcW w:w="62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283,613</w:t>
            </w:r>
          </w:p>
        </w:tc>
        <w:tc>
          <w:tcPr>
            <w:tcW w:w="360" w:type="dxa"/>
            <w:vAlign w:val="bottom"/>
          </w:tcPr>
          <w:p>
            <w:pPr>
              <w:spacing w:after="0"/>
              <w:rPr>
                <w:sz w:val="14"/>
                <w:szCs w:val="1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263,399</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7"/>
              </w:rPr>
              <w:t>Total liabilities and stockholders' equity....................</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931,224</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952,178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723,991</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14"/>
                <w:szCs w:val="14"/>
                <w:color w:val="auto"/>
              </w:rPr>
            </w:pP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2" w:right="139" w:bottom="1440" w:gutter="0" w:footer="0" w:header="0"/>
        </w:sectPr>
      </w:pPr>
    </w:p>
    <w:bookmarkStart w:id="4" w:name="page5"/>
    <w:bookmarkEnd w:id="4"/>
    <w:p>
      <w:pPr>
        <w:jc w:val="center"/>
        <w:ind w:right="370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700"/>
        <w:spacing w:after="0"/>
        <w:rPr>
          <w:sz w:val="20"/>
          <w:szCs w:val="20"/>
          <w:color w:val="auto"/>
        </w:rPr>
      </w:pPr>
      <w:r>
        <w:rPr>
          <w:rFonts w:ascii="Courier New" w:cs="Courier New" w:eastAsia="Courier New" w:hAnsi="Courier New"/>
          <w:sz w:val="15"/>
          <w:szCs w:val="15"/>
          <w:color w:val="auto"/>
        </w:rPr>
        <w:t>CONDENSED CONSOLIDATED STATEMENTS OF CASH FLOWS (UNAUDITED)</w:t>
      </w:r>
    </w:p>
    <w:tbl>
      <w:tblPr>
        <w:tblLayout w:type="fixed"/>
        <w:tblInd w:w="0" w:type="dxa"/>
        <w:tblCellMar>
          <w:top w:w="0" w:type="dxa"/>
          <w:left w:w="0" w:type="dxa"/>
          <w:bottom w:w="0" w:type="dxa"/>
          <w:right w:w="0" w:type="dxa"/>
        </w:tblCellMar>
      </w:tblPr>
      <w:tr>
        <w:trPr>
          <w:trHeight w:val="169"/>
        </w:trPr>
        <w:tc>
          <w:tcPr>
            <w:tcW w:w="722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8"/>
        </w:trPr>
        <w:tc>
          <w:tcPr>
            <w:tcW w:w="7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1140" w:type="dxa"/>
            <w:vAlign w:val="bottom"/>
          </w:tcPr>
          <w:p>
            <w:pPr>
              <w:spacing w:after="0"/>
              <w:rPr>
                <w:sz w:val="24"/>
                <w:szCs w:val="24"/>
                <w:color w:val="auto"/>
              </w:rPr>
            </w:pPr>
          </w:p>
        </w:tc>
      </w:tr>
      <w:tr>
        <w:trPr>
          <w:trHeight w:val="170"/>
        </w:trPr>
        <w:tc>
          <w:tcPr>
            <w:tcW w:w="722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April 30,</w:t>
            </w:r>
          </w:p>
        </w:tc>
        <w:tc>
          <w:tcPr>
            <w:tcW w:w="8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May 1,</w:t>
            </w:r>
          </w:p>
        </w:tc>
      </w:tr>
      <w:tr>
        <w:trPr>
          <w:trHeight w:val="170"/>
        </w:trPr>
        <w:tc>
          <w:tcPr>
            <w:tcW w:w="7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ind w:right="3887"/>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620" w:type="dxa"/>
            <w:vAlign w:val="bottom"/>
          </w:tcPr>
          <w:p>
            <w:pPr>
              <w:jc w:val="right"/>
              <w:ind w:right="467"/>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24,886</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18,992</w:t>
            </w: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tcPr>
          <w:p>
            <w:pPr>
              <w:jc w:val="right"/>
              <w:ind w:right="3727"/>
              <w:spacing w:after="0"/>
              <w:rPr>
                <w:sz w:val="20"/>
                <w:szCs w:val="20"/>
                <w:color w:val="auto"/>
              </w:rPr>
            </w:pPr>
            <w:r>
              <w:rPr>
                <w:rFonts w:ascii="Courier New" w:cs="Courier New" w:eastAsia="Courier New" w:hAnsi="Courier New"/>
                <w:sz w:val="15"/>
                <w:szCs w:val="15"/>
                <w:color w:val="auto"/>
              </w:rPr>
              <w:t>used in operating activities: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Provision for depreciation and amortization.................................</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17,838</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16,054</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 of property, plant, and equipment..........................</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207</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910</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(2,632)</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Tax benefits related to employee stock option transactions..................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1,815</w:t>
            </w: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Receivables, net.......................................................</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(197,997)</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(172,618)</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(1,393)</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(40,874)</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5,311</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2,977</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30,346</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15,047</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operating activities..............................</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(119,694)</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(160,944)</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ind w:right="3627"/>
              <w:spacing w:after="0"/>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Purchases of property, plant, and equipment.................................</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(10,286)</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(17,783)</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asset disposals...............................................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240</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1,325</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investment in affiliates.............................</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(4,908)</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other assets.........................................</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2,770</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Acquisitions, net of cash acquired..........................................</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(17,173)</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(16,768)</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(30,744)</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ind w:right="3627"/>
              <w:spacing w:after="0"/>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Increase in short-term debt.................................................</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152,909</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195,632</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Repayments of long-term debt................................................</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(1,142)</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Increase in other long-term liabilities.....................................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376</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956</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exercise of stock options.....................................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1,272</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1,655</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Purchases of common stock...................................................</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(12,021)</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Dividends on common stock...................................................</w:t>
            </w:r>
          </w:p>
        </w:tc>
        <w:tc>
          <w:tcPr>
            <w:tcW w:w="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(3,070)</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(3,076)</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139,310</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194,025</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Foreign currency translation adjustment........................................</w:t>
            </w:r>
          </w:p>
        </w:tc>
        <w:tc>
          <w:tcPr>
            <w:tcW w:w="62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403</w:t>
            </w:r>
          </w:p>
        </w:tc>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(1,705)</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increase in cash and cash equivalents......................................</w:t>
            </w:r>
          </w:p>
        </w:tc>
        <w:tc>
          <w:tcPr>
            <w:tcW w:w="62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3,251</w:t>
            </w:r>
          </w:p>
        </w:tc>
        <w:tc>
          <w:tcPr>
            <w:tcW w:w="80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w:t>
            </w:r>
          </w:p>
        </w:tc>
        <w:tc>
          <w:tcPr>
            <w:tcW w:w="8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620" w:type="dxa"/>
            <w:vAlign w:val="bottom"/>
          </w:tcPr>
          <w:p>
            <w:pPr>
              <w:jc w:val="right"/>
              <w:ind w:right="467"/>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3,341</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240" w:top="622" w:right="479"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APRIL 30, 1999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April 30, 1999 are not necessarily indicative of the results that may be expected for the fiscal year ending October 31, 1999. Certain amounts from prior period's financial statements have been reclassified to conform to this period's presentation.</w:t>
      </w:r>
    </w:p>
    <w:p>
      <w:pPr>
        <w:spacing w:after="0" w:line="16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1998. The policies described in that report are used for preparing quarterly reports.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The majority of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inventories</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w w:val="98"/>
              </w:rPr>
              <w:t>are valued at the lower of cost or</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net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realizable value</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with cost determined by the last-in, first-out</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w w:val="95"/>
              </w:rPr>
              <w:t>(LIFO) method.</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Inventories were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as follows:</w:t>
            </w:r>
          </w:p>
        </w:tc>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April 30,</w:t>
            </w: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May 1,</w:t>
            </w:r>
          </w:p>
        </w:tc>
      </w:tr>
      <w:tr>
        <w:trPr>
          <w:trHeight w:val="170"/>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w w:val="97"/>
              </w:rPr>
              <w:t>Raw materials and work in process....................</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76,045</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83,564</w:t>
            </w: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w w:val="97"/>
              </w:rPr>
              <w:t>Finished goods.......................................</w:t>
            </w:r>
          </w:p>
        </w:tc>
        <w:tc>
          <w:tcPr>
            <w:tcW w:w="2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155,762</w:t>
            </w: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170,035</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231,807</w:t>
            </w: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253,599</w:t>
            </w: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w w:val="97"/>
              </w:rPr>
              <w:t>Less LIFO and other reserves.........................</w:t>
            </w:r>
          </w:p>
        </w:tc>
        <w:tc>
          <w:tcPr>
            <w:tcW w:w="2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46,108</w:t>
            </w: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41,174</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185,699</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212,425</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5" w:lineRule="exact"/>
        <w:rPr>
          <w:sz w:val="20"/>
          <w:szCs w:val="20"/>
          <w:color w:val="auto"/>
        </w:rPr>
      </w:pPr>
    </w:p>
    <w:p>
      <w:pPr>
        <w:jc w:val="both"/>
        <w:ind w:right="3619"/>
        <w:spacing w:after="0" w:line="259" w:lineRule="auto"/>
        <w:rPr>
          <w:sz w:val="20"/>
          <w:szCs w:val="20"/>
          <w:color w:val="auto"/>
        </w:rPr>
      </w:pPr>
      <w:r>
        <w:rPr>
          <w:rFonts w:ascii="Courier New" w:cs="Courier New" w:eastAsia="Courier New" w:hAnsi="Courier New"/>
          <w:sz w:val="14"/>
          <w:szCs w:val="14"/>
          <w:color w:val="auto"/>
        </w:rPr>
        <w:t>At April 30, 1999, the company had $3.9 million of restructuring and other unusual expense remaining in accrued liabilities. The company has utilized $6.8 million of these reserves since October 31, 1998. The company expects the majority of these reserves to be utilized by the end of fiscal 1999.</w:t>
      </w:r>
    </w:p>
    <w:p>
      <w:pPr>
        <w:spacing w:after="0" w:line="1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right="4760"/>
        <w:spacing w:after="0" w:line="238" w:lineRule="auto"/>
        <w:rPr>
          <w:sz w:val="20"/>
          <w:szCs w:val="20"/>
          <w:color w:val="auto"/>
        </w:rPr>
      </w:pPr>
      <w:r>
        <w:rPr>
          <w:rFonts w:ascii="Courier New" w:cs="Courier New" w:eastAsia="Courier New" w:hAnsi="Courier New"/>
          <w:sz w:val="15"/>
          <w:szCs w:val="15"/>
          <w:color w:val="auto"/>
        </w:rPr>
        <w:t>Comprehensive income is comprised of two components: net earnings and other comprehensive income (loss). Other comprehensive income (loss) refers to revenues, expenses, gains, and losses that under generally accepted accounting principles are recorded as an element of stockholders' equity and are excluded from net earnings. Toro's other comprehensive income (loss) is comprised of foreign currency translation adjustments from certain foreign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comprehensive income (loss) were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Three Months Ended</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Six Months</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7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April 30,</w:t>
            </w:r>
          </w:p>
        </w:tc>
        <w:tc>
          <w:tcPr>
            <w:tcW w:w="9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May 1,</w:t>
            </w:r>
          </w:p>
        </w:tc>
        <w:tc>
          <w:tcPr>
            <w:tcW w:w="36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April 30,</w:t>
            </w:r>
          </w:p>
        </w:tc>
        <w:tc>
          <w:tcPr>
            <w:tcW w:w="300" w:type="dxa"/>
            <w:vAlign w:val="bottom"/>
          </w:tcPr>
          <w:p>
            <w:pPr>
              <w:spacing w:after="0"/>
              <w:rPr>
                <w:sz w:val="14"/>
                <w:szCs w:val="14"/>
                <w:color w:val="auto"/>
              </w:rPr>
            </w:pPr>
          </w:p>
        </w:tc>
        <w:tc>
          <w:tcPr>
            <w:tcW w:w="10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May 1,</w:t>
            </w:r>
          </w:p>
        </w:tc>
      </w:tr>
      <w:tr>
        <w:trPr>
          <w:trHeight w:val="170"/>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7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Net earnings..........................................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24,090</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20,053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24,886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18,992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Other comprehensive income (loss).....................</w:t>
            </w:r>
          </w:p>
        </w:tc>
        <w:tc>
          <w:tcPr>
            <w:tcW w:w="3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563</w:t>
            </w:r>
          </w:p>
        </w:tc>
        <w:tc>
          <w:tcPr>
            <w:tcW w:w="9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w:t>
            </w:r>
          </w:p>
        </w:tc>
        <w:tc>
          <w:tcPr>
            <w:tcW w:w="3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403</w:t>
            </w:r>
          </w:p>
        </w:tc>
        <w:tc>
          <w:tcPr>
            <w:tcW w:w="30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(1,705)</w:t>
            </w:r>
          </w:p>
        </w:tc>
      </w:tr>
      <w:tr>
        <w:trPr>
          <w:trHeight w:val="170"/>
        </w:trPr>
        <w:tc>
          <w:tcPr>
            <w:tcW w:w="47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Comprehensive income..................................</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24,653</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19,358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25,289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17,287</w:t>
            </w:r>
          </w:p>
        </w:tc>
      </w:tr>
      <w:tr>
        <w:trPr>
          <w:trHeight w:val="170"/>
        </w:trPr>
        <w:tc>
          <w:tcPr>
            <w:tcW w:w="47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7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PER SHARE</w:t>
      </w:r>
    </w:p>
    <w:p>
      <w:pPr>
        <w:spacing w:after="0" w:line="175" w:lineRule="exact"/>
        <w:rPr>
          <w:sz w:val="20"/>
          <w:szCs w:val="20"/>
          <w:color w:val="auto"/>
        </w:rPr>
      </w:pPr>
    </w:p>
    <w:p>
      <w:pPr>
        <w:ind w:right="4760"/>
        <w:spacing w:after="0" w:line="235" w:lineRule="auto"/>
        <w:rPr>
          <w:sz w:val="20"/>
          <w:szCs w:val="20"/>
          <w:color w:val="auto"/>
        </w:rPr>
      </w:pPr>
      <w:r>
        <w:rPr>
          <w:rFonts w:ascii="Courier New" w:cs="Courier New" w:eastAsia="Courier New" w:hAnsi="Courier New"/>
          <w:sz w:val="15"/>
          <w:szCs w:val="15"/>
          <w:color w:val="auto"/>
        </w:rPr>
        <w:t>Reconciliation of basic and dilutive weighted average shares of common stock outstanding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1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5280" w:type="dxa"/>
            <w:vAlign w:val="bottom"/>
          </w:tcPr>
          <w:p>
            <w:pPr>
              <w:spacing w:after="0"/>
              <w:rPr>
                <w:sz w:val="14"/>
                <w:szCs w:val="14"/>
                <w:color w:val="auto"/>
              </w:rPr>
            </w:pPr>
          </w:p>
        </w:tc>
        <w:tc>
          <w:tcPr>
            <w:tcW w:w="31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6"/>
              </w:rPr>
              <w:t>---------------------------------</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April 30,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May 1,</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April 30,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May 1,</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8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(Shares in thousands)</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stock outstanding....................................</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12,922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12,836</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12,775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12,736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Assumed issuance of contingent shares ......................</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and assumed issuance of contingent shares............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12,922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12,836</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13,030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12,736</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(Shares in thousands)</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and assumed issuance of contingent shares............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12,922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12,836</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13,030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12,736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Assumed conversion of stock options.........................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211</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346</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assumed issuance of contingent shares, and</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assumed conversion of options outstanding............</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13,163</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13,149</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13,241</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13,082</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ACQUISITIONS</w:t>
      </w:r>
    </w:p>
    <w:p>
      <w:pPr>
        <w:spacing w:after="0" w:line="175" w:lineRule="exact"/>
        <w:rPr>
          <w:sz w:val="20"/>
          <w:szCs w:val="20"/>
          <w:color w:val="auto"/>
        </w:rPr>
      </w:pPr>
    </w:p>
    <w:p>
      <w:pPr>
        <w:ind w:right="4920"/>
        <w:spacing w:after="0" w:line="260" w:lineRule="auto"/>
        <w:rPr>
          <w:sz w:val="20"/>
          <w:szCs w:val="20"/>
          <w:color w:val="auto"/>
        </w:rPr>
      </w:pPr>
      <w:r>
        <w:rPr>
          <w:rFonts w:ascii="Courier New" w:cs="Courier New" w:eastAsia="Courier New" w:hAnsi="Courier New"/>
          <w:sz w:val="14"/>
          <w:szCs w:val="14"/>
          <w:color w:val="auto"/>
        </w:rPr>
        <w:t>On May 20, 1999, the company completed the purchase of its Minnesota distributor. This company distributes Toro consumer, commercial, landscape contractor, and irrigation products in several Midwestern states.</w:t>
      </w:r>
    </w:p>
    <w:p>
      <w:pPr>
        <w:spacing w:after="0" w:line="163" w:lineRule="exact"/>
        <w:rPr>
          <w:sz w:val="20"/>
          <w:szCs w:val="20"/>
          <w:color w:val="auto"/>
        </w:rPr>
      </w:pPr>
    </w:p>
    <w:p>
      <w:pPr>
        <w:ind w:right="4400"/>
        <w:spacing w:after="0" w:line="237" w:lineRule="auto"/>
        <w:rPr>
          <w:sz w:val="20"/>
          <w:szCs w:val="20"/>
          <w:color w:val="auto"/>
        </w:rPr>
      </w:pPr>
      <w:r>
        <w:rPr>
          <w:rFonts w:ascii="Courier New" w:cs="Courier New" w:eastAsia="Courier New" w:hAnsi="Courier New"/>
          <w:sz w:val="15"/>
          <w:szCs w:val="15"/>
          <w:color w:val="auto"/>
        </w:rPr>
        <w:t>During the second quarter of fiscal 1999, Toro completed the purchase of the assets of Multi-Core Aerators Limited, a distributor of large turf aeration equipment. The purchase of Multi-Core Aerators augments Toro's full-line of turf aeration equipment and is expected to have an immediate appeal to the company's customer base.</w:t>
      </w:r>
    </w:p>
    <w:p>
      <w:pPr>
        <w:spacing w:after="0" w:line="178" w:lineRule="exact"/>
        <w:rPr>
          <w:sz w:val="20"/>
          <w:szCs w:val="20"/>
          <w:color w:val="auto"/>
        </w:rPr>
      </w:pPr>
    </w:p>
    <w:p>
      <w:pPr>
        <w:ind w:right="4760"/>
        <w:spacing w:after="0" w:line="235" w:lineRule="auto"/>
        <w:rPr>
          <w:sz w:val="20"/>
          <w:szCs w:val="20"/>
          <w:color w:val="auto"/>
        </w:rPr>
      </w:pPr>
      <w:r>
        <w:rPr>
          <w:rFonts w:ascii="Courier New" w:cs="Courier New" w:eastAsia="Courier New" w:hAnsi="Courier New"/>
          <w:sz w:val="15"/>
          <w:szCs w:val="15"/>
          <w:color w:val="auto"/>
        </w:rPr>
        <w:t>During the second quarter of fiscal 1999, Toro completed the sale of all the components of its professional fertilizer businesses.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440"/>
          </w:cols>
          <w:pgMar w:left="240" w:top="622" w:right="2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fiscal 1998, the Financial Accounting Standards Board (FASB) issued Statement of Financial Accounting Standard (SFAS) No. 133, "Accounting for Derivative Instruments and Hedging Activities," and the Accounting Standards Executive Committee issued Statement of Position (SOP) 98-1, "Accounting for the Costs of Computer Software Developed or Obtained for Internal Use."</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SFAS 133 establishes new standards for recognizing all derivatives as either assets or liabilities, and measuring those instruments at fair value. The company plans to adopt the new standard beginning with the first quarter of fiscal year 2001, as required. The company is in the process of evaluating SFAS 133 and the impact on the company.</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SOP 98-1 provides guidance on accounting for the costs of computer software developed or obtained for internal use and does not require additional disclosures. The company plans to adopt the SOP in the first quarter of fiscal year 2000, as required. Costs incurred prior to the initial application of the SOP will not be adjusted to conform to SOP 98-1. The adoption of SOP 98-1 is not expected to have a material impact on the company's consolidated financial statements.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1997, the FASB issued SFAS No. 131, "Disclosures about Segments of an Enterprise and Related Information." SFAS 131 requires disclosure of selected information about operating segments including segment income, revenues, and asset data, as well as descriptive information about how operating segments are determined and the products and services provided by the segments. The company will be required to adopt SFAS 131 beginning with its 1999 fiscal year-end annual report. The company is in the process of evaluating SFAS 131 and the impact on the company's current disclosures.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8" w:name="page9"/>
    <w:bookmarkEnd w:id="8"/>
    <w:p>
      <w:pPr>
        <w:jc w:val="center"/>
        <w:ind w:right="3719"/>
        <w:spacing w:after="0"/>
        <w:tabs>
          <w:tab w:leader="none" w:pos="1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jc w:val="center"/>
        <w:ind w:right="3619"/>
        <w:spacing w:after="0"/>
        <w:rPr>
          <w:sz w:val="20"/>
          <w:szCs w:val="20"/>
          <w:color w:val="auto"/>
        </w:rPr>
      </w:pPr>
      <w:r>
        <w:rPr>
          <w:rFonts w:ascii="Courier New" w:cs="Courier New" w:eastAsia="Courier New" w:hAnsi="Courier New"/>
          <w:sz w:val="15"/>
          <w:szCs w:val="15"/>
          <w:color w:val="auto"/>
        </w:rPr>
        <w:t>AND RESULTS OF OPERATIONS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FORWARD-LOOKING INFORMATION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or otherwise, in the future by or on behalf of the company.</w:t>
      </w:r>
    </w:p>
    <w:p>
      <w:pPr>
        <w:spacing w:after="0" w:line="176"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Statements that are not historical are forward looking. When used by or on behalf of the company, the words "expect", "anticipate", "believe", "intend", and similar expressions generally identify forward-looking statements.</w:t>
      </w:r>
    </w:p>
    <w:p>
      <w:pPr>
        <w:spacing w:after="0" w:line="163"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continued political and economic uncertainty throughout the world; inflationary pressures; whether the profit improvement plan will continue to be successful; increased competition in the company's businesses from competitors that have greater financial resources; soft markets in certain international markets, including Asia, Latin America, and Europe; the continuing strong dollar which increases the cost of the company's products in foreign markets, including Europe, resulting in cancellation of planned projects and limiting the company's ability to increase prices; competitive implications and price transparencies related to the euro conversion; changing buying patterns affecting the company's consumer business, including but not limited to a trend away from purchases at dealer outlets to price and value conscious purchases at hardware, home center, and mass retailers; changes in distributor ownership; the company's expansion into selected home center markets; the company's ability to integrate business acquisitions and to manage alliances successfully; successful implementation of strategies to use outside providers for warehousing and transportation services; the company's ability to develop and manufacture new and existing products profitably; market acceptance of existing and new products; changes in distributors, dealers, home center, or mass retailers' purchasing practices; the company's ability to manage costs at its manufacturing facilities; the company's ability to obtain resources, including engines, from its suppliers on a timely basis in order to meet consumer demands; the company's ability to maintain good relations with its union employees; and the ability to retain and hire quality employees.</w:t>
      </w:r>
    </w:p>
    <w:p>
      <w:pPr>
        <w:spacing w:after="0" w:line="348"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slower growth in the company's markets; financial market changes including increases in interest rates and fluctuations in foreign exchange rates; unanticipated problems or costs associated with the transition of European currencies to the common euro currency; a slowing in housing starts or new golf course starts; inability to raise prices of products due to market conditions; threatened or real inflationary pressures; changes in market demographics; actions of competitors; unanticipated problems or costs associated with accommodation of the year 2000 in computer applications or products; the inability of the company's suppliers, customers, creditors, government agencies, public utility providers, and financial service organizations to implement computer applications accommodating the year 2000; seasonal factors in the company's industry; unforeseen litigation; government action, including budget levels, regulation, and legislation, primarily legislation relating to the environment, commerce, infrastructure spending, health, and safety; and availability of raw materials.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4840"/>
        <w:spacing w:after="0" w:line="257" w:lineRule="auto"/>
        <w:rPr>
          <w:sz w:val="20"/>
          <w:szCs w:val="20"/>
          <w:color w:val="auto"/>
        </w:rPr>
      </w:pPr>
      <w:r>
        <w:rPr>
          <w:rFonts w:ascii="Courier New" w:cs="Courier New" w:eastAsia="Courier New" w:hAnsi="Courier New"/>
          <w:sz w:val="14"/>
          <w:szCs w:val="14"/>
          <w:color w:val="auto"/>
        </w:rPr>
        <w:t>Second quarter net sales were $433.1 million compared to $379.7 million for the second quarter of fiscal 1998, an increase of 14.1 percent. Net earnings were $24.1 million compared to $20.1 million for the same quarter in the previous year, and diluted earnings per share for the quarter were $1.83 compared to $1.53 for the last comparable quarter. Sales were strong for consumer products due to a positive reaction to the introduction of the new Toro Personal Pace-Registered Tradmark- walk power mower and initial distribution of Toro-Registered Tradmark- brand lawn mowers through certain home centers. Sales to professional markets also did well due to the continued North American and European growth of the golf business, strong demand in the landscape contractor market, and a positive reaction to new commercial product introductions. International sales were up due to good sales to the European and Canadian markets for golf equipment and irrigation products, offset somewhat by soft irrigation sales in Australia. The company is currently in the process of reevaluating its business structure in Australia. The increase in net earnings and dilutive earnings per share was due mainly to the significant increase in sales and controlling expenses.</w:t>
      </w:r>
    </w:p>
    <w:p>
      <w:pPr>
        <w:spacing w:after="0" w:line="164" w:lineRule="exact"/>
        <w:rPr>
          <w:sz w:val="20"/>
          <w:szCs w:val="20"/>
          <w:color w:val="auto"/>
        </w:rPr>
      </w:pPr>
    </w:p>
    <w:p>
      <w:pPr>
        <w:ind w:right="4740"/>
        <w:spacing w:after="0" w:line="238" w:lineRule="auto"/>
        <w:rPr>
          <w:sz w:val="20"/>
          <w:szCs w:val="20"/>
          <w:color w:val="auto"/>
        </w:rPr>
      </w:pPr>
      <w:r>
        <w:rPr>
          <w:rFonts w:ascii="Courier New" w:cs="Courier New" w:eastAsia="Courier New" w:hAnsi="Courier New"/>
          <w:sz w:val="15"/>
          <w:szCs w:val="15"/>
          <w:color w:val="auto"/>
        </w:rPr>
        <w:t>Year-to-date net sales were $683.9 million compared to $589.7 million last year, an increase of 16.0 percent. Net earnings were $24.9 million compared to $19.0 million last year, an increase of 31.0 percent, and dilutive earnings per share for the year were $1.88 compared to $1.45 last year. Sales were strong for consumer products due to a positive reaction to the introduction of new products, distribution of Toro-Registered Tradmark- brand lawn mowers through home centers, and timing of snowthrower shipments. Sales to the professional markets also did well due to the continued worldwide growth of the golf business, strong demand in the landscape contractor market, and the addition of Drip In products beginning in the second quarter of fiscal 1998. International sales also increased over the prior year due to the reasons noted above for the quarter plus the addition of Drip In in the agricultural irrigation market. The increase in net earnings and dilutive earnings per share was due mainly to the significant increase in net sales as described and controlling expenses.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net sales by product line.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13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8100" w:type="dxa"/>
            <w:vAlign w:val="bottom"/>
            <w:gridSpan w:val="7"/>
          </w:tcPr>
          <w:p>
            <w:pPr>
              <w:ind w:left="18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April 30,</w:t>
            </w:r>
          </w:p>
        </w:tc>
        <w:tc>
          <w:tcPr>
            <w:tcW w:w="5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May 1,</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 Change</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Change</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Consumer products...........................................</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164,432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143,071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21,361</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Commercial products.........................................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185,862</w:t>
            </w:r>
          </w:p>
        </w:tc>
        <w:tc>
          <w:tcPr>
            <w:tcW w:w="5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158,424</w:t>
            </w:r>
          </w:p>
        </w:tc>
        <w:tc>
          <w:tcPr>
            <w:tcW w:w="4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27,438</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17.3</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Irrigation products.........................................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82,814</w:t>
            </w:r>
          </w:p>
        </w:tc>
        <w:tc>
          <w:tcPr>
            <w:tcW w:w="5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78,191</w:t>
            </w:r>
          </w:p>
        </w:tc>
        <w:tc>
          <w:tcPr>
            <w:tcW w:w="4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4,623</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3"/>
                <w:szCs w:val="13"/>
                <w:color w:val="auto"/>
                <w:w w:val="70"/>
              </w:rPr>
              <w:t>Total *.................................................</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433,108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379,686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53,422</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 Includes international sales of...........................</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85,416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6,211</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7.8%</w:t>
            </w:r>
          </w:p>
        </w:tc>
      </w:tr>
      <w:tr>
        <w:trPr>
          <w:trHeight w:val="509"/>
        </w:trPr>
        <w:tc>
          <w:tcPr>
            <w:tcW w:w="3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Six Months Ended</w:t>
            </w:r>
          </w:p>
        </w:tc>
        <w:tc>
          <w:tcPr>
            <w:tcW w:w="130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8100" w:type="dxa"/>
            <w:vAlign w:val="bottom"/>
            <w:gridSpan w:val="7"/>
          </w:tcPr>
          <w:p>
            <w:pPr>
              <w:ind w:left="18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1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April 30,</w:t>
            </w:r>
          </w:p>
        </w:tc>
        <w:tc>
          <w:tcPr>
            <w:tcW w:w="5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May 1,</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 Change</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Change</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Consumer products...........................................</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257,725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208,317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49,408</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23.7%</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Commercial products.........................................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294,169</w:t>
            </w:r>
          </w:p>
        </w:tc>
        <w:tc>
          <w:tcPr>
            <w:tcW w:w="5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256,591</w:t>
            </w:r>
          </w:p>
        </w:tc>
        <w:tc>
          <w:tcPr>
            <w:tcW w:w="4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37,578</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Irrigation products.........................................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131,975</w:t>
            </w:r>
          </w:p>
        </w:tc>
        <w:tc>
          <w:tcPr>
            <w:tcW w:w="5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124,837</w:t>
            </w:r>
          </w:p>
        </w:tc>
        <w:tc>
          <w:tcPr>
            <w:tcW w:w="4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7,138</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5.7</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3"/>
                <w:szCs w:val="13"/>
                <w:color w:val="auto"/>
                <w:w w:val="70"/>
              </w:rPr>
              <w:t>Total *.................................................</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683,869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589,745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94,124</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 Includes international sales of...........................</w:t>
            </w:r>
          </w:p>
        </w:tc>
        <w:tc>
          <w:tcPr>
            <w:tcW w:w="212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143,886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134,377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9,509</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7.1%</w:t>
            </w:r>
          </w:p>
        </w:tc>
      </w:tr>
      <w:tr>
        <w:trPr>
          <w:trHeight w:val="509"/>
        </w:trPr>
        <w:tc>
          <w:tcPr>
            <w:tcW w:w="34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520"/>
          </w:cols>
          <w:pgMar w:left="240" w:top="622"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CONSUMER PRODUCT SALES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Second quarter net sales of worldwide consumer products were $164.4 million compared to $143.1 million in the second quarter of fiscal 1998, an increase of 14.9 percent. Sales of Toro-Registered Tradmark- brand walk power mowers were up significantly from last comparable quarter due to the positive reception of the new Toro Personal Pace-Registered Tradmark- lawn mower and the addition of sales through 1,500 home center outlets, a new distribution channel for the Toro-Registered Tradmark- brand walk power mowers. Offsetting this increase were lower sales for Lawn-Boy-Registered Tradmark- walk power mowers because shipments in the second quarter of fiscal 1998 were heavier than normal due to late production in fiscal 1998. Shipments of riding products increased for the quarter due to new marketing programs for garden tractors and a shift of shipping patterns that more closely reflects retail demand. Do-it-yourself irrigation product sales were also up from the last comparable quarter due to dry weather in key Sun Belt markets, better availability of product, and more shelf space at select home centers. International sales were down compared to the second quarter of fiscal 1998 because of a decline in Australian irrigation sales due to wet weather.</w:t>
      </w:r>
    </w:p>
    <w:p>
      <w:pPr>
        <w:spacing w:after="0" w:line="16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Year-to-date net sales of worldwide consumer products were $257.7 million compared to $208.3 million last year, an increase of 23.7 percent. Sales to home centers, a new distribution channel for the Toro-Registered Tradmark-brand walk power mowers, contributed to the sales increase, as did strong sales to Toro's traditional dealers. Shipments for riding products, primarily lawn tractors, increased slightly for the period due to a shift of shipping patterns that more closely reflects retail demand. Year-to-date sales of snowthrowers were also higher than last year due to the timing of shipments from the fourth quarter of fiscal 1998 to the first quarter of fiscal 1999. Do-it-yourself irrigation product sales were also up due to dry weather in key Sun Belt markets, better availability of product, and more shelf space at select home centers. Sales of electric appliance products, including trimmers and blower vacuums, also did well for the year due to the warm fall weather that extended the selling season into the first quarter of fiscal 1999 as well as sales to new mass retail outlets for electric trimmers and blowers. Offsetting these positive factors were lower international sales as noted above in the quarter comparison.</w:t>
      </w:r>
    </w:p>
    <w:p>
      <w:pPr>
        <w:spacing w:after="0" w:line="18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Field inventory levels were down for domestic consumer products at Toro's distributors and dealers. This reduction was a result of heavy snowfall in certain key markets during the winter of 1998-1999 and Toro's special one-time marketing programs introduced in the fall of 1998 designed to reduce field inventory levels for riding and walk power mower products. Management believes that the reduction of snowthrower domestic field inventories positions Toro for higher snowthrower sales in the fourth quarter of fiscal 1999 and the first quarter of fiscal 2000 as compared to the fourth quarter of fiscal 1998 and the first quarter of 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PRODUCT SALES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Second quarter net sales of worldwide commercial products were $185.9 million compared to $158.4 million in the second quarter of fiscal 1998, an increase of 17.3 percent. The sales increase was largely a result of growth in the landscape contractor market as well as acceptance of new products introduced last year. Sales for the Toro-Registered Tradmark- Sitework-TM- Systems were up significantly from the second quarter of fiscal 1998 due to the greater market acceptance of this product. Worldwide sales of golf course equipment did well for both new and replacement equipment. Commercial product sales also did well for the quarter due to the introduction of new products. In addition, international commercial sales were up for the quarter due to strong demand for golf equipment in Europe and Canada as well as market acceptance of new products. Offsetting these increases were weak international sales for landscape contractor products.</w:t>
      </w:r>
    </w:p>
    <w:p>
      <w:pPr>
        <w:spacing w:after="0" w:line="18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Year-to-date net sales of worldwide commercial products were $294.2 million compared to $256.6 million last year, an increase of 14.6 percent. The six-month increase in sales reflects the same factors contributing to the second quarter increase. In addition, retail sales have also been strong for the year for commercial and landscape contractor products.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IRRIGATION PRODUCT SALES</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Second quarter net sales of worldwide irrigation products were $82.8 million compared to $78.2 million in the second quarter of fiscal 1998, an increase of 5.9 percent. Worldwide golf revenues and Irritrol-Registered Tradmark-Systems sales contributed most of this increase. Irritrol-Registered Tradmark- Systems sales were significantly above the last comparable quarter for fiscal 1998 due to better, drier weather this year. Toro residential/commercial irrigation sales were slightly below fiscal 1998 levels due to product availability caused by delays in manufacturing. International sales were up from the same quarter in fiscal 1998 due to strong golf irrigation sales and strong sales of Irritrol-Registered Tradmark- residential/commercial product.</w:t>
      </w:r>
    </w:p>
    <w:p>
      <w:pPr>
        <w:spacing w:after="0" w:line="181"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Year-to-date net sales of worldwide irrigation products were $132.0 million compared to $124.8 million last year, an increase of 5.7 percent. As mentioned above in the quarter comparison, strong golf irrigation revenues and Irritrol-Registered Tradmark- residential/commercial product sales contributed to the increase as did the addition of sales from Drip In, which was acquired in the second quarter of fiscal 1998. Offsetting those increases were lower sales for Toro residential/commercial irrigation products due to the same reasons as noted above.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Second quarter gross profit was $152.9 million compared to $132.9 million last year, an increase of 15.0 percent. As a percent of net sales, gross profit for the second quarter was 35.3 percent compared to 35.0 percent last year. The increase in gross profit resulted primarily from higher margins for the consumer product line due to price increases for certain products and improved manufacturing efficiencies due to plant closures. This increase was partially offset by the gross margin reversal resulting from the purchase of Toro's Minnesota based distributor.</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Year-to-date gross profit was $240.8 million compared to $206.0 million last year, an increase of 16.9 percent. As a percent of net sales, year-to-date gross profit was 35.2 percent compared to 34.9 percent last year. The increase in gross margins was due to the same contributing factors as in the quarter comparison.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Second quarter selling, general, and administrative expenses (SG&amp;A) were $106.8 million compared to $95.0 million last year, an increase of 12.4 percent. However, as a percent of net sales, SG&amp;A decreased slightly to 24.7 percent from 25.0 percent for the same quarter in fiscal 1998. The dollar increase is mainly due to increases for direct marketing expenses, warehousing costs, and warranty expenses due to higher sales levels. Incentive compensation expenses were also higher due to improved financial performance of the company in the second quarter of fiscal 1999.</w:t>
      </w:r>
    </w:p>
    <w:p>
      <w:pPr>
        <w:spacing w:after="0" w:line="178"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Year-to-date SG&amp;A expenses were $189.1 million compared to $166.9 million last year, an increase of 13.3 percent. However, as a percent of net sales, SG&amp;A decreased slightly to 27.7 percent from 28.3 percent last year. The dollar increase is mainly due to increases for direct marketing expenses, warehousing costs, and warranty expenses due to higher sales levels. Incentive compensation expenses were also higher due to improved financial performance of the company. Information systems costs were higher due to the continued implementation of an enterprise-wide software system.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Second quarter interest expense was $6.7 million compared to $6.9 million last year, a slight decrease of $.2 million.</w:t>
      </w:r>
    </w:p>
    <w:p>
      <w:pPr>
        <w:spacing w:after="0" w:line="176"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Year-to-date interest expense was $11.7 million compared to $12.7 million last year, a decrease of $1.0 million. This decline is due to lower borrowing levels compared to last year as a result of improved asset management, primarily inventory and accounts receivable.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OTHER INCOME, NET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Second quarter other income, net, was $.1 million compared to $2.1 million last year, a decrease of $2.0 million. The decrease was due to higher amounts of currency losses in fiscal 1999, and recoveries of previously written off notes receivables in the second quarter of fiscal 1998.</w:t>
      </w:r>
    </w:p>
    <w:p>
      <w:pPr>
        <w:spacing w:after="0" w:line="176"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Year-to-date other income, net, was $.9 million compared to $5.0 million last year, a decrease of $4.1 million. In addition to the reasons mentioned in the quarter comparison, the decrease was due to a favorable settlement of a trade secret lawsuit in fiscal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effective tax rate for the quarter was 38.9 percent and the year-to-date was 39.0 percent compared to 39.5 percent last quarter and year. The decline in the tax rate is due to an increase in benefits received from the company's foreign sales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OF APRIL 30, 1999</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APRIL 30, 1999 COMPARED TO MAY 1, 1998</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Total assets at April 30, 1999 were $931.2 million compared to $952.2 million on May 1, 1998, a decrease of $21.0 million. Net accounts receivable decreased slightly by $1.0 million. However, net receivables increased for most product lines due to increased sales volumes, which was offset by the collection of a receivable from James Hardie Irrigation Limited (Hardie) in May 1998. Inventory decreased $26.7 million due to the closing of two manufacturing facilities that reduced work-in-process inventory and lower levels of consumer inventory due to strong sales for the year and improved efforts at inventory management. Net property, plant, and equipment declined $8.7 million due to higher amounts of depreciation expense in comparison to capital additions. Goodwill and other assets increased $16.3 million mainly as a result of a contingent payment made in the first quarter of fiscal 1999, in connection with the company's acquisition of Exmark in fiscal 1998.</w:t>
      </w:r>
    </w:p>
    <w:p>
      <w:pPr>
        <w:spacing w:after="0" w:line="18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Total current liabilities at April 30, 1999 were $440.4 million compared to $463.7 million on May 1, 1998, a decrease of $23.3 million. Short-term debt decreased by $52.7 million as a result of better asset management. Accounts payable decreased by $11.4 million due to timing of inventory purchases and payments. Offsetting those decreases was an increase in accrued liabilities of $42.1 million as a result of higher warranty and marketing accruals due to higher sales levels.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APRIL 30, 1999 COMPARED TO OCTOBER 31, 1998</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Total assets at April 30, 1999 were $931.2 million compared to $724.0 million at October 31, 1998, an increase of $207.2 million. Net accounts receivable increased $198.0 million from October 31, 1998 due to the seasonal increase in accounts receivable, which historically occurs between January and April. Goodwill and other assets increased $15.9 million mainly as a result of the Exmark contingent payment.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April 30, 1999 were $440.4 million compared to</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$258.2 million at October 31, 1998, an increase of $182.2 million. The majority of this increase was the result of additional short-term debt of $152.9 million, reflecting the company's strategy of utilizing short-term borrowing to fund the company's seasonal working capital needs. These requirements are historically greatest in the winter and spring months. Accounts payable increased $7.3 million due to the timing of inventory purchases and payments. Accrued liabilities increased $36.6 million as a result of higher warranty accruals and accruals for various seasonal sales and marketing programs, which are at their peak during the spring selling season.</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Cash used in operating activities for the first six months of fiscal 1999 was primarily for the seasonal increase in accounts receivable, partially offset by increases in accrued liabilities and net earnings. On December 30, 1998, the company entered into an agreement for an additional credit line with its domestic banks, which increased its committed bank credit line to $260 million from $160 million and eliminated its $70 million uncommitted bank credit line.</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domestic and international working capital needs are funded with approximately $290 million of committed unsecured bank credit lines. The company also has banker's acceptance financing agreements under which an additional $40 million is available. The company's business is seasonal, with peak borrowing under the working capital lines described above generally occurring between February and May each year.</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arrangements, coupled with forecasted cash flows, will provide the necessary capital resources for its anticipated working capital, capital additions, acquisitions, and stock repurchases.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During the second quarter of fiscal 1999, Toro continued its company-wide program to prepare the company's computer systems for year 2000 compliance. The year 2000 issue relates to computer systems that use the last two digits rather than all four to define a year and whether such systems will properly and accurately process information when the year changes to 2000. Incomplete or untimely resolution of year 2000 issues by the company, by its important suppliers and customers, by public utility providers, or by governmental entities could have a material adverse impact on the company's business, operations, or financial condition.</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STATE OF READINESS - The company is nearing completion of its project to replace core-business information systems with an Enterprise Resource Planning (ERP) software package provided by a vendor that has certified it is year 2000 compliant. The final stage of the conversion to the ERP package is expected to be in place by the fourth quarter of fiscal 1999 (before October 31, 1999). The package includes software to support the company's facilities and business units with the exception of five domestic subsidiaries and business units and the company's European subsidiaries, which are believed to be year 2000 compliant. The company is in the process of testing these non-ERP systems and updating any non-compliant systems.</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Toro has assessed its products and believes them to be year 2000 compliant with the exception of six irrigation control systems. Testing of these systems has been completed and software remediations are expected to be available by the end of June 1999.</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Toro's year 2000 issues list has over three hundred software and hardware items, the majority of which are single-user, departmental or plant systems. The company is in the testing phase for the following business-critical systems: ERP, payroll, product data management, all non-ERP core-business information systems, and associated infrastructure and support technologies. After delays experienced in the first quarter of fiscal 1999, the company has received vendor claimed compliant versions of their products. The company has also increased its resources for internal programming, and is currently back on schedule in the testing phase, which is expected to be completed by mid-1999. The current plan is to complete the de-installation from the non-compliant year 2000 mainframe computer by the fourth quarter of fiscal 1999.</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YEAR 2000 COMPLIANCE (CONTINUED)</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Communications have been sent to all of Toro's customers informing them of the company's efforts and asking them to ensure that their business operations will not be adversely impacted by year 2000 issues. Surveys have also been sent to all of the company's production suppliers requesting information on their year 2000 efforts. Based on the surveys returned, the company's customers and key suppliers are either year 2000 compliant or are working on the issue with plans to be year 2000 compliant before the turn of the century.</w:t>
      </w:r>
    </w:p>
    <w:p>
      <w:pPr>
        <w:spacing w:after="0" w:line="16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COSTS - Year 2000 costs through April 30, 1999 were approximately $2.0 million and have been expensed as incurred. These costs include contractor support and ERP implementation for the company's recently acquired businesses. Costs remaining that have been identified are estimated to be less than $1.5 million, which include expenses for contractor support, telephone system upgrades, software modifications for irrigation systems, and business unit system upgrades. The estimated cost of year 2000 adaptation is less than 15 percent of the company's information systems budget. No significant information systems project has been deferred to accommodate the year 2000 issues.</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RISKS - The company is continuing to test its core-business operating and financial systems and remains uncertain of the risks the year 2000 will have on its business operations. In addition, the company remains uncertain about whether the company's business partners, including dealers, distributors, home centers, mass retailers, banks, and suppliers will be year 2000 compliant. The company is particularly concerned about international customers and suppliers due to their late testing target dates. The scope of Toro's year 2000 project does not include ensuring public utility and governmental agency's readiness for the year 2000. Toro has little to no control over these institutions, thereby introducing some level of risk in the company's ability to continue normal operations at and for the weeks immediately after the turn of the century.</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Testing is under way to validate assumptions, which is planned to be completed by the third quarter of fiscal 1999. The company believes this timetable should allow enough time to fix or replace any internal business-critical problems discovered during the testing phase.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most reasonably likely worst-case scenarios revolve around failures experienced by entities outside the control of the company such as local electric utilities, telecommunication vendors, customers, suppliers, and governmental services. The effects of these scenarios vary with the severity and duration of any failure.</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CONTINGENCY PLANS - The company's contingency plans will continue to evolve as the testing phase of the business-critical systems and technologies is completed. The company is in the stage of defining a Business Resumption Plan, which will include documented manual processes for critical business functions that could be invoked for any type of business interruption, including any year 2000 issues. The current timetable is to have a draft of procedures completed by the third quarter of fiscal 1999 for most corporate critical business functions.</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is also planning on performing complete, system-wide backups on December 30 and 31, 1999 and is also discussing the possibility of shutting down all systems so they are not actually running at the turn of the century. Key information system personnel will also be on-site and on-call for the month of January 2000 to deal with any problems that may occur.</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With respect to non-compliant irrigation systems that have been identified, the company is developing software modifications to correct the year 2000 problem, which are expected to be available to customers by the end of June 1999. In most cases, the company believes that simple software modifications should make the units year 2000 compliant. In some cases, the company is recommending that customers replace their older non-compliant systems with newer, functionally enhanced compliant systems.</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EURO CURRENCY</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Beginning in January 1999, the European Monetary Union (EMU) entered into a three-year transition phase during which a common currency called the euro will be introduced in participating countries. Initially, this new currency will be used for financial transactions, and progressively, it will replace the old national currencies that will be withdrawn by July 2002. The transition to the euro currency will involve changing budgetary, accounting, contracts, and fiscal systems in companies and public administrations, as well as simultaneous handling of parallel currencies and conversion of legacy data. Uncertainty exists as to the effects the conversion to euro currency will have on the marketplace. One of the primary unknowns for the company is the potential equalization of prices to customers among countries and the resulting competitive impact on Toro distributor sales and Toro direct sales, and financial support given to distributors in those countries. The euro will make price differences on goods in the various countries transparent to the customer and make comparisons much easier. The company recently formed a group to review this issue and develop a strategy by late-1999. The company does not have sufficient experience with the new currency to predict whether price transparency will affect its operations, cash flows, or financial condition in future periods.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continued its program to evaluate whether the company's computer systems and programs will experience operational problems when the euro is fully implemented. The company's European subsidiaries' financial systems have completed initial testing and no problems were discovered in their ability to function using the euro. These subsidiaries began disclosing the euro value on each customer's invoice in January 1999. The company plans to continue testing its computer systems in fiscal 1999 for additional euro functionality. The company believes the risk to be minimal, as billing and banking functions are already being performed in multiple currencies within these entities.</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Based on its evaluation to date, management currently believes that, while the company will incur internal and external costs to adjust to the euro, such costs are not expected to have a material impact on operations, cash flows, or the financial condition of the company and its subsidiaries, taken as a whole, in future periods.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forward exchange contracts held by the company have maturity dates in fiscal year 1999. All items are non-trading and stated in U.S. dollars. The average contracted rate, notional amount, and fair value impact at April 30, 1999 were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CONTRACTED</w:t>
            </w:r>
          </w:p>
        </w:tc>
        <w:tc>
          <w:tcPr>
            <w:tcW w:w="30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NOTIONAL</w:t>
            </w:r>
          </w:p>
        </w:tc>
        <w:tc>
          <w:tcPr>
            <w:tcW w:w="2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IMPACT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(EXCEPT AVERAGE CONTRACTED RATE)</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RATE</w:t>
            </w:r>
          </w:p>
        </w:tc>
        <w:tc>
          <w:tcPr>
            <w:tcW w:w="300" w:type="dxa"/>
            <w:vAlign w:val="bottom"/>
          </w:tcPr>
          <w:p>
            <w:pPr>
              <w:spacing w:after="0"/>
              <w:rPr>
                <w:sz w:val="14"/>
                <w:szCs w:val="14"/>
                <w:color w:val="auto"/>
              </w:rPr>
            </w:pP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GAIN (LOSS)</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Australian dollar/Sell US dollar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.6422</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US dollar/Sell Australian dollar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.6092</w:t>
            </w:r>
          </w:p>
        </w:tc>
        <w:tc>
          <w:tcPr>
            <w:tcW w:w="30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4,906.1</w:t>
            </w:r>
          </w:p>
        </w:tc>
        <w:tc>
          <w:tcPr>
            <w:tcW w:w="26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Belgium franc/Sell US dollar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38.0030</w:t>
            </w:r>
          </w:p>
        </w:tc>
        <w:tc>
          <w:tcPr>
            <w:tcW w:w="30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1,846.7</w:t>
            </w:r>
          </w:p>
        </w:tc>
        <w:tc>
          <w:tcPr>
            <w:tcW w:w="26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US dollar/Sell Canadian dollar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1.5121</w:t>
            </w:r>
          </w:p>
        </w:tc>
        <w:tc>
          <w:tcPr>
            <w:tcW w:w="30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4,530.1</w:t>
            </w:r>
          </w:p>
        </w:tc>
        <w:tc>
          <w:tcPr>
            <w:tcW w:w="26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German mark/Sell US dollar</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1.7773</w:t>
            </w:r>
          </w:p>
        </w:tc>
        <w:tc>
          <w:tcPr>
            <w:tcW w:w="30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1,941.1</w:t>
            </w:r>
          </w:p>
        </w:tc>
        <w:tc>
          <w:tcPr>
            <w:tcW w:w="26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Buy US dollar/Sell German mark</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1.7424</w:t>
            </w:r>
          </w:p>
        </w:tc>
        <w:tc>
          <w:tcPr>
            <w:tcW w:w="30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1,262.6</w:t>
            </w:r>
          </w:p>
        </w:tc>
        <w:tc>
          <w:tcPr>
            <w:tcW w:w="26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FINANCING</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is exposed to interest rate risk arising from transactions that are entered into during the normal course of business. The company's short-term debt borrowing rates are dependent upon the LIBOR rate plus an additional percentage based on the company's current borrowing level. See the company's Annual Report filed on Form 10-K for the fiscal year ended October 31, 1998 (Item 7A) for additional information. There has been no material change in the information contained in that report.</w:t>
      </w:r>
    </w:p>
    <w:p>
      <w:pPr>
        <w:spacing w:after="0" w:line="17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16" w:name="page17"/>
    <w:bookmarkEnd w:id="16"/>
    <w:p>
      <w:pPr>
        <w:ind w:left="2390"/>
        <w:spacing w:after="0"/>
        <w:rPr>
          <w:sz w:val="20"/>
          <w:szCs w:val="20"/>
          <w:color w:val="auto"/>
        </w:rPr>
      </w:pPr>
      <w:r>
        <w:rPr>
          <w:rFonts w:ascii="Courier New" w:cs="Courier New" w:eastAsia="Courier New" w:hAnsi="Courier New"/>
          <w:sz w:val="15"/>
          <w:szCs w:val="15"/>
          <w:color w:val="auto"/>
        </w:rPr>
        <w:t>PART II. OTHER INFORMATION</w:t>
      </w:r>
    </w:p>
    <w:p>
      <w:pPr>
        <w:spacing w:after="0" w:line="33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was held on March 24, 1999.</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the stockholder votes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10"/>
        <w:spacing w:after="0"/>
        <w:rPr>
          <w:sz w:val="20"/>
          <w:szCs w:val="20"/>
          <w:color w:val="auto"/>
        </w:rPr>
      </w:pPr>
      <w:r>
        <w:rPr>
          <w:rFonts w:ascii="Courier New" w:cs="Courier New" w:eastAsia="Courier New" w:hAnsi="Courier New"/>
          <w:sz w:val="15"/>
          <w:szCs w:val="15"/>
          <w:color w:val="auto"/>
        </w:rPr>
        <w:t>For</w:t>
      </w:r>
    </w:p>
    <w:p>
      <w:pPr>
        <w:ind w:left="6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230" w:hanging="348"/>
        <w:spacing w:after="0"/>
        <w:tabs>
          <w:tab w:leader="none" w:pos="12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tbl>
      <w:tblPr>
        <w:tblLayout w:type="fixed"/>
        <w:tblInd w:w="133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Ronald O. Baukol</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10,575,465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Alex A. Meyer</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10,540,258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Dale R. Olseth</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10,550,709</w:t>
            </w:r>
          </w:p>
        </w:tc>
      </w:tr>
    </w:tbl>
    <w:p>
      <w:pPr>
        <w:ind w:left="1230" w:hanging="348"/>
        <w:spacing w:after="0"/>
        <w:tabs>
          <w:tab w:leader="none" w:pos="12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Amendment of Annual</w:t>
      </w:r>
    </w:p>
    <w:tbl>
      <w:tblPr>
        <w:tblLayout w:type="fixed"/>
        <w:tblInd w:w="1230" w:type="dxa"/>
        <w:tblCellMar>
          <w:top w:w="0" w:type="dxa"/>
          <w:left w:w="0" w:type="dxa"/>
          <w:bottom w:w="0" w:type="dxa"/>
          <w:right w:w="0" w:type="dxa"/>
        </w:tblCellMar>
      </w:tblPr>
      <w:tr>
        <w:trPr>
          <w:trHeight w:val="169"/>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Management Incentive Plan II.</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9,486,417</w:t>
            </w:r>
          </w:p>
        </w:tc>
      </w:tr>
    </w:tbl>
    <w:p>
      <w:pPr>
        <w:ind w:left="1230" w:hanging="348"/>
        <w:spacing w:after="0"/>
        <w:tabs>
          <w:tab w:leader="none" w:pos="12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Adoption of The Toro Company</w:t>
      </w:r>
    </w:p>
    <w:tbl>
      <w:tblPr>
        <w:tblLayout w:type="fixed"/>
        <w:tblInd w:w="1230" w:type="dxa"/>
        <w:tblCellMar>
          <w:top w:w="0" w:type="dxa"/>
          <w:left w:w="0" w:type="dxa"/>
          <w:bottom w:w="0" w:type="dxa"/>
          <w:right w:w="0" w:type="dxa"/>
        </w:tblCellMar>
      </w:tblPr>
      <w:tr>
        <w:trPr>
          <w:trHeight w:val="169"/>
        </w:trPr>
        <w:tc>
          <w:tcPr>
            <w:tcW w:w="3580" w:type="dxa"/>
            <w:vAlign w:val="bottom"/>
          </w:tcPr>
          <w:p>
            <w:pPr>
              <w:spacing w:after="0"/>
              <w:rPr>
                <w:sz w:val="20"/>
                <w:szCs w:val="20"/>
                <w:color w:val="auto"/>
              </w:rPr>
            </w:pPr>
            <w:r>
              <w:rPr>
                <w:rFonts w:ascii="Courier New" w:cs="Courier New" w:eastAsia="Courier New" w:hAnsi="Courier New"/>
                <w:sz w:val="15"/>
                <w:szCs w:val="15"/>
                <w:color w:val="auto"/>
              </w:rPr>
              <w:t>Performance Share Plan.</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9,813,559</w:t>
            </w:r>
          </w:p>
        </w:tc>
      </w:tr>
    </w:tbl>
    <w:p>
      <w:pPr>
        <w:ind w:left="1230" w:hanging="348"/>
        <w:spacing w:after="0"/>
        <w:tabs>
          <w:tab w:leader="none" w:pos="12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Selection of</w:t>
      </w:r>
    </w:p>
    <w:tbl>
      <w:tblPr>
        <w:tblLayout w:type="fixed"/>
        <w:tblInd w:w="1230" w:type="dxa"/>
        <w:tblCellMar>
          <w:top w:w="0" w:type="dxa"/>
          <w:left w:w="0" w:type="dxa"/>
          <w:bottom w:w="0" w:type="dxa"/>
          <w:right w:w="0" w:type="dxa"/>
        </w:tblCellMar>
      </w:tblPr>
      <w:tr>
        <w:trPr>
          <w:trHeight w:val="169"/>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Independent Auditors.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10,580,442</w:t>
            </w:r>
          </w:p>
        </w:tc>
      </w:tr>
    </w:tbl>
    <w:p>
      <w:pPr>
        <w:spacing w:after="0" w:line="33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3(i)(a) and 4(a)</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Certificate of Incorporation of Registrant</w:t>
            </w:r>
          </w:p>
        </w:tc>
        <w:tc>
          <w:tcPr>
            <w:tcW w:w="10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(incorporated by reference to Exhibit 4.2 to</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Registrant's Registration Statement on Form S-3,</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Registration No. 33-16125).</w:t>
            </w:r>
          </w:p>
        </w:tc>
        <w:tc>
          <w:tcPr>
            <w:tcW w:w="1020" w:type="dxa"/>
            <w:vAlign w:val="bottom"/>
          </w:tcPr>
          <w:p>
            <w:pPr>
              <w:spacing w:after="0"/>
              <w:rPr>
                <w:sz w:val="14"/>
                <w:szCs w:val="1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3(i)(b) and 4(b)</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Certificate of Amendment to Certificate of</w:t>
            </w:r>
          </w:p>
        </w:tc>
        <w:tc>
          <w:tcPr>
            <w:tcW w:w="1020" w:type="dxa"/>
            <w:vAlign w:val="bottom"/>
          </w:tcPr>
          <w:p>
            <w:pPr>
              <w:spacing w:after="0"/>
              <w:rPr>
                <w:sz w:val="24"/>
                <w:szCs w:val="24"/>
                <w:color w:val="auto"/>
              </w:rPr>
            </w:pP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Incorporation of Registrant dated December</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9, 1986</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(incorporated by reference to Exhibit 3 to</w:t>
            </w:r>
          </w:p>
        </w:tc>
        <w:tc>
          <w:tcPr>
            <w:tcW w:w="10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Registrant's Quarterly Report on Form 10-Q</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for the</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quarter ended January 30, 1987, Commission</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File No.</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1-8649).</w:t>
            </w:r>
          </w:p>
        </w:tc>
        <w:tc>
          <w:tcPr>
            <w:tcW w:w="1020" w:type="dxa"/>
            <w:vAlign w:val="bottom"/>
          </w:tcPr>
          <w:p>
            <w:pPr>
              <w:spacing w:after="0"/>
              <w:rPr>
                <w:sz w:val="14"/>
                <w:szCs w:val="1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3(i)(c) and 4(c)</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Certificate of Designation to Certificate of</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Incorporation of Registrant dated May 28, 1998</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(incorporated by reference to Exhibit (1)(A) to</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Registrants' Current Report on Form 8-K dated May 27,</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spacing w:after="0"/>
              <w:rPr>
                <w:sz w:val="14"/>
                <w:szCs w:val="1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3(ii) and 4(d)</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Bylaws of Registrant, as amended.</w:t>
            </w:r>
          </w:p>
        </w:tc>
        <w:tc>
          <w:tcPr>
            <w:tcW w:w="1020" w:type="dxa"/>
            <w:vAlign w:val="bottom"/>
          </w:tcPr>
          <w:p>
            <w:pPr>
              <w:spacing w:after="0"/>
              <w:rPr>
                <w:sz w:val="24"/>
                <w:szCs w:val="2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Specimen form of Common Stock certificate</w:t>
            </w:r>
          </w:p>
        </w:tc>
        <w:tc>
          <w:tcPr>
            <w:tcW w:w="1020" w:type="dxa"/>
            <w:vAlign w:val="bottom"/>
          </w:tcPr>
          <w:p>
            <w:pPr>
              <w:spacing w:after="0"/>
              <w:rPr>
                <w:sz w:val="24"/>
                <w:szCs w:val="24"/>
                <w:color w:val="auto"/>
              </w:rPr>
            </w:pP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(incorporated by reference to Exhibit 4(c)</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Registrant's Registration Statement on Form S-8,</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Registration No. 2-94417).</w:t>
            </w:r>
          </w:p>
        </w:tc>
        <w:tc>
          <w:tcPr>
            <w:tcW w:w="1020" w:type="dxa"/>
            <w:vAlign w:val="bottom"/>
          </w:tcPr>
          <w:p>
            <w:pPr>
              <w:spacing w:after="0"/>
              <w:rPr>
                <w:sz w:val="14"/>
                <w:szCs w:val="1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Rights Agreement dated as of May 20, 1998,</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between</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Registrant and Norwest Bank Minnesota, National</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Association relating to rights to purchase</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Series B</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Junior Participating Voting Preferred Stock, as</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amended (incorporated by reference to Registrant's</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Current Report on Form 8-K dated May 27, 1998,</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Commission File No. 1-8649).</w:t>
            </w:r>
          </w:p>
        </w:tc>
        <w:tc>
          <w:tcPr>
            <w:tcW w:w="1020" w:type="dxa"/>
            <w:vAlign w:val="bottom"/>
          </w:tcPr>
          <w:p>
            <w:pPr>
              <w:spacing w:after="0"/>
              <w:rPr>
                <w:sz w:val="14"/>
                <w:szCs w:val="14"/>
                <w:color w:val="auto"/>
              </w:rPr>
            </w:pP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4(g)</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Indenture as dated as of January 31, 1997,</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between</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Registrant and First National Trust Association, as</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Trustee, relating to the Registrant's 7.125% Notes due</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June 15, 2007 and its 7.80% Debentures due</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June 15,</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2027 (incorporated by reference to Exhibit</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4(a) to</w:t>
            </w:r>
          </w:p>
        </w:tc>
      </w:tr>
      <w:tr>
        <w:trPr>
          <w:trHeight w:val="170"/>
        </w:trPr>
        <w:tc>
          <w:tcPr>
            <w:tcW w:w="162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Registrant's Current Report on Form 8-K for June 24,</w:t>
            </w:r>
          </w:p>
        </w:tc>
      </w:tr>
      <w:tr>
        <w:trPr>
          <w:trHeight w:val="170"/>
        </w:trPr>
        <w:tc>
          <w:tcPr>
            <w:tcW w:w="1620" w:type="dxa"/>
            <w:vAlign w:val="bottom"/>
          </w:tcPr>
          <w:p>
            <w:pPr>
              <w:spacing w:after="0"/>
              <w:rPr>
                <w:sz w:val="14"/>
                <w:szCs w:val="1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rPr>
              <w:t>1997, Commission File No. 1-8649).</w:t>
            </w:r>
          </w:p>
        </w:tc>
        <w:tc>
          <w:tcPr>
            <w:tcW w:w="1020" w:type="dxa"/>
            <w:vAlign w:val="bottom"/>
          </w:tcPr>
          <w:p>
            <w:pPr>
              <w:spacing w:after="0"/>
              <w:rPr>
                <w:sz w:val="14"/>
                <w:szCs w:val="14"/>
                <w:color w:val="auto"/>
              </w:rPr>
            </w:pPr>
          </w:p>
        </w:tc>
      </w:tr>
      <w:tr>
        <w:trPr>
          <w:trHeight w:val="509"/>
        </w:trPr>
        <w:tc>
          <w:tcPr>
            <w:tcW w:w="1620" w:type="dxa"/>
            <w:vAlign w:val="bottom"/>
          </w:tcPr>
          <w:p>
            <w:pPr>
              <w:spacing w:after="0"/>
              <w:rPr>
                <w:sz w:val="24"/>
                <w:szCs w:val="24"/>
                <w:color w:val="auto"/>
              </w:rPr>
            </w:pPr>
          </w:p>
        </w:tc>
        <w:tc>
          <w:tcPr>
            <w:tcW w:w="3960" w:type="dxa"/>
            <w:vAlign w:val="bottom"/>
          </w:tcPr>
          <w:p>
            <w:pPr>
              <w:ind w:left="1020"/>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Broker</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Against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Abstain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Non-Votes</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920" w:type="dxa"/>
            <w:vAlign w:val="bottom"/>
          </w:tcPr>
          <w:p>
            <w:pPr>
              <w:spacing w:after="0"/>
              <w:rPr>
                <w:sz w:val="20"/>
                <w:szCs w:val="20"/>
                <w:color w:val="auto"/>
              </w:rPr>
            </w:pPr>
            <w:r>
              <w:rPr>
                <w:rFonts w:ascii="Courier New" w:cs="Courier New" w:eastAsia="Courier New" w:hAnsi="Courier New"/>
                <w:sz w:val="15"/>
                <w:szCs w:val="15"/>
                <w:color w:val="auto"/>
              </w:rPr>
              <w:t>248,207</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283,414</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272,963</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990,625</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277,011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69,618</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789,688</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220,425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132,109</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111,120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2">
            <w:col w:w="7210" w:space="720"/>
            <w:col w:w="3440"/>
          </w:cols>
          <w:pgMar w:left="230" w:top="622" w:right="299" w:bottom="1440" w:gutter="0" w:footer="0" w:header="0"/>
        </w:sectPr>
      </w:pPr>
    </w:p>
    <w:bookmarkStart w:id="17" w:name="page18"/>
    <w:bookmarkEnd w:id="17"/>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(continued)</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Form of Employment Agreement in effect for certain</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officers of Registrant (incorporated by reference</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Exhibit 10(iii)(a) to Registrant's Quarterly Report</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on Form 10-Q for the quarter ended May 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Directors Stock Plan, as amended (incorporated by</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10(b) to Registrant's Annual</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9"/>
              </w:rPr>
              <w:t>Report on Form 10-K for the fiscal year ended October</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31,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Annual Management Incentive Plan II for officers of</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Registrant, as amended (incorporated by reference to</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Exhibits 10(c) to Registrant's Annual Report on Form</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10-K for the fiscal year ended October 31,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1985 Incentive Stock Option Plan (incorporated by</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10(b) to Registrant's Annual</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7"/>
              </w:rPr>
              <w:t>Report on Form 10-K for the fiscal year ended July 31,</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1993).*</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1989 Stock Option Plan, as amended (incorporated by</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10(e) to Registrant's Annual</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9"/>
              </w:rPr>
              <w:t>Report on Form 10-K for the fiscal year ended October</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31,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1993 Stock Option Plan, as amended (incorporated by</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10(f) to Registrant's Annual</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9"/>
              </w:rPr>
              <w:t>Report on Form 10-K for the fiscal year ended October</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31,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9"/>
              </w:rPr>
              <w:t>The Toro Company Performance Share Plan (incorporated</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by reference to Exhibit B to Registrant's Proxy</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Statement dated February 5, 1999).*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The Toro Company Supplemental Management Retirement</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Plan, as amended.*</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The Toro Company Supplement Retirement Plan.*</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7"/>
              </w:rPr>
              <w:t>Chief Executive Officer Succession Incentive Agreement</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dated as of July 31, 1995 (incorporated by reference</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7"/>
              </w:rPr>
              <w:t>to Exhibit 10(iii)(i) to Registrant's Quarterly Report</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on Form 10-Q for the quarter ended July 31, 1998).*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Officers (incorporated by reference to Exhibit 10(j)</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w w:val="99"/>
              </w:rPr>
              <w:t>to Registrant's Quarterly Report on Form 10-Q for the</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quarter ended January 29, 1999).*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Exhibits 10(k) to Registrant's Quarterly Report on</w:t>
            </w:r>
          </w:p>
        </w:tc>
      </w:tr>
      <w:tr>
        <w:trPr>
          <w:trHeight w:val="170"/>
        </w:trPr>
        <w:tc>
          <w:tcPr>
            <w:tcW w:w="1140" w:type="dxa"/>
            <w:vAlign w:val="bottom"/>
          </w:tcPr>
          <w:p>
            <w:pPr>
              <w:spacing w:after="0"/>
              <w:rPr>
                <w:sz w:val="14"/>
                <w:szCs w:val="14"/>
                <w:color w:val="auto"/>
              </w:rPr>
            </w:pP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Form 10-Q for the quarter ended January 29, 1999).*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460" w:type="dxa"/>
            <w:vAlign w:val="bottom"/>
          </w:tcPr>
          <w:p>
            <w:pPr>
              <w:ind w:left="700"/>
              <w:spacing w:after="0"/>
              <w:rPr>
                <w:sz w:val="20"/>
                <w:szCs w:val="20"/>
                <w:color w:val="auto"/>
              </w:rPr>
            </w:pPr>
            <w:r>
              <w:rPr>
                <w:rFonts w:ascii="Courier New" w:cs="Courier New" w:eastAsia="Courier New" w:hAnsi="Courier New"/>
                <w:sz w:val="15"/>
                <w:szCs w:val="15"/>
                <w:color w:val="auto"/>
              </w:rPr>
              <w:t>Supplemental Data Schedule; electronic filing only.</w:t>
            </w:r>
          </w:p>
        </w:tc>
      </w:tr>
    </w:tbl>
    <w:p>
      <w:pPr>
        <w:spacing w:after="0" w:line="344"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Quarterly Report on Form 10-Q pursuant to Item 14(c).</w:t>
      </w:r>
    </w:p>
    <w:p>
      <w:pPr>
        <w:spacing w:after="0" w:line="170" w:lineRule="exact"/>
        <w:rPr>
          <w:sz w:val="20"/>
          <w:szCs w:val="20"/>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2" w:right="1440" w:bottom="1440" w:gutter="0" w:footer="0" w:header="0"/>
        </w:sectPr>
      </w:pPr>
    </w:p>
    <w:bookmarkStart w:id="18" w:name="page19"/>
    <w:bookmarkEnd w:id="1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THE TORO COMPANY</w:t>
      </w:r>
    </w:p>
    <w:p>
      <w:pPr>
        <w:jc w:val="center"/>
        <w:ind w:right="359"/>
        <w:spacing w:after="0"/>
        <w:rPr>
          <w:sz w:val="20"/>
          <w:szCs w:val="20"/>
          <w:color w:val="auto"/>
        </w:rPr>
      </w:pPr>
      <w:r>
        <w:rPr>
          <w:rFonts w:ascii="Courier New" w:cs="Courier New" w:eastAsia="Courier New" w:hAnsi="Courier New"/>
          <w:sz w:val="15"/>
          <w:szCs w:val="15"/>
          <w:color w:val="auto"/>
        </w:rPr>
        <w:t>(Registrant)</w:t>
      </w:r>
    </w:p>
    <w:p>
      <w:pPr>
        <w:spacing w:after="0" w:line="16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 /s/ Stephen P. Wolfe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Stephen P. Wolfe</w:t>
      </w:r>
    </w:p>
    <w:p>
      <w:pPr>
        <w:ind w:left="4220"/>
        <w:spacing w:after="0"/>
        <w:rPr>
          <w:sz w:val="20"/>
          <w:szCs w:val="20"/>
          <w:color w:val="auto"/>
        </w:rPr>
      </w:pPr>
      <w:r>
        <w:rPr>
          <w:rFonts w:ascii="Courier New" w:cs="Courier New" w:eastAsia="Courier New" w:hAnsi="Courier New"/>
          <w:sz w:val="15"/>
          <w:szCs w:val="15"/>
          <w:color w:val="auto"/>
        </w:rPr>
        <w:t>Vice President, Finance</w:t>
      </w:r>
    </w:p>
    <w:p>
      <w:pPr>
        <w:ind w:left="4220"/>
        <w:spacing w:after="0"/>
        <w:rPr>
          <w:sz w:val="20"/>
          <w:szCs w:val="20"/>
          <w:color w:val="auto"/>
        </w:rPr>
      </w:pPr>
      <w:r>
        <w:rPr>
          <w:rFonts w:ascii="Courier New" w:cs="Courier New" w:eastAsia="Courier New" w:hAnsi="Courier New"/>
          <w:sz w:val="15"/>
          <w:szCs w:val="15"/>
          <w:color w:val="auto"/>
        </w:rPr>
        <w:t>Chief Financial Officer</w:t>
      </w:r>
    </w:p>
    <w:p>
      <w:pPr>
        <w:ind w:left="4220"/>
        <w:spacing w:after="0" w:line="238"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30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June 14, 1999</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19" w:name="page20"/>
    <w:bookmarkEnd w:id="19"/>
    <w:p>
      <w:pPr>
        <w:jc w:val="center"/>
        <w:ind w:right="2659"/>
        <w:spacing w:after="0"/>
        <w:rPr>
          <w:sz w:val="20"/>
          <w:szCs w:val="20"/>
          <w:color w:val="auto"/>
        </w:rPr>
      </w:pPr>
      <w:r>
        <w:rPr>
          <w:rFonts w:ascii="Courier New" w:cs="Courier New" w:eastAsia="Courier New" w:hAnsi="Courier New"/>
          <w:sz w:val="15"/>
          <w:szCs w:val="15"/>
          <w:color w:val="auto"/>
        </w:rPr>
        <w:t>BYLAWS</w:t>
      </w:r>
    </w:p>
    <w:p>
      <w:pPr>
        <w:jc w:val="center"/>
        <w:ind w:right="2659"/>
        <w:spacing w:after="0"/>
        <w:rPr>
          <w:sz w:val="20"/>
          <w:szCs w:val="20"/>
          <w:color w:val="auto"/>
        </w:rPr>
      </w:pPr>
      <w:r>
        <w:rPr>
          <w:rFonts w:ascii="Courier New" w:cs="Courier New" w:eastAsia="Courier New" w:hAnsi="Courier New"/>
          <w:sz w:val="15"/>
          <w:szCs w:val="15"/>
          <w:color w:val="auto"/>
        </w:rPr>
        <w:t>OF</w:t>
      </w:r>
    </w:p>
    <w:p>
      <w:pPr>
        <w:jc w:val="center"/>
        <w:ind w:right="2659"/>
        <w:spacing w:after="0"/>
        <w:rPr>
          <w:sz w:val="20"/>
          <w:szCs w:val="20"/>
          <w:color w:val="auto"/>
        </w:rPr>
      </w:pPr>
      <w:r>
        <w:rPr>
          <w:rFonts w:ascii="Courier New" w:cs="Courier New" w:eastAsia="Courier New" w:hAnsi="Courier New"/>
          <w:sz w:val="15"/>
          <w:szCs w:val="15"/>
          <w:color w:val="auto"/>
        </w:rPr>
        <w:t>THE TORO COMPANY</w:t>
      </w:r>
    </w:p>
    <w:p>
      <w:pPr>
        <w:jc w:val="center"/>
        <w:ind w:right="2659"/>
        <w:spacing w:after="0" w:line="238" w:lineRule="auto"/>
        <w:rPr>
          <w:sz w:val="20"/>
          <w:szCs w:val="20"/>
          <w:color w:val="auto"/>
        </w:rPr>
      </w:pPr>
      <w:r>
        <w:rPr>
          <w:rFonts w:ascii="Courier New" w:cs="Courier New" w:eastAsia="Courier New" w:hAnsi="Courier New"/>
          <w:sz w:val="15"/>
          <w:szCs w:val="15"/>
          <w:color w:val="auto"/>
        </w:rPr>
        <w:t>(A Delaware Corporation)</w:t>
      </w:r>
    </w:p>
    <w:p>
      <w:pPr>
        <w:spacing w:after="0" w:line="33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ARTICLE I</w:t>
      </w:r>
    </w:p>
    <w:p>
      <w:pPr>
        <w:jc w:val="center"/>
        <w:ind w:right="2659"/>
        <w:spacing w:after="0"/>
        <w:rPr>
          <w:sz w:val="20"/>
          <w:szCs w:val="20"/>
          <w:color w:val="auto"/>
        </w:rPr>
      </w:pPr>
      <w:r>
        <w:rPr>
          <w:rFonts w:ascii="Courier New" w:cs="Courier New" w:eastAsia="Courier New" w:hAnsi="Courier New"/>
          <w:sz w:val="15"/>
          <w:szCs w:val="15"/>
          <w:color w:val="auto"/>
        </w:rPr>
        <w:t>Offices, Corporate Seal, and Records</w:t>
      </w:r>
    </w:p>
    <w:p>
      <w:pPr>
        <w:spacing w:after="0" w:line="17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SECTION 1.1 The registered office of the Corporation shall be established and maintained at the office of National Registered Agents, Inc., in the City of Dover, in the County of Kent, in the State of Delaware, and said corporation shall be the registered agent of the Corporation in charge thereof,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SECTION 1.2 The Corporation may have a corporate seal in such form as determined by the Board of Directors, which may be altered at pleasure, and the seal may be used by causing it or a facsimile thereof to be impressed or affixed or in any other manner reproduced.</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SECTION 1.3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SECTION 1.4 The Corporation shall at all times keep at its principal executive office the following records:</w:t>
      </w:r>
    </w:p>
    <w:p>
      <w:pPr>
        <w:spacing w:after="0" w:line="176" w:lineRule="exact"/>
        <w:rPr>
          <w:sz w:val="20"/>
          <w:szCs w:val="20"/>
          <w:color w:val="auto"/>
        </w:rPr>
      </w:pPr>
    </w:p>
    <w:p>
      <w:pPr>
        <w:ind w:left="1320" w:right="3619" w:hanging="448"/>
        <w:spacing w:after="0" w:line="237"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or copies of records of all proceedings of stockholders and directors, of its Bylaws and all amendments thereto, and of reports made to stockholders or any of them within the next preceding three years;</w:t>
      </w:r>
    </w:p>
    <w:p>
      <w:pPr>
        <w:spacing w:after="0" w:line="176" w:lineRule="exact"/>
        <w:rPr>
          <w:rFonts w:ascii="Courier New" w:cs="Courier New" w:eastAsia="Courier New" w:hAnsi="Courier New"/>
          <w:sz w:val="15"/>
          <w:szCs w:val="15"/>
          <w:color w:val="auto"/>
        </w:rPr>
      </w:pPr>
    </w:p>
    <w:p>
      <w:pPr>
        <w:ind w:left="1320" w:right="3979" w:hanging="448"/>
        <w:spacing w:after="0" w:line="235"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names and usual business addresses of its directors and principal officers;</w:t>
      </w:r>
    </w:p>
    <w:p>
      <w:pPr>
        <w:spacing w:after="0" w:line="170"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financial statements.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SECTION 1.5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ectPr>
          <w:pgSz w:w="11900" w:h="16838" w:orient="portrait"/>
          <w:cols w:equalWidth="0" w:num="1">
            <w:col w:w="10219"/>
          </w:cols>
          <w:pgMar w:left="240" w:top="305" w:right="1440" w:bottom="1440" w:gutter="0" w:footer="0" w:header="0"/>
        </w:sectPr>
      </w:pPr>
    </w:p>
    <w:bookmarkStart w:id="20" w:name="page21"/>
    <w:bookmarkEnd w:id="20"/>
    <w:p>
      <w:pPr>
        <w:ind w:left="3340"/>
        <w:spacing w:after="0"/>
        <w:rPr>
          <w:sz w:val="20"/>
          <w:szCs w:val="20"/>
          <w:color w:val="auto"/>
        </w:rPr>
      </w:pPr>
      <w:r>
        <w:rPr>
          <w:rFonts w:ascii="Courier New" w:cs="Courier New" w:eastAsia="Courier New" w:hAnsi="Courier New"/>
          <w:sz w:val="15"/>
          <w:szCs w:val="15"/>
          <w:color w:val="auto"/>
        </w:rPr>
        <w:t>ARTICLE II</w:t>
      </w:r>
    </w:p>
    <w:p>
      <w:pPr>
        <w:ind w:left="2720"/>
        <w:spacing w:after="0"/>
        <w:rPr>
          <w:sz w:val="20"/>
          <w:szCs w:val="20"/>
          <w:color w:val="auto"/>
        </w:rPr>
      </w:pPr>
      <w:r>
        <w:rPr>
          <w:rFonts w:ascii="Courier New" w:cs="Courier New" w:eastAsia="Courier New" w:hAnsi="Courier New"/>
          <w:sz w:val="15"/>
          <w:szCs w:val="15"/>
          <w:color w:val="auto"/>
        </w:rPr>
        <w:t>Meeting of Stockholders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SECTION 2.1 All meetings of the stockholders shall be held at such other place within or without the State of Delaware as may be designated by the Board of Directors in the notice of the meeting.</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2.2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SECTION 2.3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2.4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SECTION 2.5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All elections for directors shall be determined by a plurality of the votes of the shares present in person or represented by proxy at the meeting and entitled to vote on the election of directors. All other questions shall be decided by the affirmative vote of a majority of the shares present in person or represented by proxy at the meeting and entitled to vote on such question.</w:t>
      </w:r>
    </w:p>
    <w:p>
      <w:pPr>
        <w:spacing w:after="0" w:line="180"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A complete list of the stockholders entitled to vote at any meeting of stockholders at which directors are to be elected, arranged in alphabetical order, with the address of each, and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1" w:name="page22"/>
    <w:bookmarkEnd w:id="21"/>
    <w:p>
      <w:pPr>
        <w:ind w:right="3439"/>
        <w:spacing w:after="0" w:line="238" w:lineRule="auto"/>
        <w:rPr>
          <w:sz w:val="20"/>
          <w:szCs w:val="20"/>
          <w:color w:val="auto"/>
        </w:rPr>
      </w:pPr>
      <w:r>
        <w:rPr>
          <w:rFonts w:ascii="Courier New" w:cs="Courier New" w:eastAsia="Courier New" w:hAnsi="Courier New"/>
          <w:sz w:val="15"/>
          <w:szCs w:val="15"/>
          <w:color w:val="auto"/>
        </w:rPr>
        <w:t>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8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Chairman of the meeting shall fix and announce at the meeting the date and time of the opening and the closing of the polls for each matter upon which the stockholders will vote at the meeting.</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SECTION 2.6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Chairman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stockholders present at a duly organized meeting may continue to transact business until adjournment, notwithstanding the withdrawal of enough stockholders to leave less than a quorum.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22" w:name="page23"/>
    <w:bookmarkEnd w:id="22"/>
    <w:p>
      <w:pPr>
        <w:ind w:left="10" w:right="3179"/>
        <w:spacing w:after="0" w:line="238" w:lineRule="auto"/>
        <w:rPr>
          <w:sz w:val="20"/>
          <w:szCs w:val="20"/>
          <w:color w:val="auto"/>
        </w:rPr>
      </w:pPr>
      <w:r>
        <w:rPr>
          <w:rFonts w:ascii="Courier New" w:cs="Courier New" w:eastAsia="Courier New" w:hAnsi="Courier New"/>
          <w:sz w:val="15"/>
          <w:szCs w:val="15"/>
          <w:color w:val="auto"/>
        </w:rPr>
        <w:t>SECTION 2.7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82"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SECTION 2.8 Section 2.8 (A) (1) Nominations of persons for election to the Board of Directors of the Corporation and the proposal of business to be considered by the stockholders may be made at a regular meeting of stockholders</w:t>
      </w:r>
    </w:p>
    <w:p>
      <w:pPr>
        <w:spacing w:after="0" w:line="1" w:lineRule="exact"/>
        <w:rPr>
          <w:sz w:val="20"/>
          <w:szCs w:val="20"/>
          <w:color w:val="auto"/>
        </w:rPr>
      </w:pPr>
    </w:p>
    <w:p>
      <w:pPr>
        <w:ind w:left="10" w:right="3179" w:hanging="10"/>
        <w:spacing w:after="0" w:line="237" w:lineRule="auto"/>
        <w:tabs>
          <w:tab w:leader="none" w:pos="3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78" w:lineRule="exact"/>
        <w:rPr>
          <w:sz w:val="20"/>
          <w:szCs w:val="20"/>
          <w:color w:val="auto"/>
        </w:rPr>
      </w:pPr>
    </w:p>
    <w:p>
      <w:pPr>
        <w:ind w:left="10" w:right="3179" w:hanging="10"/>
        <w:spacing w:after="0" w:line="256"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w:t>
      </w:r>
    </w:p>
    <w:p>
      <w:pPr>
        <w:spacing w:after="0" w:line="2" w:lineRule="exact"/>
        <w:rPr>
          <w:rFonts w:ascii="Courier New" w:cs="Courier New" w:eastAsia="Courier New" w:hAnsi="Courier New"/>
          <w:sz w:val="14"/>
          <w:szCs w:val="14"/>
          <w:color w:val="auto"/>
        </w:rPr>
      </w:pPr>
    </w:p>
    <w:p>
      <w:pPr>
        <w:ind w:left="10" w:right="3179" w:hanging="10"/>
        <w:spacing w:after="0" w:line="256" w:lineRule="auto"/>
        <w:tabs>
          <w:tab w:leader="none" w:pos="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w:t>
      </w:r>
    </w:p>
    <w:p>
      <w:pPr>
        <w:spacing w:after="0" w:line="2" w:lineRule="exact"/>
        <w:rPr>
          <w:rFonts w:ascii="Courier New" w:cs="Courier New" w:eastAsia="Courier New" w:hAnsi="Courier New"/>
          <w:sz w:val="14"/>
          <w:szCs w:val="14"/>
          <w:color w:val="auto"/>
        </w:rPr>
      </w:pPr>
    </w:p>
    <w:p>
      <w:pPr>
        <w:ind w:left="1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23" w:name="page24"/>
    <w:bookmarkEnd w:id="23"/>
    <w:p>
      <w:pPr>
        <w:ind w:left="10" w:right="3439"/>
        <w:spacing w:after="0" w:line="235" w:lineRule="auto"/>
        <w:rPr>
          <w:sz w:val="20"/>
          <w:szCs w:val="20"/>
          <w:color w:val="auto"/>
        </w:rPr>
      </w:pPr>
      <w:r>
        <w:rPr>
          <w:rFonts w:ascii="Courier New" w:cs="Courier New" w:eastAsia="Courier New" w:hAnsi="Courier New"/>
          <w:sz w:val="15"/>
          <w:szCs w:val="15"/>
          <w:color w:val="auto"/>
        </w:rPr>
        <w:t>the class and number of shares of the Corporation that are owned beneficially and of record by such stockholder and suh beneficial owner.</w:t>
      </w:r>
    </w:p>
    <w:p>
      <w:pPr>
        <w:spacing w:after="0" w:line="176" w:lineRule="exact"/>
        <w:rPr>
          <w:sz w:val="20"/>
          <w:szCs w:val="20"/>
          <w:color w:val="auto"/>
        </w:rPr>
      </w:pPr>
    </w:p>
    <w:p>
      <w:pPr>
        <w:ind w:left="10" w:right="3179" w:hanging="10"/>
        <w:spacing w:after="0" w:line="238"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1" w:lineRule="exact"/>
        <w:rPr>
          <w:sz w:val="20"/>
          <w:szCs w:val="20"/>
          <w:color w:val="auto"/>
        </w:rPr>
      </w:pPr>
    </w:p>
    <w:p>
      <w:pPr>
        <w:ind w:left="10" w:right="3179" w:hanging="10"/>
        <w:spacing w:after="0" w:line="257" w:lineRule="auto"/>
        <w:tabs>
          <w:tab w:leader="none" w:pos="4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333"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Chairman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pacing w:after="0" w:line="181" w:lineRule="exact"/>
        <w:rPr>
          <w:sz w:val="20"/>
          <w:szCs w:val="20"/>
          <w:color w:val="auto"/>
        </w:rPr>
      </w:pPr>
    </w:p>
    <w:p>
      <w:pPr>
        <w:ind w:left="10" w:right="3179" w:hanging="1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7" w:right="1440" w:bottom="1440" w:gutter="0" w:footer="0" w:header="0"/>
        </w:sectPr>
      </w:pPr>
    </w:p>
    <w:bookmarkStart w:id="24" w:name="page25"/>
    <w:bookmarkEnd w:id="24"/>
    <w:p>
      <w:pPr>
        <w:ind w:left="10" w:right="3179" w:hanging="10"/>
        <w:spacing w:after="0" w:line="237"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73" w:lineRule="exact"/>
        <w:rPr>
          <w:sz w:val="20"/>
          <w:szCs w:val="20"/>
          <w:color w:val="auto"/>
        </w:rPr>
      </w:pPr>
    </w:p>
    <w:p>
      <w:pPr>
        <w:jc w:val="center"/>
        <w:ind w:right="2730"/>
        <w:spacing w:after="0"/>
        <w:rPr>
          <w:sz w:val="20"/>
          <w:szCs w:val="20"/>
          <w:color w:val="auto"/>
        </w:rPr>
      </w:pPr>
      <w:r>
        <w:rPr>
          <w:rFonts w:ascii="Courier New" w:cs="Courier New" w:eastAsia="Courier New" w:hAnsi="Courier New"/>
          <w:sz w:val="15"/>
          <w:szCs w:val="15"/>
          <w:color w:val="auto"/>
        </w:rPr>
        <w:t>ARTICLE III</w:t>
      </w:r>
    </w:p>
    <w:p>
      <w:pPr>
        <w:jc w:val="center"/>
        <w:ind w:right="2730"/>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SECTION 3.1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eleven (11)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18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SECTION 3.2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pacing w:after="0" w:line="16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SECTION 3.3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 the third week of the month. At least three (3) days' notice thereof shall be given by the Secretary to each director, either personally or by telephone, mail, telegram or facsimile transmission.</w:t>
      </w:r>
    </w:p>
    <w:p>
      <w:pPr>
        <w:spacing w:after="0" w:line="178"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SECTION 3.4 Special meetings of the Board may be called by the Chief Executive Officer or by any two directors, and not less than twenty-four (24) hours' notice thereof shall be given by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7" w:right="1440" w:bottom="1440" w:gutter="0" w:footer="0" w:header="0"/>
        </w:sectPr>
      </w:pPr>
    </w:p>
    <w:bookmarkStart w:id="25" w:name="page26"/>
    <w:bookmarkEnd w:id="25"/>
    <w:p>
      <w:pPr>
        <w:ind w:right="3539"/>
        <w:spacing w:after="0" w:line="235" w:lineRule="auto"/>
        <w:rPr>
          <w:sz w:val="20"/>
          <w:szCs w:val="20"/>
          <w:color w:val="auto"/>
        </w:rPr>
      </w:pPr>
      <w:r>
        <w:rPr>
          <w:rFonts w:ascii="Courier New" w:cs="Courier New" w:eastAsia="Courier New" w:hAnsi="Courier New"/>
          <w:sz w:val="15"/>
          <w:szCs w:val="15"/>
          <w:color w:val="auto"/>
        </w:rPr>
        <w:t>Secretary to any director, either personally or by telephone, mail, telegram or facsimile transmission.</w:t>
      </w:r>
    </w:p>
    <w:p>
      <w:pPr>
        <w:spacing w:after="0" w:line="176"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SECTION 3.5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6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SECTION 3.6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3.7 The Board may unanimously elect from among the directors an Executive Committee, a Compensation Committee, an Audit Committee, and a Nominating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3.8 The Executive Committee shall consist of two or more of the directors of the Corporation, including the Chairman of the Board of Directors, and one of the members shall be designated by the Board of Directors as its Chairman. The Chairman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3.9 The Audit Committee shall consist of two or more of the directors of the Corporation, none of whom shall be officers or employees of the Corporation, and one of the members shall be designated by the Board of Directors as its Chairman. The Chairman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accounting controls and policies, and reporting practices, including making recommendations regarding the selection, retention and termination of the Corporation's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26" w:name="page27"/>
    <w:bookmarkEnd w:id="26"/>
    <w:p>
      <w:pPr>
        <w:ind w:right="3439"/>
        <w:spacing w:after="0" w:line="238" w:lineRule="auto"/>
        <w:rPr>
          <w:sz w:val="20"/>
          <w:szCs w:val="20"/>
          <w:color w:val="auto"/>
        </w:rPr>
      </w:pPr>
      <w:r>
        <w:rPr>
          <w:rFonts w:ascii="Courier New" w:cs="Courier New" w:eastAsia="Courier New" w:hAnsi="Courier New"/>
          <w:sz w:val="15"/>
          <w:szCs w:val="15"/>
          <w:color w:val="auto"/>
        </w:rPr>
        <w:t>independent auditors, review of professional services, proposed fees and independence of such auditors, scope of the audit, authorization of special reviews or audits, review of internal auditing procedures and the adequacy of internal controls, and review of policies and practices respecting conflict of interest and compliance with applicable laws. The manager of the Corporation's internal auditing function, when operative, shall have an indirect reporting relationship to the Chairman of the Audit Committee, and shall perform such duties as may be prescribed by the Board of Directors or by the Chairman of the Audit Committee. The Committee shall have discretionary authority to undertake additional activities within the scope of its primary functions.</w:t>
      </w:r>
    </w:p>
    <w:p>
      <w:pPr>
        <w:spacing w:after="0" w:line="18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SECTION 3.10 The Compensation Committee shall consist of two or more directors of the Corporation, none of whom shall be officers or employees of the Corporation, and one of the members shall be designated by the Board of Directors as its Chairman. The Chairman of the Compensation Committee shall preside at all meetings of the Compensation Committee and shall perform such other duties as may be prescribed by the Board of Directors. The purposes of the Compensation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16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SECTION 3.11 The Nominating Committee shall consist of two or more directors of the Corporation who do not have any direct or indirect economic or personal association with the Corporation, or with any of its affiliates or the employees thereof. The Chief Executive Officer of the Corporation shall serve as an ex officio non-voting member. One of the members of the Committee shall be designated as its Chairman by the Board of Directors. The Chairman of the Nominating Committee shall preside at all meetings of the Nominating Committee and shall perform such other duties as may be prescribed by the Board of Directors. The primary functions of the Nominating Committee are to review with the Chief Executive Officer of the Corporation an appropriate size and makeup for the Board of Directors, including individuals having such background and business experience as are consistent with and compatible to the long-range interests 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The Committee shall also monitor current members of the Board in light of the same guidelines used to select candidates, shall direct the activities of the Board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27" w:name="page28"/>
    <w:bookmarkEnd w:id="27"/>
    <w:p>
      <w:pPr>
        <w:ind w:right="3619"/>
        <w:spacing w:after="0" w:line="237" w:lineRule="auto"/>
        <w:rPr>
          <w:sz w:val="20"/>
          <w:szCs w:val="20"/>
          <w:color w:val="auto"/>
        </w:rPr>
      </w:pPr>
      <w:r>
        <w:rPr>
          <w:rFonts w:ascii="Courier New" w:cs="Courier New" w:eastAsia="Courier New" w:hAnsi="Courier New"/>
          <w:sz w:val="15"/>
          <w:szCs w:val="15"/>
          <w:color w:val="auto"/>
        </w:rPr>
        <w:t>management in matters of corporate governance, and shall have general discretionary authority to undertake additional activities within the scope of its primary functions.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SECTION 3.12 Meetings of each committee shall be held from time to time as the chairman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Chairman of each Board committee shall preside at all meetings of such committee and shall perform such other duties as may be prescribed by the Board of Directors or the Chairman thereof.</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3.13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34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ARTICLE IV</w:t>
      </w:r>
    </w:p>
    <w:p>
      <w:pPr>
        <w:jc w:val="center"/>
        <w:ind w:right="2659"/>
        <w:spacing w:after="0"/>
        <w:rPr>
          <w:sz w:val="20"/>
          <w:szCs w:val="20"/>
          <w:color w:val="auto"/>
        </w:rPr>
      </w:pPr>
      <w:r>
        <w:rPr>
          <w:rFonts w:ascii="Courier New" w:cs="Courier New" w:eastAsia="Courier New" w:hAnsi="Courier New"/>
          <w:sz w:val="15"/>
          <w:szCs w:val="15"/>
          <w:color w:val="auto"/>
        </w:rPr>
        <w:t>Officers</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4.1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SECTION 4.2 The salary and other compensation of the Chairman of the Board, the President and all elected Vice Presidents shall be fixed by the Board of Directors. If any vacancy shall occur among the elected officers, it shall be filled by the Board.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28" w:name="page29"/>
    <w:bookmarkEnd w:id="28"/>
    <w:p>
      <w:pPr>
        <w:ind w:right="3259"/>
        <w:spacing w:after="0" w:line="238" w:lineRule="auto"/>
        <w:rPr>
          <w:sz w:val="20"/>
          <w:szCs w:val="20"/>
          <w:color w:val="auto"/>
        </w:rPr>
      </w:pPr>
      <w:r>
        <w:rPr>
          <w:rFonts w:ascii="Courier New" w:cs="Courier New" w:eastAsia="Courier New" w:hAnsi="Courier New"/>
          <w:sz w:val="15"/>
          <w:szCs w:val="15"/>
          <w:color w:val="auto"/>
        </w:rPr>
        <w:t>SECTION 4.3 The Chairman of the Board of Directors, or in his absence the Chairman of the Organization and Compensation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SECTION 4.4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SECTION 4.5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succeed to his powers and duties, and in the event all are unable to serve for any reason, the Vice Presidents shall succeed to their power and duties in the order in which elected.</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SECTION 4.6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4.7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18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SECTION 4.8 The assistant to any officer shall, in the absence or disability of that officer, perform his duties and shall perform such other duties as may be prescribed by the Board of Directors.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29" w:name="page30"/>
    <w:bookmarkEnd w:id="29"/>
    <w:p>
      <w:pPr>
        <w:jc w:val="center"/>
        <w:ind w:right="4039"/>
        <w:spacing w:after="0"/>
        <w:rPr>
          <w:sz w:val="20"/>
          <w:szCs w:val="20"/>
          <w:color w:val="auto"/>
        </w:rPr>
      </w:pPr>
      <w:r>
        <w:rPr>
          <w:rFonts w:ascii="Courier New" w:cs="Courier New" w:eastAsia="Courier New" w:hAnsi="Courier New"/>
          <w:sz w:val="15"/>
          <w:szCs w:val="15"/>
          <w:color w:val="auto"/>
        </w:rPr>
        <w:t>THE TORO COMPANY</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JULY 27, 1998 RESTATEMENT</w:t>
      </w:r>
    </w:p>
    <w:p>
      <w:pPr>
        <w:sectPr>
          <w:pgSz w:w="11900" w:h="16838" w:orient="portrait"/>
          <w:cols w:equalWidth="0" w:num="1">
            <w:col w:w="9019"/>
          </w:cols>
          <w:pgMar w:left="1440" w:top="983"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60" w:type="dxa"/>
            <w:vAlign w:val="bottom"/>
          </w:tcPr>
          <w:p>
            <w:pPr>
              <w:jc w:val="right"/>
              <w:ind w:right="2447"/>
              <w:spacing w:after="0"/>
              <w:rPr>
                <w:sz w:val="20"/>
                <w:szCs w:val="20"/>
                <w:color w:val="auto"/>
              </w:rPr>
            </w:pPr>
            <w:r>
              <w:rPr>
                <w:rFonts w:ascii="Courier New" w:cs="Courier New" w:eastAsia="Courier New" w:hAnsi="Courier New"/>
                <w:sz w:val="15"/>
                <w:szCs w:val="15"/>
                <w:color w:val="auto"/>
              </w:rPr>
              <w:t>CONTENTS</w:t>
            </w:r>
          </w:p>
        </w:tc>
        <w:tc>
          <w:tcPr>
            <w:tcW w:w="220" w:type="dxa"/>
            <w:vAlign w:val="bottom"/>
          </w:tcPr>
          <w:p>
            <w:pPr>
              <w:spacing w:after="0"/>
              <w:rPr>
                <w:sz w:val="14"/>
                <w:szCs w:val="14"/>
                <w:color w:val="auto"/>
              </w:rPr>
            </w:pPr>
          </w:p>
        </w:tc>
      </w:tr>
      <w:tr>
        <w:trPr>
          <w:trHeight w:val="678"/>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DEFINITIONS .</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ELIGIBILITY AND PARTICIPATION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SUPPLEMENTAL ACCOUNT.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Establishment of Account.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Credits to Article III Account.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on Amounts Credited.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Optional Earnings Credits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SUPPLEMENTAL RETIREMENT BENEFIT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Benefit Eligibility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Calculation of the Benefit.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Plan Termination.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SUPPLEMENTAL SURVIVING SPOUSE BENEFIT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Eligibility for Surviving Spouse Benefit.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Calculation of the Benefit.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Plan Termination.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DISTRIBUTIONS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Distribution of Article III Accounts.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Election of Distribution Method -</w:t>
            </w:r>
          </w:p>
        </w:tc>
        <w:tc>
          <w:tcPr>
            <w:tcW w:w="22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Article III Accounts.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Death Prior to Completion of Distributions.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Distribution of Article IV Accounts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Election of Distribution Method -</w:t>
            </w:r>
          </w:p>
        </w:tc>
        <w:tc>
          <w:tcPr>
            <w:tcW w:w="22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Article IV Benefits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Death Before Termination of Employment.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Distributions in Common Stock of the Company. 10</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Distributions for Certain Tax Purposes.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ADMINISTRATION OF THE PLAN.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Company Authority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Reliance.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Benefit Statements.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Claims.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 OR TERMINATION.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GENERAL PROVISIONS.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The Trust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No Alienation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Unfunded Plan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No Guaranty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No Right of Employment.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9619"/>
          </w:cols>
          <w:pgMar w:left="840" w:top="791" w:right="1440" w:bottom="1440" w:gutter="0" w:footer="0" w:header="0"/>
        </w:sectPr>
      </w:pPr>
    </w:p>
    <w:bookmarkStart w:id="31" w:name="page32"/>
    <w:bookmarkEnd w:id="31"/>
    <w:p>
      <w:pPr>
        <w:ind w:left="720"/>
        <w:spacing w:after="0"/>
        <w:tabs>
          <w:tab w:leader="none" w:pos="132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Smaller Accounts. . . . . . . . . . . . . . . 15</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Incompetency. . . . . . . . . . . . . . . . . 15</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Corporate Changes . . . . . . . . . . . . . . 15</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Addresses . . . . . . . . . . . . . . . . . . 16</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4"/>
          <w:szCs w:val="14"/>
          <w:color w:val="auto"/>
        </w:rPr>
        <w:t>Limitations on Liability. . . . . . . . . . . 16</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4"/>
          <w:szCs w:val="14"/>
          <w:color w:val="auto"/>
        </w:rPr>
        <w:t>Unforseeable Emergencies. . . . . . . . . . . 16</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4"/>
          <w:szCs w:val="14"/>
          <w:color w:val="auto"/>
        </w:rPr>
        <w:t>Disability. . . . . . . . . . . . . . . . . . 16</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9.13</w:t>
      </w:r>
      <w:r>
        <w:rPr>
          <w:sz w:val="20"/>
          <w:szCs w:val="20"/>
          <w:color w:val="auto"/>
        </w:rPr>
        <w:tab/>
      </w:r>
      <w:r>
        <w:rPr>
          <w:rFonts w:ascii="Courier New" w:cs="Courier New" w:eastAsia="Courier New" w:hAnsi="Courier New"/>
          <w:sz w:val="14"/>
          <w:szCs w:val="14"/>
          <w:color w:val="auto"/>
        </w:rPr>
        <w:t>Transfers to the Trust. . . . . . . . . . . . 17</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9.14</w:t>
      </w:r>
      <w:r>
        <w:rPr>
          <w:sz w:val="20"/>
          <w:szCs w:val="20"/>
          <w:color w:val="auto"/>
        </w:rPr>
        <w:tab/>
      </w:r>
      <w:r>
        <w:rPr>
          <w:rFonts w:ascii="Courier New" w:cs="Courier New" w:eastAsia="Courier New" w:hAnsi="Courier New"/>
          <w:sz w:val="14"/>
          <w:szCs w:val="14"/>
          <w:color w:val="auto"/>
        </w:rPr>
        <w:t>Inspection. . . . . . . . . . . . . . . . . . 17</w:t>
      </w: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9.15</w:t>
      </w:r>
      <w:r>
        <w:rPr>
          <w:sz w:val="20"/>
          <w:szCs w:val="20"/>
          <w:color w:val="auto"/>
        </w:rPr>
        <w:tab/>
      </w:r>
      <w:r>
        <w:rPr>
          <w:rFonts w:ascii="Courier New" w:cs="Courier New" w:eastAsia="Courier New" w:hAnsi="Courier New"/>
          <w:sz w:val="14"/>
          <w:szCs w:val="14"/>
          <w:color w:val="auto"/>
        </w:rPr>
        <w:t>Governing Law . . . . . . . . . . . . . . . . 17</w:t>
      </w:r>
    </w:p>
    <w:p>
      <w:pPr>
        <w:spacing w:after="0" w:line="33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961" w:right="1440" w:bottom="1440" w:gutter="0" w:footer="0" w:header="0"/>
        </w:sectPr>
      </w:pPr>
    </w:p>
    <w:bookmarkStart w:id="32" w:name="page33"/>
    <w:bookmarkEnd w:id="32"/>
    <w:p>
      <w:pPr>
        <w:jc w:val="center"/>
        <w:ind w:right="2830"/>
        <w:spacing w:after="0"/>
        <w:rPr>
          <w:sz w:val="20"/>
          <w:szCs w:val="20"/>
          <w:color w:val="auto"/>
        </w:rPr>
      </w:pPr>
      <w:r>
        <w:rPr>
          <w:rFonts w:ascii="Courier New" w:cs="Courier New" w:eastAsia="Courier New" w:hAnsi="Courier New"/>
          <w:sz w:val="15"/>
          <w:szCs w:val="15"/>
          <w:color w:val="auto"/>
        </w:rPr>
        <w:t>THE TORO COMPANY</w:t>
      </w:r>
    </w:p>
    <w:p>
      <w:pPr>
        <w:jc w:val="center"/>
        <w:ind w:right="2910"/>
        <w:spacing w:after="0"/>
        <w:rPr>
          <w:sz w:val="20"/>
          <w:szCs w:val="20"/>
          <w:color w:val="auto"/>
        </w:rPr>
      </w:pPr>
      <w:r>
        <w:rPr>
          <w:rFonts w:ascii="Courier New" w:cs="Courier New" w:eastAsia="Courier New" w:hAnsi="Courier New"/>
          <w:sz w:val="15"/>
          <w:szCs w:val="15"/>
          <w:color w:val="auto"/>
        </w:rPr>
        <w:t>SUPPLEMENTAL MANAGEMENT RETIREMENT PLAN</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JULY 27, 1998 RESTATEMENT</w:t>
      </w:r>
    </w:p>
    <w:p>
      <w:pPr>
        <w:spacing w:after="0" w:line="34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Toro Company hereby amends and restates its Supplemental Management Retirement Plan originally effective as of August 1, 1989, as subsequently amended and restated. This amendment and restatement is effective as of July 27, 1998. This Plan is maintained by Company for the purpose of providing benefits for a select group of highly-compensated employees, in excess of the limitations on benefits and contributions imposed by Sections 401(a)(17) and 415 of the Internal Revenue Code of 1986. This Plan is unfunded for purposes of Title I of ERISA.</w:t>
      </w:r>
    </w:p>
    <w:p>
      <w:pPr>
        <w:spacing w:after="0" w:line="172" w:lineRule="exact"/>
        <w:rPr>
          <w:sz w:val="20"/>
          <w:szCs w:val="20"/>
          <w:color w:val="auto"/>
        </w:rPr>
      </w:pPr>
    </w:p>
    <w:p>
      <w:pPr>
        <w:ind w:left="790" w:hanging="437"/>
        <w:spacing w:after="0"/>
        <w:tabs>
          <w:tab w:leader="none" w:pos="7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left="10" w:right="3619" w:firstLine="353"/>
        <w:spacing w:after="0" w:line="235" w:lineRule="auto"/>
        <w:rPr>
          <w:sz w:val="20"/>
          <w:szCs w:val="20"/>
          <w:color w:val="auto"/>
        </w:rPr>
      </w:pPr>
      <w:r>
        <w:rPr>
          <w:rFonts w:ascii="Courier New" w:cs="Courier New" w:eastAsia="Courier New" w:hAnsi="Courier New"/>
          <w:sz w:val="15"/>
          <w:szCs w:val="15"/>
          <w:color w:val="auto"/>
        </w:rPr>
        <w:t>When used in this Plan, the following terms have the meanings indicated unless a different meaning is plainly required by the context.</w:t>
      </w:r>
    </w:p>
    <w:p>
      <w:pPr>
        <w:spacing w:after="0" w:line="176" w:lineRule="exact"/>
        <w:rPr>
          <w:sz w:val="20"/>
          <w:szCs w:val="20"/>
          <w:color w:val="auto"/>
        </w:rPr>
      </w:pPr>
    </w:p>
    <w:p>
      <w:pPr>
        <w:ind w:left="10" w:right="3539" w:firstLine="353"/>
        <w:spacing w:after="0" w:line="265" w:lineRule="auto"/>
        <w:rPr>
          <w:sz w:val="20"/>
          <w:szCs w:val="20"/>
          <w:color w:val="auto"/>
        </w:rPr>
      </w:pPr>
      <w:r>
        <w:rPr>
          <w:rFonts w:ascii="Courier New" w:cs="Courier New" w:eastAsia="Courier New" w:hAnsi="Courier New"/>
          <w:sz w:val="14"/>
          <w:szCs w:val="14"/>
          <w:color w:val="auto"/>
        </w:rPr>
        <w:t>"BENEFICIARY" means the person or persons selected by the Participant to receive benefits under this Plan in the event of the Participant's death.</w:t>
      </w:r>
    </w:p>
    <w:p>
      <w:pPr>
        <w:spacing w:after="0" w:line="158"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"CHANGE OF CONTROL" means the earliest to occur of (i) a public announcement that a Person shall have acquired or obtained the right to acquire Beneficial Ownership (within the meaning of Rule 13d-3 under the Exchange Act) of 15% or more of the outstanding shares of Common Stock of the Company,</w:t>
      </w:r>
    </w:p>
    <w:p>
      <w:pPr>
        <w:spacing w:after="0" w:line="1" w:lineRule="exact"/>
        <w:rPr>
          <w:sz w:val="20"/>
          <w:szCs w:val="20"/>
          <w:color w:val="auto"/>
        </w:rPr>
      </w:pPr>
    </w:p>
    <w:p>
      <w:pPr>
        <w:ind w:left="10" w:right="3259" w:hanging="10"/>
        <w:spacing w:after="0" w:line="238"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or announcement of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9"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For purposes of this definition, "Person" means any individual, corporation, partnership, trust, other entity or group (within the meaning of Section 13(d)(3) or 14(d)(2) of the Exchange Act)(excluding the Company, a subsidiary of the Company, any employee benefit plan of the Company or any Subsidiary or any entity holding shares of Common Stock for or pursuant to the terms of any such plan). For purposes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622" w:right="1440" w:bottom="1440" w:gutter="0" w:footer="0" w:header="0"/>
        </w:sectPr>
      </w:pPr>
    </w:p>
    <w:bookmarkStart w:id="33" w:name="page34"/>
    <w:bookmarkEnd w:id="33"/>
    <w:p>
      <w:pPr>
        <w:ind w:left="10" w:right="3439"/>
        <w:spacing w:after="0" w:line="257" w:lineRule="auto"/>
        <w:rPr>
          <w:sz w:val="20"/>
          <w:szCs w:val="20"/>
          <w:color w:val="auto"/>
        </w:rPr>
      </w:pPr>
      <w:r>
        <w:rPr>
          <w:rFonts w:ascii="Courier New" w:cs="Courier New" w:eastAsia="Courier New" w:hAnsi="Courier New"/>
          <w:sz w:val="14"/>
          <w:szCs w:val="14"/>
          <w:color w:val="auto"/>
        </w:rPr>
        <w:t>of this definition,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6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5"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"COMMITTEE" means the Compensation Committee of the Board of Directors of the Company, or any successor committee.</w:t>
      </w:r>
    </w:p>
    <w:p>
      <w:pPr>
        <w:spacing w:after="0" w:line="176"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"COMMON STOCK" means the Company's common stock, par value $1.00 per share, and related preferred share purchase rights.</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"COMPANY" means The Toro Company, a Delaware corporation.</w:t>
      </w:r>
    </w:p>
    <w:p>
      <w:pPr>
        <w:spacing w:after="0" w:line="175"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"COMPENSATION" means all amounts received by a Participant from the Company that are subject to federal income tax withholding: provided, that</w:t>
      </w:r>
    </w:p>
    <w:p>
      <w:pPr>
        <w:spacing w:after="0" w:line="6" w:lineRule="exact"/>
        <w:rPr>
          <w:sz w:val="20"/>
          <w:szCs w:val="20"/>
          <w:color w:val="auto"/>
        </w:rPr>
      </w:pPr>
    </w:p>
    <w:p>
      <w:pPr>
        <w:ind w:left="10" w:right="3179" w:hanging="10"/>
        <w:spacing w:after="0" w:line="237"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shall not include any amount received by an employee on account of the grant or exercise of an option to purchase Common Stock of the Company, and (ii) Compensation shall include an amount equal to any reductions in a Participant's gross income as a result of salary reductions under Sections 125 or 401(k) or 402(a)(8) of the Code.</w:t>
      </w:r>
    </w:p>
    <w:p>
      <w:pPr>
        <w:spacing w:after="0" w:line="178" w:lineRule="exact"/>
        <w:rPr>
          <w:sz w:val="20"/>
          <w:szCs w:val="20"/>
          <w:color w:val="auto"/>
        </w:rPr>
      </w:pPr>
    </w:p>
    <w:p>
      <w:pPr>
        <w:ind w:left="10" w:right="3179" w:firstLine="353"/>
        <w:spacing w:after="0" w:line="265" w:lineRule="auto"/>
        <w:rPr>
          <w:sz w:val="20"/>
          <w:szCs w:val="20"/>
          <w:color w:val="auto"/>
        </w:rPr>
      </w:pPr>
      <w:r>
        <w:rPr>
          <w:rFonts w:ascii="Courier New" w:cs="Courier New" w:eastAsia="Courier New" w:hAnsi="Courier New"/>
          <w:sz w:val="14"/>
          <w:szCs w:val="14"/>
          <w:color w:val="auto"/>
        </w:rPr>
        <w:t>"DISTRIBUTION ELECTION FORM" means a form provided by the Company through which a Participant makes the distribution elections provided for in Article VI.</w:t>
      </w:r>
    </w:p>
    <w:p>
      <w:pPr>
        <w:spacing w:after="0" w:line="158"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"ELIGIBILITY SERVICE" means eligibility service as defined in the Profit Sharing Plan.</w:t>
      </w:r>
    </w:p>
    <w:p>
      <w:pPr>
        <w:spacing w:after="0" w:line="176" w:lineRule="exact"/>
        <w:rPr>
          <w:sz w:val="20"/>
          <w:szCs w:val="20"/>
          <w:color w:val="auto"/>
        </w:rPr>
      </w:pPr>
    </w:p>
    <w:p>
      <w:pPr>
        <w:ind w:left="10" w:right="3799" w:firstLine="353"/>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"ESOP" means The Toro Company Employee Stock Ownership Plan, as amended.</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75" w:lineRule="exact"/>
        <w:rPr>
          <w:sz w:val="20"/>
          <w:szCs w:val="20"/>
          <w:color w:val="auto"/>
        </w:rPr>
      </w:pPr>
    </w:p>
    <w:p>
      <w:pPr>
        <w:ind w:left="10" w:right="3799" w:firstLine="353"/>
        <w:spacing w:after="0" w:line="265" w:lineRule="auto"/>
        <w:rPr>
          <w:sz w:val="20"/>
          <w:szCs w:val="20"/>
          <w:color w:val="auto"/>
        </w:rPr>
      </w:pPr>
      <w:r>
        <w:rPr>
          <w:rFonts w:ascii="Courier New" w:cs="Courier New" w:eastAsia="Courier New" w:hAnsi="Courier New"/>
          <w:sz w:val="14"/>
          <w:szCs w:val="14"/>
          <w:color w:val="auto"/>
        </w:rPr>
        <w:t>"PARTICIPANT" means any employee of the Company or a participating Subsidiary who meets the conditions described in Article II of this Plan.</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7" w:right="1440" w:bottom="1440" w:gutter="0" w:footer="0" w:header="0"/>
        </w:sectPr>
      </w:pPr>
    </w:p>
    <w:bookmarkStart w:id="34" w:name="page35"/>
    <w:bookmarkEnd w:id="34"/>
    <w:p>
      <w:pPr>
        <w:ind w:right="3259" w:firstLine="353"/>
        <w:spacing w:after="0" w:line="237" w:lineRule="auto"/>
        <w:rPr>
          <w:sz w:val="20"/>
          <w:szCs w:val="20"/>
          <w:color w:val="auto"/>
        </w:rPr>
      </w:pPr>
      <w:r>
        <w:rPr>
          <w:rFonts w:ascii="Courier New" w:cs="Courier New" w:eastAsia="Courier New" w:hAnsi="Courier New"/>
          <w:sz w:val="15"/>
          <w:szCs w:val="15"/>
          <w:color w:val="auto"/>
        </w:rPr>
        <w:t>"PARTICIPATING SUBSIDIARY" means a Subsidiary of the Company to which this Plan has been extended by action of the Board of Directors of the Company or by action of the Committee, if the Board of Directors has authorized the Committee to so act.</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"PENSION PLAN" means The Toro Company Retirement Plan for Office and Hourly Employees (the successor of The Toro Company Retirement Plan for Office Employees), as amended, or any successor or replacement plan.</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"PLAN" means this Supplemental Management Retirement Plan, as amended.</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"PROFIT SHARING PLAN" means The Toro Company Investment and Savings Plan (prior to August 1, 1995, The Toro Company Profit Sharing Plan for Office Employees), as amended, or any successor or replacement plan.</w:t>
      </w:r>
    </w:p>
    <w:p>
      <w:pPr>
        <w:spacing w:after="0" w:line="175"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"SECTION 16 INSIDER" means any Participant who is, with respect to the Company, subject to Section 16 of the Exchange Act.</w:t>
      </w:r>
    </w:p>
    <w:p>
      <w:pPr>
        <w:spacing w:after="0" w:line="176"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"SUBSIDIARY" means any corporation which is a component member of the controlled group of corporations of which the Company is the common parent. Controlled group shall be determined by reference to Section 1563 of the Code but including any corporation described in Section 1563(b) (2) thereof.</w:t>
      </w:r>
    </w:p>
    <w:p>
      <w:pPr>
        <w:spacing w:after="0" w:line="163" w:lineRule="exact"/>
        <w:rPr>
          <w:sz w:val="20"/>
          <w:szCs w:val="20"/>
          <w:color w:val="auto"/>
        </w:rPr>
      </w:pPr>
    </w:p>
    <w:p>
      <w:pPr>
        <w:ind w:right="3539" w:firstLine="353"/>
        <w:spacing w:after="0" w:line="265" w:lineRule="auto"/>
        <w:rPr>
          <w:sz w:val="20"/>
          <w:szCs w:val="20"/>
          <w:color w:val="auto"/>
        </w:rPr>
      </w:pPr>
      <w:r>
        <w:rPr>
          <w:rFonts w:ascii="Courier New" w:cs="Courier New" w:eastAsia="Courier New" w:hAnsi="Courier New"/>
          <w:sz w:val="14"/>
          <w:szCs w:val="14"/>
          <w:color w:val="auto"/>
        </w:rPr>
        <w:t>"SURVIVING SPOUSE" means a person who is married to a Participant at the date of the Participant's death and for at least one year prior thereto.</w:t>
      </w:r>
    </w:p>
    <w:p>
      <w:pPr>
        <w:spacing w:after="0" w:line="15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"TRUST" means the trust established or maintained by the Company which is used in connection with this Plan to assist the Company in meeting its obligations under the Plan.</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"TRUSTEE" means the corporation or individual selected by the Company to serve as trustee for the Trust.</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singular form of any word shall include the plural and the masculine gender shall include the feminine where necessary for the proper interpretation of this Plan.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5" w:name="page36"/>
    <w:bookmarkEnd w:id="35"/>
    <w:p>
      <w:pPr>
        <w:ind w:left="780" w:hanging="437"/>
        <w:spacing w:after="0"/>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75"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An employee who satisfies the conditions of Section 2.2 and whose benefits under the ESOP, the Pension Plan or the Profit Sharing Plan are or will be reduced because of the limitations on contributions and benefits imposed by Sections 401(a) (17) or 415 of the Code shall be a Participant in the Plan.</w:t>
      </w:r>
    </w:p>
    <w:p>
      <w:pPr>
        <w:spacing w:after="0" w:line="163"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Prior to August 1, 1994, a Participant in the Plan was required to be an executive of the Company at the level of Vice President or above or an employee receiving annual Compensation equal to or greater than $200,000. On and after August 1, 1994, a Participant in the Plan must be an employee of the Company or of a Participating Subsidiary receiving annual Compensation at a rate equal to or greater than $150,000, as such amount may be adjusted from time to time by the Secretary of the Treasury pursuant to Section 401(a)(17) of the Code.</w:t>
      </w:r>
    </w:p>
    <w:p>
      <w:pPr>
        <w:spacing w:after="0" w:line="167"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Once an employee becomes a Participant, his or her account under the Plan will remain in effect until distributed as provided herein, even if for any subsequent Plan Year or portion thereof the employee is ineligible to be a Participant, or ceases to be a Participant for any other reason.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III. SUPPLEMENTAL ACCOUNT</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ESTABLISHMENT OF ACCOUNT</w:t>
      </w:r>
    </w:p>
    <w:p>
      <w:pPr>
        <w:spacing w:after="0" w:line="175"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The Company shall establish and maintain an Article III account for each Participant, and shall credit such account for each Plan Year with an amount equal to the amount described in Section 3.2.</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CREDITS TO ARTICLE III ACCOUNT</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amount credited to a Participant's Article III account for each Plan Year or portion thereof during which the employee is a Participant shall equal the difference between:</w:t>
      </w:r>
    </w:p>
    <w:p>
      <w:pPr>
        <w:spacing w:after="0" w:line="175" w:lineRule="exact"/>
        <w:rPr>
          <w:sz w:val="20"/>
          <w:szCs w:val="20"/>
          <w:color w:val="auto"/>
        </w:rPr>
      </w:pPr>
    </w:p>
    <w:p>
      <w:pPr>
        <w:ind w:right="3259" w:firstLine="784"/>
        <w:spacing w:after="0" w:line="238" w:lineRule="auto"/>
        <w:tabs>
          <w:tab w:leader="none" w:pos="123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contributions and forfeitures which would have been allocated or reallocated to the Participant under the Profit Sharing Plan, the ESOP and any other defined contribution plan (as defined in Section 414(i) of the Code) maintained by the Company, based on the Participant's Compensation, and without regard to the limitations imposed by Sections 401(a)(l7) or 415 of the Code, and</w:t>
      </w:r>
    </w:p>
    <w:p>
      <w:pPr>
        <w:spacing w:after="0" w:line="175" w:lineRule="exact"/>
        <w:rPr>
          <w:rFonts w:ascii="Courier New" w:cs="Courier New" w:eastAsia="Courier New" w:hAnsi="Courier New"/>
          <w:sz w:val="15"/>
          <w:szCs w:val="15"/>
          <w:color w:val="auto"/>
        </w:rPr>
      </w:pPr>
    </w:p>
    <w:p>
      <w:pPr>
        <w:ind w:right="3259" w:firstLine="784"/>
        <w:spacing w:after="0" w:line="237" w:lineRule="auto"/>
        <w:tabs>
          <w:tab w:leader="none" w:pos="123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contributions and forfeitures actually allocated or reallocated to the Participant under such qualified plans plus any credits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36" w:name="page37"/>
    <w:bookmarkEnd w:id="36"/>
    <w:p>
      <w:pPr>
        <w:ind w:right="3879"/>
        <w:spacing w:after="0" w:line="237" w:lineRule="auto"/>
        <w:rPr>
          <w:sz w:val="20"/>
          <w:szCs w:val="20"/>
          <w:color w:val="auto"/>
        </w:rPr>
      </w:pPr>
      <w:r>
        <w:rPr>
          <w:rFonts w:ascii="Courier New" w:cs="Courier New" w:eastAsia="Courier New" w:hAnsi="Courier New"/>
          <w:sz w:val="15"/>
          <w:szCs w:val="15"/>
          <w:color w:val="auto"/>
        </w:rPr>
        <w:t>made under any nonqualified deferred compensation plan maintained by the Company (other than this Plan) to replace amounts that would have been credited under the qualified plans had the Participant not deferred compensation under such nonqualified plans.</w:t>
      </w:r>
    </w:p>
    <w:p>
      <w:pPr>
        <w:spacing w:after="0" w:line="176"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Amounts credited to a Participant's Article III account for any Plan Year shall be credited as of the end of such Plan Year.</w:t>
      </w:r>
    </w:p>
    <w:p>
      <w:pPr>
        <w:spacing w:after="0" w:line="17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EARNINGS ON AMOUNTS CREDITED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Amounts credited to a Participant's Article III account shall be credited with interest at a rate and in a manner determined by the Company to be consistent with the average prime rate of interest charged by U. S. Bank, National Association to its individual borrowers. Prior to a Change of Control the method for determining the interest crediting rate may be changed at any time, at the discretion of the Company. After a Change of Control, the Trustee shall have authority to change the method for determining the interest crediting rate. Interest shall be credited as of the end of each quarter.</w:t>
      </w:r>
    </w:p>
    <w:p>
      <w:pPr>
        <w:spacing w:after="0" w:line="172"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OPTIONAL EARNINGS CREDITS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If a Participant's age and years of Eligibility Service with the Company equals or exceeds sixty (60), the Participant may request the Trustee in writing, on a form approved by the Committee, to invest a specified percentage of his or her Article III account in one or more of the investment vehicles made available by the Company under the Trust. A Participant may change his or her election as of the first day of January and as of the first day of July, and more frequently if permitted by the Company, by delivering an election form to the Chief Financial Officer of the Company at least thirty days prior to the effective date of the election. Prior to a Change of Control, the investment vehicles made available to the Participants shall be selected by the Chief Executive Officer of the Company or by such Officer's designee. After a Change of Control, investment vehicles shall be selected by the Trustee. Any expense incurred in connection with an investment option shall be charged on a pro rata basis against the Participants' accounts. The investment vehicles made available under the Trust shall include at least one vehicle that provides a fixed rate of interest through investment in fixed income mutual funds or common trust funds, U.S. Treasury bonds and notes, certificates of deposit, annuity contracts, or other similar investments.</w:t>
      </w:r>
    </w:p>
    <w:p>
      <w:pPr>
        <w:spacing w:after="0" w:line="17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If the investment vehicles include a fund that invests exclusively or primarily in the Company's Common Stock, Participants who are Section 16 Insiders may allocate amounts to or from such fund only in accordance with Company policies on insider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37" w:name="page38"/>
    <w:bookmarkEnd w:id="37"/>
    <w:p>
      <w:pPr>
        <w:ind w:right="3699"/>
        <w:spacing w:after="0" w:line="237" w:lineRule="auto"/>
        <w:rPr>
          <w:sz w:val="20"/>
          <w:szCs w:val="20"/>
          <w:color w:val="auto"/>
        </w:rPr>
      </w:pPr>
      <w:r>
        <w:rPr>
          <w:rFonts w:ascii="Courier New" w:cs="Courier New" w:eastAsia="Courier New" w:hAnsi="Courier New"/>
          <w:sz w:val="15"/>
          <w:szCs w:val="15"/>
          <w:color w:val="auto"/>
        </w:rPr>
        <w:t>trading and in compliance with the rules for "Discretionary Trading" as defined in Rule 16b-3 (or any successor provision) under the Exchange Act. Distributions from a fund that invests exclusively or primarily in the Company's Common Stock shall be made in Common Stock.</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the Committee approves an election made as provided in this Section, the Participant's account will thereafter be credited with earnings or losses based upon the earnings or losses attributable to the investments so elected; and the Company shall not credit any portion of the account subject to such election with interest, as described in Section 3.3.</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SUPPLEMENTAL RETIREMENT BENEFIT</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BENEFIT ELIGIBILITY</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 supplemental retirement benefit shall be payable to a Participant under this Article IV commencing on the Participant's normal retirement date, as defined in the Pension Plan. The amount of that benefit, which shall not be less than zero, shall equal the difference between:</w:t>
      </w:r>
    </w:p>
    <w:p>
      <w:pPr>
        <w:spacing w:after="0" w:line="176" w:lineRule="exact"/>
        <w:rPr>
          <w:sz w:val="20"/>
          <w:szCs w:val="20"/>
          <w:color w:val="auto"/>
        </w:rPr>
      </w:pPr>
    </w:p>
    <w:p>
      <w:pPr>
        <w:ind w:right="3179" w:firstLine="784"/>
        <w:spacing w:after="0" w:line="238" w:lineRule="auto"/>
        <w:tabs>
          <w:tab w:leader="none" w:pos="123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that the Participant would have been entitled to receive under the Pension Plan and any other defined benefit plans (as defined in Section 414(j) of the Code) maintained by the Company if such amount was determined (for each Plan Year or portion thereof in which the individual was a Participant) without regard to the limitations on benefits imposed by Sections 401(a)(17) or 415 of the Code on such plan or plans, reduced by the Defined Contribution Plan Offset, as defined in the Pension Plan, but including as an additional part of such Defined Contribution Plan Offset the sum of (i) amounts credited to the Participant under Article III of this Plan (including interest and other credits thereto) and (ii) amounts credited to the Participant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183" w:lineRule="exact"/>
        <w:rPr>
          <w:rFonts w:ascii="Courier New" w:cs="Courier New" w:eastAsia="Courier New" w:hAnsi="Courier New"/>
          <w:sz w:val="15"/>
          <w:szCs w:val="15"/>
          <w:color w:val="auto"/>
        </w:rPr>
      </w:pPr>
    </w:p>
    <w:p>
      <w:pPr>
        <w:ind w:right="3619" w:firstLine="784"/>
        <w:spacing w:after="0" w:line="265" w:lineRule="auto"/>
        <w:tabs>
          <w:tab w:leader="none" w:pos="123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benefit actually payable to the Participant under the Pension Plan and such other qualified defined benefit plans.</w:t>
      </w:r>
    </w:p>
    <w:p>
      <w:pPr>
        <w:spacing w:after="0" w:line="15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CALCULATION OF THE BENEFIT</w:t>
      </w:r>
    </w:p>
    <w:p>
      <w:pPr>
        <w:spacing w:after="0" w:line="175" w:lineRule="exact"/>
        <w:rPr>
          <w:sz w:val="20"/>
          <w:szCs w:val="20"/>
          <w:color w:val="auto"/>
        </w:rPr>
      </w:pPr>
    </w:p>
    <w:p>
      <w:pPr>
        <w:ind w:right="3259" w:firstLine="343"/>
        <w:spacing w:after="0" w:line="237" w:lineRule="auto"/>
        <w:tabs>
          <w:tab w:leader="none" w:pos="79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described in Section 4.1 will be computed as of the date of the Participant's retirement or termination of employment with the Company, in the form of a straight life annuity payable monthly over the lifetime of the Participant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38" w:name="page39"/>
    <w:bookmarkEnd w:id="38"/>
    <w:p>
      <w:pPr>
        <w:ind w:right="3539"/>
        <w:spacing w:after="0" w:line="235" w:lineRule="auto"/>
        <w:rPr>
          <w:sz w:val="20"/>
          <w:szCs w:val="20"/>
          <w:color w:val="auto"/>
        </w:rPr>
      </w:pPr>
      <w:r>
        <w:rPr>
          <w:rFonts w:ascii="Courier New" w:cs="Courier New" w:eastAsia="Courier New" w:hAnsi="Courier New"/>
          <w:sz w:val="15"/>
          <w:szCs w:val="15"/>
          <w:color w:val="auto"/>
        </w:rPr>
        <w:t>commencing on the Participant's normal retirement date, as defined under the Pension Plan.</w:t>
      </w:r>
    </w:p>
    <w:p>
      <w:pPr>
        <w:spacing w:after="0" w:line="176" w:lineRule="exact"/>
        <w:rPr>
          <w:sz w:val="20"/>
          <w:szCs w:val="20"/>
          <w:color w:val="auto"/>
        </w:rPr>
      </w:pPr>
    </w:p>
    <w:p>
      <w:pPr>
        <w:ind w:right="3179" w:firstLine="784"/>
        <w:spacing w:after="0" w:line="237" w:lineRule="auto"/>
        <w:tabs>
          <w:tab w:leader="none" w:pos="123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benefit under Article IV is payable in any form other than a straight life annuity over the lifetime of the Participant, or if it commences at any time other than the Participant's normal retirement date as defined in the Pension Plan, the amount of the benefit shall be the actuarial equivalent of the benefit described in clause (a) of this Section.</w:t>
      </w:r>
    </w:p>
    <w:p>
      <w:pPr>
        <w:spacing w:after="0" w:line="178" w:lineRule="exact"/>
        <w:rPr>
          <w:rFonts w:ascii="Courier New" w:cs="Courier New" w:eastAsia="Courier New" w:hAnsi="Courier New"/>
          <w:sz w:val="15"/>
          <w:szCs w:val="15"/>
          <w:color w:val="auto"/>
        </w:rPr>
      </w:pPr>
    </w:p>
    <w:p>
      <w:pPr>
        <w:ind w:right="3359" w:firstLine="784"/>
        <w:spacing w:after="0" w:line="260" w:lineRule="auto"/>
        <w:tabs>
          <w:tab w:leader="none" w:pos="123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clauses (a) and (b) of this Section, the benefit calculation shall be made using the same actuarial methods and assumptions as are used at the time to determine benefits under the Pension Plan.</w:t>
      </w:r>
    </w:p>
    <w:p>
      <w:pPr>
        <w:spacing w:after="0" w:line="157"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EFFECT OF PLAN TERMINATION</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71" w:lineRule="exact"/>
        <w:rPr>
          <w:sz w:val="20"/>
          <w:szCs w:val="20"/>
          <w:color w:val="auto"/>
        </w:rPr>
      </w:pPr>
    </w:p>
    <w:p>
      <w:pPr>
        <w:ind w:left="780" w:hanging="437"/>
        <w:spacing w:after="0"/>
        <w:tabs>
          <w:tab w:leader="none" w:pos="7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SURVIVING SPOUSE BENEFIT</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ELIGIBILITY FOR SURVIVING SPOUSE BENEFIT</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If a Participant dies prior to commencement of payment of his or her benefit under the Pension Plan under circumstances in which a benefit is payable to the Participant's Surviving Spouse under such plan, then a supplemental benefit shall be payable to the Surviving Spouse under this Plan. The benefit shall be an amount, not less than zero, equal to the difference between:</w:t>
      </w:r>
    </w:p>
    <w:p>
      <w:pPr>
        <w:spacing w:after="0" w:line="176" w:lineRule="exact"/>
        <w:rPr>
          <w:sz w:val="20"/>
          <w:szCs w:val="20"/>
          <w:color w:val="auto"/>
        </w:rPr>
      </w:pPr>
    </w:p>
    <w:p>
      <w:pPr>
        <w:ind w:right="3179" w:firstLine="784"/>
        <w:spacing w:after="0" w:line="238" w:lineRule="auto"/>
        <w:tabs>
          <w:tab w:leader="none" w:pos="12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amount of the benefit under the Pension Plan and any other qualified defined benefit plans maintained by the Company to which the Surviving Spouse would have been entitled under such plan or plans if such benefit were computed without regard to the limitations on benefits imposed by Sections 401(a)(17) or 415 of the Code, reduced by the Defined Contribution Plan Offset, as defined in the Pension Plan, but including as an additional part of such Defined Contribution Plan Offset the sum of (i) amounts credited to the Participant under Article III of this Plan (including interest and other credits thereto) and (ii) amounts credited to the Participant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39" w:name="page40"/>
    <w:bookmarkEnd w:id="39"/>
    <w:p>
      <w:pPr>
        <w:ind w:left="10" w:right="3979" w:firstLine="784"/>
        <w:spacing w:after="0" w:line="265" w:lineRule="auto"/>
        <w:tabs>
          <w:tab w:leader="none" w:pos="124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Surviving Spouse under the Pension Plan and such other plan or plans.</w:t>
      </w:r>
    </w:p>
    <w:p>
      <w:pPr>
        <w:spacing w:after="0" w:line="153"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CALCULATION OF THE BENEFIT</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Subject to Section 9.6,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w:t>
      </w:r>
    </w:p>
    <w:p>
      <w:pPr>
        <w:spacing w:after="0" w:line="2"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 Participant may elect on a Distribution Election Form to have the actuarial equivalent of the benefit described herein paid in a lump sum. If the lump sum option is elected, it shall be paid on the first day of the month following the month in which the Participant dies, or as soon thereafter as is administratively feasible. A Participant may change the form of payment in the manner described in Section 6.2. The actuarial equivalent of the benefit described in this Section 5.2 shall be determined using the actuarial methods specified in the Pension Plan.</w:t>
      </w:r>
    </w:p>
    <w:p>
      <w:pPr>
        <w:spacing w:after="0" w:line="172"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EFFECT OF PLAN TERMINATION</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171"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4"/>
          <w:szCs w:val="14"/>
          <w:color w:val="auto"/>
        </w:rPr>
        <w:t>DISTRIBUTIONS</w:t>
      </w:r>
    </w:p>
    <w:p>
      <w:pPr>
        <w:spacing w:after="0" w:line="169"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DISTRIBUTION OF ARTICLE III ACCOUNTS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All amounts credited to a Participant's account in accordance with Article</w:t>
      </w:r>
    </w:p>
    <w:p>
      <w:pPr>
        <w:spacing w:after="0" w:line="5" w:lineRule="exact"/>
        <w:rPr>
          <w:sz w:val="20"/>
          <w:szCs w:val="20"/>
          <w:color w:val="auto"/>
        </w:rPr>
      </w:pPr>
    </w:p>
    <w:p>
      <w:pPr>
        <w:ind w:left="10" w:right="3359" w:hanging="10"/>
        <w:spacing w:after="0" w:line="237"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Plan, including gains or losses, shall be distributed to or with respect to a Participant only upon termination of the Participant's employment with the Company for any reason including death.</w:t>
      </w:r>
    </w:p>
    <w:p>
      <w:pPr>
        <w:spacing w:after="0" w:line="169" w:lineRule="exact"/>
        <w:rPr>
          <w:sz w:val="20"/>
          <w:szCs w:val="20"/>
          <w:color w:val="auto"/>
        </w:rPr>
      </w:pP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ELECTION OF DISTRIBUTION METHOD - ARTICLE III ACCOUNTS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Each Participant shall elect on a Distribution Election Form the method of distribution of his or her Article III account.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made after the Participant's employment with the</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7" w:right="1440" w:bottom="1440" w:gutter="0" w:footer="0" w:header="0"/>
        </w:sectPr>
      </w:pPr>
    </w:p>
    <w:bookmarkStart w:id="40" w:name="page41"/>
    <w:bookmarkEnd w:id="40"/>
    <w:p>
      <w:pPr>
        <w:ind w:right="3439"/>
        <w:spacing w:after="0" w:line="257" w:lineRule="auto"/>
        <w:rPr>
          <w:sz w:val="20"/>
          <w:szCs w:val="20"/>
          <w:color w:val="auto"/>
        </w:rPr>
      </w:pPr>
      <w:r>
        <w:rPr>
          <w:rFonts w:ascii="Courier New" w:cs="Courier New" w:eastAsia="Courier New" w:hAnsi="Courier New"/>
          <w:sz w:val="14"/>
          <w:szCs w:val="14"/>
          <w:color w:val="auto"/>
        </w:rPr>
        <w:t>Company is terminated for any reason. The Committee may, in its sole discretion, reduce the payment period over which payments would have been made pursuant to a Participant's election. If no election has been made, the Company shall pay the amounts credited to a Participant's Article III account in accordance with the election made by the Participant under The Toro Company Supplemental Retirement Plan, or if no such elections have been made or are in effect, then in a lump sum payment or, at the discretion of the Company, through a single life annuity on the life of the Participant.</w:t>
      </w:r>
    </w:p>
    <w:p>
      <w:pPr>
        <w:spacing w:after="0" w:line="16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DEATH PRIOR TO COMPLETION OF DISTRIBUTIONS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a Participant dies before the full amount of his or her Article III account has been distributed, any remaining amounts shall be distributed to the Participant's Beneficiary by a method designated by the Participant in his or her Distribution Election Form. If a Participant has not designated a Beneficiary or method of distribution, or if no designated Beneficiary is living on the date of distribution, such amounts shall be distributed to the Participant's beneficiary under the Profit Sharing Plan in a lump sum distribution as soon as administratively feasible following the Participant's death.</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DISTRIBUTION OF ARTICLE IV ACCOUNTS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All amounts credited to a Participant's account in accordance with Article IV of the Plan, including gains and losses, shall be distributed to or with respect to a Participant in accordance with this Section and the other provisions of this Article.</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Each Participant shall elect on a Distribution Election Form the method of distribution of his or her Article IV benefit.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elected after the Participant's employment with the Company is terminated for any reason. The Committee may, in its sole discretion, reduce the payment period over which payments would have been made pursuant to a Participant's election. If no election has been made, the Company shall pay the benefit described in Article IV in the form of a life annuity over the life of the Participant.</w:t>
      </w:r>
    </w:p>
    <w:p>
      <w:pPr>
        <w:spacing w:after="0" w:line="16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If a Participant dies before termination of employment or retirement, no benefit is payable under Article IV but a benefit may be payable under Article V if and to the extent that the conditions of that Article are satisfied.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41" w:name="page42"/>
    <w:bookmarkEnd w:id="41"/>
    <w:p>
      <w:pPr>
        <w:ind w:left="340"/>
        <w:spacing w:after="0"/>
        <w:tabs>
          <w:tab w:leader="none" w:pos="7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ELECTION OF DISTRIBUTION METHOD - ARTICLE IV BENEFITS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Each Participant shall elect on a Distribution Election Form the method of distribution of his or her Article IV benefit.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made after the Participant's employment with the Company is terminated for any reason. The Committee may, in its sole discretion, reduce the payment period over which payments would have been made pursuant to a Participant's election. If no election has been made, the Company shall pay the benefit described in Article IV in the form of a life annuity over the life of the Participant.</w:t>
      </w:r>
    </w:p>
    <w:p>
      <w:pPr>
        <w:spacing w:after="0" w:line="16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DEATH BEFORE TERMINATION OF EMPLOYMENT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If a Participant dies before termination of employment or retirement from the Company, no benefit is payable under Article IV but a benefit may be payable under Article V if and to the extent that the conditions of that Article are satisfied.</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DISTRIBUTIONS IN COMMON STOCK OF THE COMPANY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Any distribution under the Plan in the form of Company Stock shall be made in a lump sum if the Participant has elected a lump sum distribution or if a lump sum distribution occurs for any other reason. If the Participant has elected monthly distributions over one or more years, then distributions of Company Stock shall be made annually, during the first calendar quarter of each year over which monthly distributions are scheduled to be made.</w:t>
      </w:r>
    </w:p>
    <w:p>
      <w:pPr>
        <w:spacing w:after="0" w:line="17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DISTRIBUTIONS FOR CERTAIN TAX PURPOSES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If at any time a court or the Internal Revenue Service determines that any amount in a Participant's account or in the Trust is includable in a Participant's gross income and subject to tax, the Company shall make a lump sum distribution to such Participant (but not in an amount greater than the value of the Participant's account at the time of the distribution) of an amount equal to the amount determined to be so includable, and shall debit the Participant's account under the Plan by a like amount, plus the amount of any excise tax under Section 4999 of the Code with respect to the amounts so includable.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42" w:name="page43"/>
    <w:bookmarkEnd w:id="42"/>
    <w:p>
      <w:pPr>
        <w:ind w:left="340"/>
        <w:spacing w:after="0"/>
        <w:rPr>
          <w:sz w:val="20"/>
          <w:szCs w:val="20"/>
          <w:color w:val="auto"/>
        </w:rPr>
      </w:pPr>
      <w:r>
        <w:rPr>
          <w:rFonts w:ascii="Courier New" w:cs="Courier New" w:eastAsia="Courier New" w:hAnsi="Courier New"/>
          <w:sz w:val="15"/>
          <w:szCs w:val="15"/>
          <w:color w:val="auto"/>
        </w:rPr>
        <w:t>VII. ADMINISTRATION OF THE PLAN</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COMPANY AUTHORITY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Plan shall be administered by the Company, which shall have the authority, duty and power to interpret and construe the provisions of the Plan in its sole discretion. The Company shall have the duty and responsibility of maintaining records, making the requisite calculations and disbursing the payments hereunder. The Company's interpretations, determinations, regulations and calculations shall be final and binding on all persons and parties concerned.</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RELIANCE</w:t>
      </w:r>
    </w:p>
    <w:p>
      <w:pPr>
        <w:spacing w:after="0" w:line="17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BENEFIT STATEMENTS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shall furnish individual statements of accrued benefits to each Participant, or current Beneficiary or Surviving Spouse at least annually, in such form as determined by the Company</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7.4</w:t>
        <w:tab/>
        <w:t>CLAIMS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employee benefit plan procedures in this section are intended to comply with Section 503 of ERISA and Section 2560.503-1 of the Department of Labor Regulations and pertain to claims by Participants and Beneficiaries ("claimants") for Plan benefits, consideration of such claims, and review of claim denials. For purposes of these procedures, a "claim" is a request for a benefit by a Participant or Beneficiary under the Plan. A claim is filed when the requirements of these procedures have been met.</w:t>
      </w:r>
    </w:p>
    <w:p>
      <w:pPr>
        <w:spacing w:after="0" w:line="177" w:lineRule="exact"/>
        <w:rPr>
          <w:sz w:val="20"/>
          <w:szCs w:val="20"/>
          <w:color w:val="auto"/>
        </w:rPr>
      </w:pPr>
    </w:p>
    <w:p>
      <w:pPr>
        <w:ind w:right="3179" w:firstLine="784"/>
        <w:spacing w:after="0" w:line="238" w:lineRule="auto"/>
        <w:tabs>
          <w:tab w:leader="none" w:pos="123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claim is wholly or partially denied, notice of the decision, meeting the requirements of subsection (b) of these procedures, shall be furnished to the claimant within a reasonable period of time after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43" w:name="page44"/>
    <w:bookmarkEnd w:id="43"/>
    <w:p>
      <w:pPr>
        <w:ind w:right="3539"/>
        <w:spacing w:after="0" w:line="238" w:lineRule="auto"/>
        <w:rPr>
          <w:sz w:val="20"/>
          <w:szCs w:val="20"/>
          <w:color w:val="auto"/>
        </w:rPr>
      </w:pPr>
      <w:r>
        <w:rPr>
          <w:rFonts w:ascii="Courier New" w:cs="Courier New" w:eastAsia="Courier New" w:hAnsi="Courier New"/>
          <w:sz w:val="15"/>
          <w:szCs w:val="15"/>
          <w:color w:val="auto"/>
        </w:rPr>
        <w:t>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177" w:lineRule="exact"/>
        <w:rPr>
          <w:sz w:val="20"/>
          <w:szCs w:val="20"/>
          <w:color w:val="auto"/>
        </w:rPr>
      </w:pPr>
    </w:p>
    <w:p>
      <w:pPr>
        <w:ind w:right="3259" w:firstLine="784"/>
        <w:spacing w:after="0" w:line="237" w:lineRule="auto"/>
        <w:tabs>
          <w:tab w:leader="none" w:pos="1234" w:val="left"/>
        </w:tabs>
        <w:numPr>
          <w:ilvl w:val="3"/>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every claimant who is denied a claim for benefits written notice setting forth in a manner calculated to be understood by the claimant:</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4" w:lineRule="exact"/>
        <w:rPr>
          <w:rFonts w:ascii="Courier New" w:cs="Courier New" w:eastAsia="Courier New" w:hAnsi="Courier New"/>
          <w:sz w:val="15"/>
          <w:szCs w:val="15"/>
          <w:color w:val="auto"/>
        </w:rPr>
      </w:pPr>
    </w:p>
    <w:p>
      <w:pPr>
        <w:ind w:left="780" w:right="3259" w:hanging="437"/>
        <w:spacing w:after="0" w:line="235" w:lineRule="auto"/>
        <w:tabs>
          <w:tab w:leader="none" w:pos="78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or Agreement on which the denial is based;</w:t>
      </w:r>
    </w:p>
    <w:p>
      <w:pPr>
        <w:spacing w:after="0" w:line="175" w:lineRule="exact"/>
        <w:rPr>
          <w:rFonts w:ascii="Courier New" w:cs="Courier New" w:eastAsia="Courier New" w:hAnsi="Courier New"/>
          <w:sz w:val="15"/>
          <w:szCs w:val="15"/>
          <w:color w:val="auto"/>
        </w:rPr>
      </w:pPr>
    </w:p>
    <w:p>
      <w:pPr>
        <w:ind w:left="780" w:right="3439" w:hanging="525"/>
        <w:spacing w:after="0" w:line="237" w:lineRule="auto"/>
        <w:tabs>
          <w:tab w:leader="none" w:pos="7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174" w:lineRule="exact"/>
        <w:rPr>
          <w:rFonts w:ascii="Courier New" w:cs="Courier New" w:eastAsia="Courier New" w:hAnsi="Courier New"/>
          <w:sz w:val="15"/>
          <w:szCs w:val="15"/>
          <w:color w:val="auto"/>
        </w:rPr>
      </w:pPr>
    </w:p>
    <w:p>
      <w:pPr>
        <w:ind w:left="780" w:right="3259" w:hanging="437"/>
        <w:spacing w:after="0" w:line="265" w:lineRule="auto"/>
        <w:tabs>
          <w:tab w:leader="none" w:pos="7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158" w:lineRule="exact"/>
        <w:rPr>
          <w:rFonts w:ascii="Courier New" w:cs="Courier New" w:eastAsia="Courier New" w:hAnsi="Courier New"/>
          <w:sz w:val="14"/>
          <w:szCs w:val="14"/>
          <w:color w:val="auto"/>
        </w:rPr>
      </w:pPr>
    </w:p>
    <w:p>
      <w:pPr>
        <w:ind w:right="3259" w:firstLine="784"/>
        <w:spacing w:after="0" w:line="258" w:lineRule="auto"/>
        <w:tabs>
          <w:tab w:leader="none" w:pos="1234" w:val="left"/>
        </w:tabs>
        <w:numPr>
          <w:ilvl w:val="3"/>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58" w:lineRule="exact"/>
        <w:rPr>
          <w:rFonts w:ascii="Courier New" w:cs="Courier New" w:eastAsia="Courier New" w:hAnsi="Courier New"/>
          <w:sz w:val="14"/>
          <w:szCs w:val="14"/>
          <w:color w:val="auto"/>
        </w:rPr>
      </w:pPr>
    </w:p>
    <w:p>
      <w:pPr>
        <w:ind w:left="780" w:hanging="437"/>
        <w:spacing w:after="0"/>
        <w:tabs>
          <w:tab w:leader="none" w:pos="78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review upon written application to the Company;</w:t>
      </w:r>
    </w:p>
    <w:p>
      <w:pPr>
        <w:spacing w:after="0" w:line="169"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69" w:lineRule="exact"/>
        <w:rPr>
          <w:rFonts w:ascii="Courier New" w:cs="Courier New" w:eastAsia="Courier New" w:hAnsi="Courier New"/>
          <w:sz w:val="15"/>
          <w:szCs w:val="15"/>
          <w:color w:val="auto"/>
        </w:rPr>
      </w:pPr>
    </w:p>
    <w:p>
      <w:pPr>
        <w:ind w:left="780" w:hanging="613"/>
        <w:spacing w:after="0"/>
        <w:tabs>
          <w:tab w:leader="none" w:pos="7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 claimant must file such a request for review of a denied claim within a reasonable period of time, not to exceed 60 days, after receipt by the claimant of written notification of denial of a claim.</w:t>
      </w:r>
    </w:p>
    <w:p>
      <w:pPr>
        <w:spacing w:after="0" w:line="175" w:lineRule="exact"/>
        <w:rPr>
          <w:sz w:val="20"/>
          <w:szCs w:val="20"/>
          <w:color w:val="auto"/>
        </w:rPr>
      </w:pPr>
    </w:p>
    <w:p>
      <w:pPr>
        <w:ind w:right="3539" w:firstLine="784"/>
        <w:spacing w:after="0" w:line="237" w:lineRule="auto"/>
        <w:tabs>
          <w:tab w:leader="none" w:pos="123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by the Company shall be made promptly and shall not ordinarily be made later than 60 days after the receipt by the Company of a request for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44" w:name="page45"/>
    <w:bookmarkEnd w:id="44"/>
    <w:p>
      <w:pPr>
        <w:ind w:right="3439"/>
        <w:spacing w:after="0" w:line="238" w:lineRule="auto"/>
        <w:rPr>
          <w:sz w:val="20"/>
          <w:szCs w:val="20"/>
          <w:color w:val="auto"/>
        </w:rPr>
      </w:pPr>
      <w:r>
        <w:rPr>
          <w:rFonts w:ascii="Courier New" w:cs="Courier New" w:eastAsia="Courier New" w:hAnsi="Courier New"/>
          <w:sz w:val="15"/>
          <w:szCs w:val="15"/>
          <w:color w:val="auto"/>
        </w:rPr>
        <w:t>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77" w:lineRule="exact"/>
        <w:rPr>
          <w:sz w:val="20"/>
          <w:szCs w:val="20"/>
          <w:color w:val="auto"/>
        </w:rPr>
      </w:pPr>
    </w:p>
    <w:p>
      <w:pPr>
        <w:ind w:left="340"/>
        <w:spacing w:after="0"/>
        <w:tabs>
          <w:tab w:leader="none" w:pos="120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AMENDMENT OR TERMINATION</w:t>
      </w:r>
    </w:p>
    <w:p>
      <w:pPr>
        <w:spacing w:after="0" w:line="175"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The Company intends the Plan to be permanent but reserves the right to amend or terminate the Plan at any time.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their Beneficiaries.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45" w:name="page46"/>
    <w:bookmarkEnd w:id="45"/>
    <w:p>
      <w:pPr>
        <w:ind w:left="340"/>
        <w:spacing w:after="0"/>
        <w:tabs>
          <w:tab w:leader="none" w:pos="76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4"/>
          <w:szCs w:val="14"/>
          <w:color w:val="auto"/>
        </w:rPr>
        <w:t>GENERAL PROVISIONS</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THE TRUST</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Company has established a Trust which may be used to pay benefits arising under this Plan and costs, charges and expenses relating thereto. To the extent that the funds held in the Trust are insufficient to pay such benefits, costs, charges and expenses, and except as provided in Section 3.5 relating to investment option elections, the Company shall pay them.</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NO ALIENATION</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Neither the benefits payable hereunder nor the right to receive future benefits under the Plan may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UNFUNDED PLAN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Plan at all times shall be considered entirely unfunded both for tax purposes and for purposes of Title I of ERISA. Funds invested under this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three business days following the Company's becoming aware thereof.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 the right of any general unsecured creditor of the Company. The Plan constitutes a mere promise by the Company to make payments to the Participants, Surviving Spouses, or Beneficiaries in the future.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46" w:name="page47"/>
    <w:bookmarkEnd w:id="46"/>
    <w:p>
      <w:pPr>
        <w:ind w:left="340"/>
        <w:spacing w:after="0"/>
        <w:tabs>
          <w:tab w:leader="none" w:pos="7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NO GUARANTY</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Nothing contained in the Plan shall constitute a guaranty by the Company or any other person or entity that any funds in the Trust or the assets of the Company will be sufficient to pay any benefit hereunder.</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NO RIGHT OF EMPLOYMENT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SMALLER ACCOUNTS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If the value or actuarial value of any benefit payable to or on behalf of the Participant under the Plan is $25,000 or less, the Company shall have the discretion to pay such value or actuarial value to the Participant, Beneficiary, or Surviving Spouse in a single lump sum in lieu of any further benefit payments under the Plan.</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INCOMPETENCY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6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CORPORATE CHANGES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47" w:name="page48"/>
    <w:bookmarkEnd w:id="47"/>
    <w:p>
      <w:pPr>
        <w:ind w:left="340"/>
        <w:spacing w:after="0"/>
        <w:tabs>
          <w:tab w:leader="none" w:pos="76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ADDRESSES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9.10 LIMITATIONS ON LIABILITY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9.11 UNFORSEEABLE EMERGENCIES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event a Participant incurs an unforeseeable emergency, the Participant may make a written request to the Committee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provision shall be interpreted in a manner consistent with Sections 1.457-2(h)(4) and 1.457-2(h)(5) of the Treasury Regulations.</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9.12 DISABILITY</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 Participant who becomes permanently disabled may make a written request to the Committee for a withdrawal of the accrued benefits in his or her account under Article IV. For purposes of this Section, a Participant becomes "permanently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48" w:name="page49"/>
    <w:bookmarkEnd w:id="48"/>
    <w:p>
      <w:pPr>
        <w:ind w:right="3439"/>
        <w:spacing w:after="0" w:line="238" w:lineRule="auto"/>
        <w:rPr>
          <w:sz w:val="20"/>
          <w:szCs w:val="20"/>
          <w:color w:val="auto"/>
        </w:rPr>
      </w:pPr>
      <w:r>
        <w:rPr>
          <w:rFonts w:ascii="Courier New" w:cs="Courier New" w:eastAsia="Courier New" w:hAnsi="Courier New"/>
          <w:sz w:val="15"/>
          <w:szCs w:val="15"/>
          <w:color w:val="auto"/>
        </w:rPr>
        <w:t>disabled" if he or she qualifies for long-term disability benefits under the Company's long-term disability plan. If the Participant does not participate in such a plan or the Company does not offer such a plan, the Committee in its sole discretion shall determine whether a Participant is permanently disabled. Permanent disability does not include any period of short-term disability under any Company plan providing for short-term disability benefits. If a withdrawal of accrued benefits under this Section is approved by the Committee, the maximum amount payable shall be determined as provided in Section 4.2.</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9.13 TRANSFERS TO THE TRUST</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On the occurrence of a Change of Control or if a Participant elects to direct the investment of amounts credited to his or her account pursuant to Section 3.5,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under this Plan at any time in the sole discretion of the Company. If a transfer of cash or property occurs, the amounts transferred with respect to the benefits payable under Articles IV and V shall be, for each Participant, Beneficiary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 (30) 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Section 3.5.</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9.14 INSPECTION</w:t>
      </w:r>
    </w:p>
    <w:p>
      <w:pPr>
        <w:spacing w:after="0" w:line="175" w:lineRule="exact"/>
        <w:rPr>
          <w:sz w:val="20"/>
          <w:szCs w:val="20"/>
          <w:color w:val="auto"/>
        </w:rPr>
      </w:pPr>
    </w:p>
    <w:p>
      <w:pPr>
        <w:ind w:right="3439" w:firstLine="353"/>
        <w:spacing w:after="0" w:line="260" w:lineRule="auto"/>
        <w:rPr>
          <w:sz w:val="20"/>
          <w:szCs w:val="20"/>
          <w:color w:val="auto"/>
        </w:rPr>
      </w:pPr>
      <w:r>
        <w:rPr>
          <w:rFonts w:ascii="Courier New" w:cs="Courier New" w:eastAsia="Courier New" w:hAnsi="Courier New"/>
          <w:sz w:val="14"/>
          <w:szCs w:val="14"/>
          <w:color w:val="auto"/>
        </w:rPr>
        <w:t>Each Participant shall receive a copy of the Plan, and the Company will make available for inspection by any Participant or Beneficiary a copy of any rules and regulations that are used by the Company in administering the Plan.</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9.15 GOVERNING LAW</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To the extent that it is not governed by United States federal law, the Plan shall be construed, administered and governed in all respects under and by the applicable laws of the State of Delaware, without giving effect to principles of conflicts of laws.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Dated this 6th day of April, 1999.</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K. B. Melrose</w:t>
      </w:r>
    </w:p>
    <w:p>
      <w:pPr>
        <w:spacing w:after="0" w:line="169"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5"/>
          <w:szCs w:val="15"/>
          <w:color w:val="auto"/>
        </w:rPr>
        <w:t>Its Chairman &amp; Chief Executive Officer</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879"/>
          </w:cols>
          <w:pgMar w:left="580" w:top="622" w:right="1440" w:bottom="1440" w:gutter="0" w:footer="0" w:header="0"/>
        </w:sectPr>
      </w:pPr>
    </w:p>
    <w:bookmarkStart w:id="50" w:name="page51"/>
    <w:bookmarkEnd w:id="50"/>
    <w:p>
      <w:pPr>
        <w:jc w:val="center"/>
        <w:ind w:right="4039"/>
        <w:spacing w:after="0"/>
        <w:rPr>
          <w:sz w:val="20"/>
          <w:szCs w:val="20"/>
          <w:color w:val="auto"/>
        </w:rPr>
      </w:pPr>
      <w:r>
        <w:rPr>
          <w:rFonts w:ascii="Courier New" w:cs="Courier New" w:eastAsia="Courier New" w:hAnsi="Courier New"/>
          <w:sz w:val="15"/>
          <w:szCs w:val="15"/>
          <w:color w:val="auto"/>
        </w:rPr>
        <w:t>THE TORO COMPANY</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SUPPLEMENTAL RETIREMENT PLAN</w:t>
      </w:r>
    </w:p>
    <w:p>
      <w:pPr>
        <w:spacing w:after="0" w:line="34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JULY 27, 1998 RESTATEMENT</w:t>
      </w:r>
    </w:p>
    <w:p>
      <w:pPr>
        <w:sectPr>
          <w:pgSz w:w="11900" w:h="16838" w:orient="portrait"/>
          <w:cols w:equalWidth="0" w:num="1">
            <w:col w:w="9019"/>
          </w:cols>
          <w:pgMar w:left="1440" w:top="983" w:right="1440" w:bottom="1440" w:gutter="0" w:footer="0" w:header="0"/>
        </w:sectPr>
      </w:pPr>
    </w:p>
    <w:bookmarkStart w:id="51" w:name="page52"/>
    <w:bookmarkEnd w:id="51"/>
    <w:p>
      <w:pPr>
        <w:ind w:left="3340"/>
        <w:spacing w:after="0"/>
        <w:rPr>
          <w:sz w:val="20"/>
          <w:szCs w:val="20"/>
          <w:color w:val="auto"/>
        </w:rPr>
      </w:pPr>
      <w:r>
        <w:rPr>
          <w:rFonts w:ascii="Courier New" w:cs="Courier New" w:eastAsia="Courier New" w:hAnsi="Courier New"/>
          <w:sz w:val="15"/>
          <w:szCs w:val="15"/>
          <w:color w:val="auto"/>
        </w:rPr>
        <w:t>CONTENTS</w:t>
      </w:r>
    </w:p>
    <w:p>
      <w:pPr>
        <w:spacing w:after="0" w:line="34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DEFINITIONS . . . . . . . . . . . . . . . . . . . . . . . . . . . . .3</w:t>
      </w:r>
    </w:p>
    <w:p>
      <w:pPr>
        <w:spacing w:after="0" w:line="11" w:lineRule="exact"/>
        <w:rPr>
          <w:sz w:val="20"/>
          <w:szCs w:val="20"/>
          <w:color w:val="auto"/>
        </w:rPr>
      </w:pPr>
    </w:p>
    <w:p>
      <w:pPr>
        <w:jc w:val="both"/>
        <w:ind w:right="3439"/>
        <w:spacing w:after="0" w:line="235" w:lineRule="auto"/>
        <w:rPr>
          <w:sz w:val="20"/>
          <w:szCs w:val="20"/>
          <w:color w:val="auto"/>
        </w:rPr>
      </w:pPr>
      <w:r>
        <w:rPr>
          <w:rFonts w:ascii="Courier New" w:cs="Courier New" w:eastAsia="Courier New" w:hAnsi="Courier New"/>
          <w:sz w:val="15"/>
          <w:szCs w:val="15"/>
          <w:color w:val="auto"/>
        </w:rPr>
        <w:t>II. ELIGIBILITY AND PARTICIPATION . . . . . . . . . . . . . . . . . . . .5 III. DEFERRED COMPENSATION . . . . . . . . . . . . . . . . . . . . . . . .5</w:t>
      </w:r>
    </w:p>
    <w:p>
      <w:pPr>
        <w:spacing w:after="0" w:line="1" w:lineRule="exact"/>
        <w:rPr>
          <w:sz w:val="20"/>
          <w:szCs w:val="20"/>
          <w:color w:val="auto"/>
        </w:rPr>
      </w:pP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Deferral Election. . . . . . . . . . . . . . . . . . .5</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Accounts . . . . . . . . . . . . . . . . . . . . . . .6</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Company Credits. . . . . . . . . . . . . . . . . . . .6</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Deferral of Certain 1995 Bonus Amounts . . . . . . . .6</w:t>
      </w:r>
    </w:p>
    <w:p>
      <w:pPr>
        <w:spacing w:after="0" w:line="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IV.</w:t>
      </w:r>
      <w:r>
        <w:rPr>
          <w:sz w:val="20"/>
          <w:szCs w:val="20"/>
          <w:color w:val="auto"/>
        </w:rPr>
        <w:tab/>
      </w:r>
      <w:r>
        <w:rPr>
          <w:rFonts w:ascii="Courier New" w:cs="Courier New" w:eastAsia="Courier New" w:hAnsi="Courier New"/>
          <w:sz w:val="14"/>
          <w:szCs w:val="14"/>
          <w:color w:val="auto"/>
        </w:rPr>
        <w:t>EARNINGS ON PARTICIPANT ACCOUNTS. . . . . . . . . . . . . . . . . . .6</w:t>
      </w:r>
    </w:p>
    <w:p>
      <w:pPr>
        <w:spacing w:after="0" w:line="5" w:lineRule="exact"/>
        <w:rPr>
          <w:sz w:val="20"/>
          <w:szCs w:val="20"/>
          <w:color w:val="auto"/>
        </w:rPr>
      </w:pP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Earnings Credit. . . . . . . . . . . . . . . . . . . .6</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Optional Earnings Credit . . . . . . . . . . . . . . .7</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Interest in Assets. . . . . . . . . . . . . . . . .7</w:t>
      </w:r>
    </w:p>
    <w:p>
      <w:pPr>
        <w:spacing w:after="0"/>
        <w:tabs>
          <w:tab w:leader="none" w:pos="580" w:val="left"/>
          <w:tab w:leader="none" w:pos="200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4"/>
          <w:szCs w:val="14"/>
          <w:color w:val="auto"/>
        </w:rPr>
        <w:t>. . . . . . . . . . . . . . . . . . . . . . . . . . .8</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Distribution Elections . . . . . . . . . . . . . . . .8</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Form of Election; Absence of a Valid Election. . . . .8</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Early Distributions. . . . . . . . . . . . . . . . . .8</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Unforeseeable Emergency. . . . . . . . . . . . . . . .9</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Accelerated Distributions. . . . . . . . . . . . . . .9</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Distributions for Certain Tax Purposes . . . . . . . .9</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Timing of Distributions. . . . . . . . . . . . . . . .9</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Status as General Creditor; Unfunded Plan. . . . . . 10</w:t>
      </w:r>
    </w:p>
    <w:p>
      <w:pPr>
        <w:spacing w:after="0" w:line="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VI.</w:t>
      </w:r>
      <w:r>
        <w:rPr>
          <w:sz w:val="20"/>
          <w:szCs w:val="20"/>
          <w:color w:val="auto"/>
        </w:rPr>
        <w:tab/>
      </w:r>
      <w:r>
        <w:rPr>
          <w:rFonts w:ascii="Courier New" w:cs="Courier New" w:eastAsia="Courier New" w:hAnsi="Courier New"/>
          <w:sz w:val="14"/>
          <w:szCs w:val="14"/>
          <w:color w:val="auto"/>
        </w:rPr>
        <w:t>ADMINISTRATION OF THE PLAN. . . . . . . . . . . . . . . . . . . . . 10</w:t>
      </w:r>
    </w:p>
    <w:p>
      <w:pPr>
        <w:spacing w:after="0" w:line="5" w:lineRule="exact"/>
        <w:rPr>
          <w:sz w:val="20"/>
          <w:szCs w:val="20"/>
          <w:color w:val="auto"/>
        </w:rPr>
      </w:pP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Company's Authority. . . . . . . . . . . . . . . . . 10</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Reliance . . . . . . . . . . . . . . . . . . . . . . 10</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Benefit Statements . . . . . . . . . . . . . . . . . 10</w:t>
      </w:r>
    </w:p>
    <w:p>
      <w:pPr>
        <w:spacing w:after="0" w:line="4" w:lineRule="exact"/>
        <w:rPr>
          <w:sz w:val="20"/>
          <w:szCs w:val="20"/>
          <w:color w:val="auto"/>
        </w:rPr>
      </w:pPr>
    </w:p>
    <w:p>
      <w:pPr>
        <w:jc w:val="both"/>
        <w:ind w:right="3439" w:firstLine="1322"/>
        <w:spacing w:after="0" w:line="256" w:lineRule="auto"/>
        <w:rPr>
          <w:sz w:val="20"/>
          <w:szCs w:val="20"/>
          <w:color w:val="auto"/>
        </w:rPr>
      </w:pPr>
      <w:r>
        <w:rPr>
          <w:rFonts w:ascii="Courier New" w:cs="Courier New" w:eastAsia="Courier New" w:hAnsi="Courier New"/>
          <w:sz w:val="14"/>
          <w:szCs w:val="14"/>
          <w:color w:val="auto"/>
        </w:rPr>
        <w:t>6.4 Claims . . . . . . . . . . . . . . . . . . . . . . . 11 VII. AMENDMENT OR TERMINATION. . . . . . . . . . . . . . . . . . . . . . 12 VIII. GENERAL PROVISIONS. . . . . . . . . . . . . . . . . . . . . . . . . 13</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Trust. . . . . . . . . . . . . . . . . . . . . . . . 13</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No Alienation. . . . . . . . . . . . . . . . . . . . 13</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Unfunded Plan. . . . . . . . . . . . . . . . . . . . 13</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No Guaranty. . . . . . . . . . . . . . . . . . . . . 14</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No Right of Employment . . . . . . . . . . . . . . . 14</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Incompetency . . . . . . . . . . . . . . . . . . . . 14</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Corporate Changes. . . . . . . . . . . . . . . . . . 14</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Addresses. . . . . . . . . . . . . . . . . . . . . . 14</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Limitations on Liability . . . . . . . . . . . . . . 15</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Transfers to the Trust . . . . . . . . . . . . . . . 15</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Inspection . . . . . . . . . . . . . . . . . . . . . 15</w:t>
      </w:r>
    </w:p>
    <w:p>
      <w:pPr>
        <w:jc w:val="right"/>
        <w:ind w:right="3439"/>
        <w:spacing w:after="0"/>
        <w:tabs>
          <w:tab w:leader="none" w:pos="484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Governing Law. . . . . . . . . . . . . . . . . . . . 16</w:t>
      </w:r>
    </w:p>
    <w:p>
      <w:pPr>
        <w:sectPr>
          <w:pgSz w:w="11900" w:h="16838" w:orient="portrait"/>
          <w:cols w:equalWidth="0" w:num="1">
            <w:col w:w="10219"/>
          </w:cols>
          <w:pgMar w:left="240" w:top="791" w:right="1440" w:bottom="1440" w:gutter="0" w:footer="0" w:header="0"/>
        </w:sectPr>
      </w:pPr>
    </w:p>
    <w:bookmarkStart w:id="52" w:name="page53"/>
    <w:bookmarkEnd w:id="52"/>
    <w:p>
      <w:pPr>
        <w:jc w:val="center"/>
        <w:ind w:right="2839"/>
        <w:spacing w:after="0"/>
        <w:rPr>
          <w:sz w:val="20"/>
          <w:szCs w:val="20"/>
          <w:color w:val="auto"/>
        </w:rPr>
      </w:pPr>
      <w:r>
        <w:rPr>
          <w:rFonts w:ascii="Courier New" w:cs="Courier New" w:eastAsia="Courier New" w:hAnsi="Courier New"/>
          <w:sz w:val="15"/>
          <w:szCs w:val="15"/>
          <w:color w:val="auto"/>
        </w:rPr>
        <w:t>THE TORO COMPANY</w:t>
      </w:r>
    </w:p>
    <w:p>
      <w:pPr>
        <w:jc w:val="center"/>
        <w:ind w:right="2839"/>
        <w:spacing w:after="0"/>
        <w:rPr>
          <w:sz w:val="20"/>
          <w:szCs w:val="20"/>
          <w:color w:val="auto"/>
        </w:rPr>
      </w:pPr>
      <w:r>
        <w:rPr>
          <w:rFonts w:ascii="Courier New" w:cs="Courier New" w:eastAsia="Courier New" w:hAnsi="Courier New"/>
          <w:sz w:val="15"/>
          <w:szCs w:val="15"/>
          <w:color w:val="auto"/>
        </w:rPr>
        <w:t>SUPPLEMENTAL RETIREMENT PLAN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JULY 27, 1998 RESTATEMENT</w:t>
      </w:r>
    </w:p>
    <w:p>
      <w:pPr>
        <w:spacing w:after="0" w:line="344"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Toro Company hereby amends and restates its Supplemental Retirement Plan, most recently amended and restated effective as of January 1, 1996, which has been maintained by The Toro Company primarily for the purpose of providing deferred compensation for a select group of management or highly compensated employees. This amendment and restatement is effective as of July 27, 1998.</w:t>
      </w:r>
    </w:p>
    <w:p>
      <w:pPr>
        <w:spacing w:after="0" w:line="159" w:lineRule="exact"/>
        <w:rPr>
          <w:sz w:val="20"/>
          <w:szCs w:val="20"/>
          <w:color w:val="auto"/>
        </w:rPr>
      </w:pPr>
    </w:p>
    <w:p>
      <w:pPr>
        <w:ind w:left="780" w:hanging="437"/>
        <w:spacing w:after="0"/>
        <w:tabs>
          <w:tab w:leader="none" w:pos="7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699" w:firstLine="353"/>
        <w:spacing w:after="0" w:line="265" w:lineRule="auto"/>
        <w:rPr>
          <w:sz w:val="20"/>
          <w:szCs w:val="20"/>
          <w:color w:val="auto"/>
        </w:rPr>
      </w:pPr>
      <w:r>
        <w:rPr>
          <w:rFonts w:ascii="Courier New" w:cs="Courier New" w:eastAsia="Courier New" w:hAnsi="Courier New"/>
          <w:sz w:val="14"/>
          <w:szCs w:val="14"/>
          <w:color w:val="auto"/>
        </w:rPr>
        <w:t>When used in this Plan document, the following terms have the meanings indicated unless a different meaning is plainly required by the context.</w:t>
      </w:r>
    </w:p>
    <w:p>
      <w:pPr>
        <w:spacing w:after="0" w:line="158"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"ASSISTANT SECRETARY" means the person serving as Assistant Corporate Secretary of the Company.</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"BENEFICIARY" means the person or persons selected by the Participant to receive the benefits provided under this Plan in the event of the Participant's death.</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For purposes of this definition, "Person" means any individual, corporation, partnership, trust, other entity or group (within the meaning of Section 13(d)(3) or 14(d)(2) of the Exchange Act)(excluding the Company, a Subsidiary of the Company, any employee benefit plan of the Company or any Subsidiary or any entity holding</w:t>
      </w:r>
    </w:p>
    <w:p>
      <w:pPr>
        <w:sectPr>
          <w:pgSz w:w="11900" w:h="16838" w:orient="portrait"/>
          <w:cols w:equalWidth="0" w:num="1">
            <w:col w:w="10219"/>
          </w:cols>
          <w:pgMar w:left="240" w:top="622" w:right="1440" w:bottom="1440" w:gutter="0" w:footer="0" w:header="0"/>
        </w:sectPr>
      </w:pPr>
    </w:p>
    <w:bookmarkStart w:id="53" w:name="page54"/>
    <w:bookmarkEnd w:id="53"/>
    <w:p>
      <w:pPr>
        <w:ind w:left="10" w:right="3539"/>
        <w:spacing w:after="0" w:line="238" w:lineRule="auto"/>
        <w:rPr>
          <w:sz w:val="20"/>
          <w:szCs w:val="20"/>
          <w:color w:val="auto"/>
        </w:rPr>
      </w:pPr>
      <w:r>
        <w:rPr>
          <w:rFonts w:ascii="Courier New" w:cs="Courier New" w:eastAsia="Courier New" w:hAnsi="Courier New"/>
          <w:sz w:val="15"/>
          <w:szCs w:val="15"/>
          <w:color w:val="auto"/>
        </w:rPr>
        <w:t>shares of Common Stock for or pursuant to the terms of any such plan). For purposes of this definition,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5"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"COMMITTEE" means the Compensation Committee of the Board of Directors of the Company, or any successor committee.</w:t>
      </w:r>
    </w:p>
    <w:p>
      <w:pPr>
        <w:spacing w:after="0" w:line="176"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"COMMON STOCK" means the Company's common stock, par value $1.00 per share, and related preferred share purchase rights.</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"COMPANY" means The Toro Company, a Delaware corporation.</w:t>
      </w:r>
    </w:p>
    <w:p>
      <w:pPr>
        <w:spacing w:after="0" w:line="175"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"COMPENSATION" means all amounts received by a Participant from the Company that are subject to federal income tax withholding: provided, that</w:t>
      </w:r>
    </w:p>
    <w:p>
      <w:pPr>
        <w:spacing w:after="0" w:line="6" w:lineRule="exact"/>
        <w:rPr>
          <w:sz w:val="20"/>
          <w:szCs w:val="20"/>
          <w:color w:val="auto"/>
        </w:rPr>
      </w:pPr>
    </w:p>
    <w:p>
      <w:pPr>
        <w:ind w:left="10" w:right="3179" w:hanging="10"/>
        <w:spacing w:after="0" w:line="237"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shall not include any amount received by an employee on account of the grant or exercise of an option to purchase Common Stock of the Company, and (ii) Compensation shall include an amount equal to any reductions in a Participant's gross income as a result of salary reductions under Sections 125 or 401(k) or 402(a)(8) of the Code.</w:t>
      </w:r>
    </w:p>
    <w:p>
      <w:pPr>
        <w:spacing w:after="0" w:line="178" w:lineRule="exact"/>
        <w:rPr>
          <w:sz w:val="20"/>
          <w:szCs w:val="20"/>
          <w:color w:val="auto"/>
        </w:rPr>
      </w:pPr>
    </w:p>
    <w:p>
      <w:pPr>
        <w:ind w:left="10" w:right="3979" w:firstLine="353"/>
        <w:spacing w:after="0" w:line="235" w:lineRule="auto"/>
        <w:rPr>
          <w:sz w:val="20"/>
          <w:szCs w:val="20"/>
          <w:color w:val="auto"/>
        </w:rPr>
      </w:pPr>
      <w:r>
        <w:rPr>
          <w:rFonts w:ascii="Courier New" w:cs="Courier New" w:eastAsia="Courier New" w:hAnsi="Courier New"/>
          <w:sz w:val="15"/>
          <w:szCs w:val="15"/>
          <w:color w:val="auto"/>
        </w:rPr>
        <w:t>"DIRECTOR" means the person serving as Director of Compensation and Benefits of the Company.</w:t>
      </w:r>
    </w:p>
    <w:p>
      <w:pPr>
        <w:spacing w:after="0" w:line="176"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"ELIGIBILITY SERVICE" means eligibility service as defined in the Profit Sharing Plan.</w:t>
      </w:r>
    </w:p>
    <w:p>
      <w:pPr>
        <w:spacing w:after="0" w:line="176" w:lineRule="exact"/>
        <w:rPr>
          <w:sz w:val="20"/>
          <w:szCs w:val="20"/>
          <w:color w:val="auto"/>
        </w:rPr>
      </w:pPr>
    </w:p>
    <w:p>
      <w:pPr>
        <w:ind w:left="10" w:right="3799" w:firstLine="353"/>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6" w:lineRule="exact"/>
        <w:rPr>
          <w:sz w:val="20"/>
          <w:szCs w:val="20"/>
          <w:color w:val="auto"/>
        </w:rPr>
      </w:pPr>
    </w:p>
    <w:p>
      <w:pPr>
        <w:ind w:left="10" w:right="3879" w:firstLine="353"/>
        <w:spacing w:after="0" w:line="235" w:lineRule="auto"/>
        <w:rPr>
          <w:sz w:val="20"/>
          <w:szCs w:val="20"/>
          <w:color w:val="auto"/>
        </w:rPr>
      </w:pPr>
      <w:r>
        <w:rPr>
          <w:rFonts w:ascii="Courier New" w:cs="Courier New" w:eastAsia="Courier New" w:hAnsi="Courier New"/>
          <w:sz w:val="15"/>
          <w:szCs w:val="15"/>
          <w:color w:val="auto"/>
        </w:rPr>
        <w:t>"PARTICIPANT" means an eligible employee who has executed a Deferred Compensation Agreement.</w:t>
      </w:r>
    </w:p>
    <w:p>
      <w:pPr>
        <w:spacing w:after="0" w:line="176"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"PLAN" means this Supplemental Retirement Plan, including any amendments thereto.</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7" w:right="1440" w:bottom="1440" w:gutter="0" w:footer="0" w:header="0"/>
        </w:sectPr>
      </w:pPr>
    </w:p>
    <w:bookmarkStart w:id="54" w:name="page55"/>
    <w:bookmarkEnd w:id="54"/>
    <w:p>
      <w:pPr>
        <w:ind w:right="3179" w:firstLine="353"/>
        <w:spacing w:after="0" w:line="237" w:lineRule="auto"/>
        <w:rPr>
          <w:sz w:val="20"/>
          <w:szCs w:val="20"/>
          <w:color w:val="auto"/>
        </w:rPr>
      </w:pPr>
      <w:r>
        <w:rPr>
          <w:rFonts w:ascii="Courier New" w:cs="Courier New" w:eastAsia="Courier New" w:hAnsi="Courier New"/>
          <w:sz w:val="15"/>
          <w:szCs w:val="15"/>
          <w:color w:val="auto"/>
        </w:rPr>
        <w:t>"PROFIT SHARING PLAN" means The Toro Company Investment and Savings Plan (the successor of the Profit Sharing Plan for Office Employees) or any successor or replacement plan.</w:t>
      </w:r>
    </w:p>
    <w:p>
      <w:pPr>
        <w:spacing w:after="0" w:line="175" w:lineRule="exact"/>
        <w:rPr>
          <w:sz w:val="20"/>
          <w:szCs w:val="20"/>
          <w:color w:val="auto"/>
        </w:rPr>
      </w:pPr>
    </w:p>
    <w:p>
      <w:pPr>
        <w:ind w:right="3799" w:firstLine="353"/>
        <w:spacing w:after="0" w:line="237" w:lineRule="auto"/>
        <w:rPr>
          <w:sz w:val="20"/>
          <w:szCs w:val="20"/>
          <w:color w:val="auto"/>
        </w:rPr>
      </w:pPr>
      <w:r>
        <w:rPr>
          <w:rFonts w:ascii="Courier New" w:cs="Courier New" w:eastAsia="Courier New" w:hAnsi="Courier New"/>
          <w:sz w:val="15"/>
          <w:szCs w:val="15"/>
          <w:color w:val="auto"/>
        </w:rPr>
        <w:t>"SECTION 16 INSIDER" means a Participant who is, with respect to the Company, subject to Section 16 of the Securities Exchange Act of 1934, as amended.</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"SUBSIDIARY" means any corporation that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"TRUST" means the trust established or maintained by the Company that is used in connection with this Plan to assist the Company in meeting its obligations under the Plan.</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"TRUSTEE" means the corporation or individual selected by the Company to serve as Trustee for the Trust.</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singular form of any word shall include the plural and the masculine gender shall include the feminine wherever necessary for the proper interpretation of this Plan.</w:t>
      </w:r>
    </w:p>
    <w:p>
      <w:pPr>
        <w:spacing w:after="0" w:line="169" w:lineRule="exact"/>
        <w:rPr>
          <w:sz w:val="20"/>
          <w:szCs w:val="20"/>
          <w:color w:val="auto"/>
        </w:rPr>
      </w:pPr>
    </w:p>
    <w:p>
      <w:pPr>
        <w:ind w:left="780" w:hanging="437"/>
        <w:spacing w:after="0"/>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All management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9"/>
              </w:rPr>
              <w:t>or highly compensated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employees who are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at the director</w:t>
            </w:r>
          </w:p>
        </w:tc>
      </w:tr>
      <w:tr>
        <w:trPr>
          <w:trHeight w:val="170"/>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level or above with the Company, or with</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any Subsidiary of</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the Company to</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which</w:t>
            </w:r>
          </w:p>
        </w:tc>
      </w:t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this Plan has been</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9"/>
              </w:rPr>
              <w:t>extended by the Board</w:t>
            </w: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Directors of the Company, are</w:t>
            </w:r>
          </w:p>
        </w:tc>
        <w:tc>
          <w:tcPr>
            <w:tcW w:w="500" w:type="dxa"/>
            <w:vAlign w:val="bottom"/>
          </w:tcPr>
          <w:p>
            <w:pPr>
              <w:spacing w:after="0"/>
              <w:rPr>
                <w:sz w:val="14"/>
                <w:szCs w:val="14"/>
                <w:color w:val="auto"/>
              </w:rPr>
            </w:pPr>
          </w:p>
        </w:tc>
      </w:t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eligible to become</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Participants.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An eligible employee will become a Participant upon submission of a completed election form, in the form approved by the Committee, to the Director or the Assistant Secretary.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Once an employee has become a Participant, his or her account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will remain in effect until distributed as provided herein, even if for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Plan Year or portion thereof the employee ceases to meet the</w:t>
      </w:r>
    </w:p>
    <w:p>
      <w:pPr>
        <w:spacing w:after="0"/>
        <w:rPr>
          <w:sz w:val="20"/>
          <w:szCs w:val="20"/>
          <w:color w:val="auto"/>
        </w:rPr>
      </w:pPr>
      <w:r>
        <w:rPr>
          <w:rFonts w:ascii="Courier New" w:cs="Courier New" w:eastAsia="Courier New" w:hAnsi="Courier New"/>
          <w:sz w:val="15"/>
          <w:szCs w:val="15"/>
          <w:color w:val="auto"/>
        </w:rPr>
        <w:t>eligibility requirements of this Article II or ceases to be a Participant for</w:t>
      </w:r>
    </w:p>
    <w:p>
      <w:pPr>
        <w:spacing w:after="0"/>
        <w:rPr>
          <w:sz w:val="20"/>
          <w:szCs w:val="20"/>
          <w:color w:val="auto"/>
        </w:rPr>
      </w:pPr>
      <w:r>
        <w:rPr>
          <w:rFonts w:ascii="Courier New" w:cs="Courier New" w:eastAsia="Courier New" w:hAnsi="Courier New"/>
          <w:sz w:val="15"/>
          <w:szCs w:val="15"/>
          <w:color w:val="auto"/>
        </w:rPr>
        <w:t>any other reason.</w:t>
      </w:r>
    </w:p>
    <w:p>
      <w:pPr>
        <w:spacing w:after="0" w:line="174" w:lineRule="exact"/>
        <w:rPr>
          <w:sz w:val="20"/>
          <w:szCs w:val="20"/>
          <w:color w:val="auto"/>
        </w:rPr>
      </w:pPr>
    </w:p>
    <w:p>
      <w:pPr>
        <w:ind w:left="340" w:right="7579" w:firstLine="3"/>
        <w:spacing w:after="0" w:line="513" w:lineRule="auto"/>
        <w:tabs>
          <w:tab w:leader="none" w:pos="78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3.1 DEFERRAL ELECTION</w:t>
      </w:r>
    </w:p>
    <w:p>
      <w:pPr>
        <w:ind w:right="3179" w:firstLine="353"/>
        <w:spacing w:after="0" w:line="237" w:lineRule="auto"/>
        <w:rPr>
          <w:sz w:val="20"/>
          <w:szCs w:val="20"/>
          <w:color w:val="auto"/>
        </w:rPr>
      </w:pPr>
      <w:r>
        <w:rPr>
          <w:rFonts w:ascii="Courier New" w:cs="Courier New" w:eastAsia="Courier New" w:hAnsi="Courier New"/>
          <w:sz w:val="15"/>
          <w:szCs w:val="15"/>
          <w:color w:val="auto"/>
        </w:rPr>
        <w:t>A Participant may elect to defer Compensation for a calendar year by completing and submitting a deferral election on a form provided by the Company. Such election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55" w:name="page56"/>
    <w:bookmarkEnd w:id="55"/>
    <w:p>
      <w:pPr>
        <w:ind w:right="3439"/>
        <w:spacing w:after="0" w:line="237" w:lineRule="auto"/>
        <w:rPr>
          <w:sz w:val="20"/>
          <w:szCs w:val="20"/>
          <w:color w:val="auto"/>
        </w:rPr>
      </w:pPr>
      <w:r>
        <w:rPr>
          <w:rFonts w:ascii="Courier New" w:cs="Courier New" w:eastAsia="Courier New" w:hAnsi="Courier New"/>
          <w:sz w:val="15"/>
          <w:szCs w:val="15"/>
          <w:color w:val="auto"/>
        </w:rPr>
        <w:t>must be submitted to the Director or the Assistant Secretary by December 31 to be effective in the following year. An election shall remain in effect until revoked or revised by the Participant by a written election delivered to the Director or the Assistant Secretary. An election shall take effect as of January 1 of the year following the year in which it is received.</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Participant shall not be eligible to defer Compensation for any calendar year following the year in which he or she no longer satisfies the eligibility requirements of this Plan, unless the Committee in its discretion permits such a deferral.</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ACCOUNTS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shall establish and maintain an account for each Participant, and shall credit such account with amounts deferred by the Participant pursuant to Section 3.1 and the Participant's election.</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COMPANY CREDITS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shall credit a Participant's account as of December 31 each year with an amount equal to the difference between (i) the amount that would have been credited to the Participant's account under the Profit Sharing Plan and the ESOP for the Plan Year had the Participant not made an election to defer compensation for the year under Section 3.1 of this Plan and (ii) the amount actually credited to the Participant's account under the Profit Sharing Plan and the ESOP for the Plan Year. To prevent duplication of benefits, credits under this Section 3.3 shall not be made with respect to any year or partial year in which the Participant or any account of the Participant receives comparable credits under the Supplemental Management Retirement Plan or any other Company plan.</w:t>
      </w:r>
    </w:p>
    <w:p>
      <w:pPr>
        <w:spacing w:after="0" w:line="175"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DEFERRAL OF CERTAIN 1995 BONUS AMOUNTS</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Amounts credited to Participant accounts pursuant to this Section 3.4 prior to its amendment as of July 27, 1998, representing deferrals of bonuses earned by Participants for the fiscal year ending October 31, 1995, shall continue to be held pursuant to the terms and conditions of this Plan, together with any other amounts credited to the Participant's account under the Plan.</w:t>
      </w:r>
    </w:p>
    <w:p>
      <w:pPr>
        <w:spacing w:after="0" w:line="15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EARNINGS ON PARTICIPANT ACCOUNTS</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EARNINGS CREDIT</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Amounts held in an account maintained for a Participant shall be credited with interest at a rate and in a manner determined by the Committee to be consistent with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56" w:name="page57"/>
    <w:bookmarkEnd w:id="56"/>
    <w:p>
      <w:pPr>
        <w:ind w:right="3439"/>
        <w:spacing w:after="0" w:line="238" w:lineRule="auto"/>
        <w:rPr>
          <w:sz w:val="20"/>
          <w:szCs w:val="20"/>
          <w:color w:val="auto"/>
        </w:rPr>
      </w:pPr>
      <w:r>
        <w:rPr>
          <w:rFonts w:ascii="Courier New" w:cs="Courier New" w:eastAsia="Courier New" w:hAnsi="Courier New"/>
          <w:sz w:val="15"/>
          <w:szCs w:val="15"/>
          <w:color w:val="auto"/>
        </w:rPr>
        <w:t>average prime rate of interest charged by U. S. Bank, National Association to its individual borrowers. Prior to a Change of Control the method for determining the interest crediting rate may be changed at any time, at the discretion of the Committee. After a Change of Control, the Trustee shall have authority to change the method for determining the interest crediting rate. Interest shall be credited as of the end of each quarter.</w:t>
      </w:r>
    </w:p>
    <w:p>
      <w:pPr>
        <w:spacing w:after="0" w:line="17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OPTIONAL EARNINGS CREDIT</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If a Participant's age and years of Eligibility Service with the Company equals or exceeds sixty (60), the Participant may request the Trustee in writing, on a form approved by the Company, to invest a specified percentage of his or her account in one or more of the investment vehicles available under the Trust. A Participant may change his or her election as of the first day of January and as of the first day of July, and more frequently if permitted by the Committee, by delivering an election form to the Chief Financial Officer of the Company at least thirty days prior to the effective date of the election. Prior to a Change of Control, the investment vehicles made available to the Participants shall be selected by the Chief Executive Officer of the Company or by such Officer's designee. After a Change of Control, investment vehicles shall be selected by the Trustee. Any expense incurred in connection with an investment option shall be charged on a pro rata basis against the Participants' accounts. The investment vehicles made available under the Trust shall include at least one vehicle that provides a fixed rate of interest through investment in fixed income mutual funds or common trust funds, U.S. Treasury bonds and notes, certificates of deposit, annuity contracts, or such other similar investments.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If the investment vehicles include a fund that invests exclusively or primarily in the Company's Common Stock, Participants who are Section 16 Insiders may allocate amounts to or from such fund only in accordance with Company policies on insider trading and in compliance with the rules for "Discretionary Trading" as defined in Rule 16b-3 (or any successor provision) under the Securities Exchange Act of 1934, as amended. Distributions from a fund that invests exclusively or primarily in the Company's Common Stock shall be made in Common Stock.</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the Committee approves an election made pursuant to this Section, the Participant's account will thereafter be credited with earnings or losses based upon the earnings or losses attributable to the investments so elected; and the Company shall not credit any portion of the account subject to such investment election with interest, as described in Section 4.1.</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7" w:name="page58"/>
    <w:bookmarkEnd w:id="57"/>
    <w:p>
      <w:pPr>
        <w:ind w:left="340"/>
        <w:spacing w:after="0"/>
        <w:tabs>
          <w:tab w:leader="none" w:pos="7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INTEREST IN ASSETS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may set aside or earmark funds or other assets to meet its obligations under the Plan, but title to and ownership of such funds and assets shall remain in the Company. Neither the Participant nor any beneficiary shall have any ownership rights or any property interests in any of such funds or other assets, or in any other assets of the Company, until they are distributed in accordance with the Plan.</w:t>
      </w:r>
    </w:p>
    <w:p>
      <w:pPr>
        <w:spacing w:after="0" w:line="170" w:lineRule="exact"/>
        <w:rPr>
          <w:sz w:val="20"/>
          <w:szCs w:val="20"/>
          <w:color w:val="auto"/>
        </w:rPr>
      </w:pPr>
    </w:p>
    <w:p>
      <w:pPr>
        <w:ind w:left="780" w:hanging="437"/>
        <w:spacing w:after="0"/>
        <w:tabs>
          <w:tab w:leader="none" w:pos="7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DISTRIBUTION ELECTIONS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Distributions under the Plan shall be made in accordance with the Participant's election. Elections (both as to distributions and as to deferrals) made prior to the July 27, 1998 Restatement of this Plan shall remain in effect until changed by the Participant as provided in this Plan.</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FORM OF ELECTION; ABSENCE OF A VALID ELECTION</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Except as provided in Sections 5.3, 5.4, 5.5 and 5.6 hereof, the amount of the Participant's deferred compensation account shall be distributed on the Participant's retirement, resignation or termination from employment with the Company, or on the disability or death of the Participant, whichever occurs first. Distributions shall be made in accordance with the Participant's distribution election most recently filed with the Director or Assistant Secretary: provided, that any election filed two years or less before the date of the Participant's retirement, resignation or termination of employment shall be disregarded.</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absence of a valid election, the Company shall pay the accrued amount in forty (40) quarterly installments commencing after the Participant's retirement, resignation or termination from employment with the Company, or on the disability or death of the Participant, whichever occurs first. Installments shall reflect earnings or losses on a monthly basis, and be paid on an actuarially amortized and annually adjusted basis, or on a decreasing fraction basis (1/40th, 1/39th, 1/38th, etc.), or on such other basis as elected by the Company in its sole discretion, in order to provide reasonably level payments throughout the period. In the event of the Participant's death before distribution is completed (or before any early distribution under Section 5.3 hereof), the balance may be distributed in a lump sum or on an installment basis as the Company may determine, either to any designated beneficiary or to the estate or legal representative of the Participant.</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58" w:name="page59"/>
    <w:bookmarkEnd w:id="58"/>
    <w:p>
      <w:pPr>
        <w:ind w:left="340"/>
        <w:spacing w:after="0"/>
        <w:tabs>
          <w:tab w:leader="none" w:pos="7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EARLY DISTRIBUTIONS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Participant may irrevocably elect to receive a distribution of all or a portion of the Participant's account prior to retirement, resignation or termination of employment with the Company, but early distributions hereunder shall not commence until after the Participant has attained age 55. The election shall be made not later than two years prior to the Plan Year in which the early distribution is to be made. Distributions under this Section shall be paid in a lump sum. Any election under this Section is subject to Committee approval.</w:t>
      </w:r>
    </w:p>
    <w:p>
      <w:pPr>
        <w:spacing w:after="0" w:line="172"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UNFORESEEABLE EMERGENCY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Participant who incurs an unforeseeable emergency may make a written request to the Company for a hardship withdrawal from the Participant's account. An unforeseeable emergency is a severe financial hardship to the Participant resulting from a sudden and unexpected illness or accident of the Participant or of a dependent (as defined in Section 152(a) of the Internal Revenue Code of 1986, as amended) of the Participant, loss of the Participant's property due to casualty, or other similar extraordinary and unforeseeable circumstances arising as a result or events beyond the control of the Participant. Withdrawals of amounts because of an unforeseeable emergency are permitted to the extent reasonably needed to satisfy the emergency need. This Section 5.3 shall be interpreted in a manner consistent with Sections 1.457-2(h)(4) and 1.457(h)(5) of the Treasury Regulations.</w:t>
      </w:r>
    </w:p>
    <w:p>
      <w:pPr>
        <w:spacing w:after="0" w:line="176"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ACCELERATED DISTRIBUTIONS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Prior to a Change of Control, the Company shall have the right to make distribution on an accelerated installment basis, including lump sum, or to purchase an annuity contract for the Participant's benefit, in the event of merger, reorganization, sale of assets, liquidation of the Company, or for such other causes as the Company deems appropriate in its sole discretion. Any such lump sum or annuity payment shall be the actuarial equivalent of the distribution elected by the Participant, calculated using actuarial assumptions consistent with those applied at the time under the Company's Retirement Plan for Office and Hourly Employees, or any successor or replacement plan. Any amounts remaining in the account during the period of any accelerated installment distribution shall continue to be credited with earnings or losses as provided in the Plan.</w:t>
      </w:r>
    </w:p>
    <w:p>
      <w:pPr>
        <w:spacing w:after="0" w:line="176"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DISTRIBUTIONS FOR CERTAIN TAX PURPOSES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If at any time a court or the Internal Revenue Service determines that any amount in a Participant's account or in the Trust is includable in a Participant's gross income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59" w:name="page60"/>
    <w:bookmarkEnd w:id="59"/>
    <w:p>
      <w:pPr>
        <w:ind w:right="3439"/>
        <w:spacing w:after="0" w:line="237" w:lineRule="auto"/>
        <w:rPr>
          <w:sz w:val="20"/>
          <w:szCs w:val="20"/>
          <w:color w:val="auto"/>
        </w:rPr>
      </w:pPr>
      <w:r>
        <w:rPr>
          <w:rFonts w:ascii="Courier New" w:cs="Courier New" w:eastAsia="Courier New" w:hAnsi="Courier New"/>
          <w:sz w:val="15"/>
          <w:szCs w:val="15"/>
          <w:color w:val="auto"/>
        </w:rPr>
        <w:t>subject to tax, the Company shall make a lump sum distribution to such Participant (but not in an amount greater than the value of the Participant's account under the Plan at the time of such distribution) of an amount equal to the amount determined to be so includable, and shall deduct a like amount from the Participant's account under the Plan.</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TIMING OF DISTRIBUTIONS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Except in the event of the Participant's death or disability, benefits payable under this Plan shall be paid beginning in the first month of the calendar year immediately following the calendar year in which the distributable event occurs or, in the case of distributions pursuant to elections under Section 5.3, in the first month of the year of distribution, as elected by the Participant and approved by the Committee. In the event of a Participant's death or disability, benefits shall be distributed beginning in the first month following the month in which the Participant's death occurred or the determination of disability is made.</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4"/>
          <w:szCs w:val="14"/>
          <w:color w:val="auto"/>
        </w:rPr>
        <w:t>STATUS AS GENERAL CREDITOR; UNFUNDED PLAN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To the extent that any person acquires the right to receive any distribution under this Agreement, such rights shall be no greater than the right of any unsecured general creditor of the Company. The Agreement shall at all times be considered unfunded for tax purposes and for purposes of Title I of the Employee Retirement Income Security Act of 1974, as amended. This Agreement and all rights, interests, and benefits hereunder shall not be assigned, transferred or pledged by the Participant and shall not be subject to execution, attachment or similar process. Any attempted assignment, transfer, pledge, or other disposition of this Agreement, or of any such rights, interests and benefits, and any levy of attachment or similar process thereupon, shall be null and void and without effect.</w:t>
      </w:r>
    </w:p>
    <w:p>
      <w:pPr>
        <w:spacing w:after="0" w:line="175"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4"/>
          <w:szCs w:val="14"/>
          <w:color w:val="auto"/>
        </w:rPr>
        <w:t>ADMINISTRATION OF THE PLAN</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COMPANY'S AUTHORITY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dispersing the payments hereunder. The Company's interpretations, determinations, regulations and calculations shall be final and binding on all persons and parties concerned.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60" w:name="page61"/>
    <w:bookmarkEnd w:id="60"/>
    <w:p>
      <w:pPr>
        <w:ind w:left="340"/>
        <w:spacing w:after="0"/>
        <w:tabs>
          <w:tab w:leader="none" w:pos="7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RELIANCE</w:t>
      </w:r>
    </w:p>
    <w:p>
      <w:pPr>
        <w:spacing w:after="0" w:line="17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BENEFIT STATEMENTS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shall furnish individual statements of accrued benefits to each Participant, or current Beneficiary, at least annually, in such form as determined by the Company.</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6.4</w:t>
        <w:tab/>
        <w:t>CLAIMS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employee benefit plan procedures in this section are intended to comply with Section 503 of ERISA, and Section 2560.503-1 of the Department of Labor Regulations and pertain to claims by participants and beneficiaries ("claimants") for Plan benefits, consideration of such claims, and review of claim denials. For purposes of these procedures, a "claim" is a request for a benefit by a Participant or Beneficiary under the Plan or a Deferred Compensation Agreement. A claim is filed when the requirements of these procedures have been met.</w:t>
      </w:r>
    </w:p>
    <w:p>
      <w:pPr>
        <w:spacing w:after="0" w:line="178" w:lineRule="exact"/>
        <w:rPr>
          <w:sz w:val="20"/>
          <w:szCs w:val="20"/>
          <w:color w:val="auto"/>
        </w:rPr>
      </w:pPr>
    </w:p>
    <w:p>
      <w:pPr>
        <w:ind w:right="3439" w:firstLine="784"/>
        <w:spacing w:after="0" w:line="238" w:lineRule="auto"/>
        <w:tabs>
          <w:tab w:leader="none" w:pos="123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claim is wholly or partially denied, notice of the decision, meeting the requirements of subsection (b) of these procedures, shall be furnished to the claimant within a reasonable period of time after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186" w:lineRule="exact"/>
        <w:rPr>
          <w:rFonts w:ascii="Courier New" w:cs="Courier New" w:eastAsia="Courier New" w:hAnsi="Courier New"/>
          <w:sz w:val="15"/>
          <w:szCs w:val="15"/>
          <w:color w:val="auto"/>
        </w:rPr>
      </w:pPr>
    </w:p>
    <w:p>
      <w:pPr>
        <w:ind w:right="3259" w:firstLine="784"/>
        <w:spacing w:after="0" w:line="237" w:lineRule="auto"/>
        <w:tabs>
          <w:tab w:leader="none" w:pos="123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every claimant who is denied a claim for benefits written notice setting forth in a manner calculated to be understood by the claimant: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61" w:name="page62"/>
    <w:bookmarkEnd w:id="61"/>
    <w:p>
      <w:pPr>
        <w:ind w:left="780" w:hanging="437"/>
        <w:spacing w:after="0"/>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4" w:lineRule="exact"/>
        <w:rPr>
          <w:rFonts w:ascii="Courier New" w:cs="Courier New" w:eastAsia="Courier New" w:hAnsi="Courier New"/>
          <w:sz w:val="15"/>
          <w:szCs w:val="15"/>
          <w:color w:val="auto"/>
        </w:rPr>
      </w:pPr>
    </w:p>
    <w:p>
      <w:pPr>
        <w:ind w:left="780" w:right="3259" w:hanging="525"/>
        <w:spacing w:after="0" w:line="235" w:lineRule="auto"/>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or Agreement on which the denial is based;</w:t>
      </w:r>
    </w:p>
    <w:p>
      <w:pPr>
        <w:spacing w:after="0" w:line="175" w:lineRule="exact"/>
        <w:rPr>
          <w:rFonts w:ascii="Courier New" w:cs="Courier New" w:eastAsia="Courier New" w:hAnsi="Courier New"/>
          <w:sz w:val="15"/>
          <w:szCs w:val="15"/>
          <w:color w:val="auto"/>
        </w:rPr>
      </w:pPr>
    </w:p>
    <w:p>
      <w:pPr>
        <w:ind w:left="780" w:right="3439" w:hanging="613"/>
        <w:spacing w:after="0" w:line="237" w:lineRule="auto"/>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174" w:lineRule="exact"/>
        <w:rPr>
          <w:rFonts w:ascii="Courier New" w:cs="Courier New" w:eastAsia="Courier New" w:hAnsi="Courier New"/>
          <w:sz w:val="15"/>
          <w:szCs w:val="15"/>
          <w:color w:val="auto"/>
        </w:rPr>
      </w:pPr>
    </w:p>
    <w:p>
      <w:pPr>
        <w:ind w:left="780" w:right="3259" w:hanging="525"/>
        <w:spacing w:after="0" w:line="265" w:lineRule="auto"/>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158" w:lineRule="exact"/>
        <w:rPr>
          <w:rFonts w:ascii="Courier New" w:cs="Courier New" w:eastAsia="Courier New" w:hAnsi="Courier New"/>
          <w:sz w:val="14"/>
          <w:szCs w:val="14"/>
          <w:color w:val="auto"/>
        </w:rPr>
      </w:pPr>
    </w:p>
    <w:p>
      <w:pPr>
        <w:ind w:right="3259" w:firstLine="784"/>
        <w:spacing w:after="0" w:line="258" w:lineRule="auto"/>
        <w:tabs>
          <w:tab w:leader="none" w:pos="1234"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58" w:lineRule="exact"/>
        <w:rPr>
          <w:sz w:val="20"/>
          <w:szCs w:val="20"/>
          <w:color w:val="auto"/>
        </w:rPr>
      </w:pPr>
    </w:p>
    <w:p>
      <w:pPr>
        <w:ind w:left="780" w:hanging="437"/>
        <w:spacing w:after="0"/>
        <w:tabs>
          <w:tab w:leader="none" w:pos="7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review upon written application to the Company;</w:t>
      </w:r>
    </w:p>
    <w:p>
      <w:pPr>
        <w:spacing w:after="0" w:line="169"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69" w:lineRule="exact"/>
        <w:rPr>
          <w:rFonts w:ascii="Courier New" w:cs="Courier New" w:eastAsia="Courier New" w:hAnsi="Courier New"/>
          <w:sz w:val="15"/>
          <w:szCs w:val="15"/>
          <w:color w:val="auto"/>
        </w:rPr>
      </w:pPr>
    </w:p>
    <w:p>
      <w:pPr>
        <w:ind w:left="780" w:hanging="613"/>
        <w:spacing w:after="0"/>
        <w:tabs>
          <w:tab w:leader="none" w:pos="7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 claimant must file such a request for review of a denied claim within a reasonable period of time, not to exceed 60 days, after receipt by the claimant of written notification of denial of a claim.</w:t>
      </w:r>
    </w:p>
    <w:p>
      <w:pPr>
        <w:spacing w:after="0" w:line="175" w:lineRule="exact"/>
        <w:rPr>
          <w:sz w:val="20"/>
          <w:szCs w:val="20"/>
          <w:color w:val="auto"/>
        </w:rPr>
      </w:pPr>
    </w:p>
    <w:p>
      <w:pPr>
        <w:ind w:right="3179" w:firstLine="784"/>
        <w:spacing w:after="0" w:line="238" w:lineRule="auto"/>
        <w:tabs>
          <w:tab w:leader="none" w:pos="123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62" w:name="page63"/>
    <w:bookmarkEnd w:id="62"/>
    <w:p>
      <w:pPr>
        <w:ind w:left="340"/>
        <w:spacing w:after="0"/>
        <w:rPr>
          <w:sz w:val="20"/>
          <w:szCs w:val="20"/>
          <w:color w:val="auto"/>
        </w:rPr>
      </w:pPr>
      <w:r>
        <w:rPr>
          <w:rFonts w:ascii="Courier New" w:cs="Courier New" w:eastAsia="Courier New" w:hAnsi="Courier New"/>
          <w:sz w:val="15"/>
          <w:szCs w:val="15"/>
          <w:color w:val="auto"/>
        </w:rPr>
        <w:t>VII. AMENDMENT OR TERMINATION</w:t>
      </w:r>
    </w:p>
    <w:p>
      <w:pPr>
        <w:spacing w:after="0" w:line="175"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The Company intends the Plan to be permanent but reserves the right to amend or terminate the Plan at any time.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amendment or termination of the Plan shall directly or indirectly reduce the balance of any account described in Article III as of the effective date of such amendment or termination. The Company shall not credit the accounts of any Participant with any further deferrals after termination of the Plan, but gains or losses will continue to be credited to the Participant's account under the Plan until all benefits are distributed to the Participants or to their Beneficiaries.</w:t>
      </w:r>
    </w:p>
    <w:p>
      <w:pPr>
        <w:spacing w:after="0" w:line="171" w:lineRule="exact"/>
        <w:rPr>
          <w:sz w:val="20"/>
          <w:szCs w:val="20"/>
          <w:color w:val="auto"/>
        </w:rPr>
      </w:pPr>
    </w:p>
    <w:p>
      <w:pPr>
        <w:ind w:left="340"/>
        <w:spacing w:after="0"/>
        <w:tabs>
          <w:tab w:leader="none" w:pos="120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GENERAL PROVISIONS</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TRUST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has established a Trust which may be used to pay benefits arising under the Plan and costs, charges and expenses relating thereto. To the extent that the funds held in the Trust are insufficient to pay such benefits, costs, charges and expenses, and except as provided in Section 4.2 relating to investment option elections, the Company shall pay them.</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NO ALIENATION</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Neither the benefits payable hereunder nor the right to receive future benefits under the Plan may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UNFUNDED PLAN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Plan shall at all times be considered entirely unfunded both for tax purposes and for purposes of Title I of ERISA. Funds invested under this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shall notify the Trustee in writing of such an occurrence within three business days following the Company's becoming aware of such occurrence. No Participant or any other person shall have any interests in any</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63" w:name="page64"/>
    <w:bookmarkEnd w:id="63"/>
    <w:p>
      <w:pPr>
        <w:ind w:right="3439"/>
        <w:spacing w:after="0" w:line="238" w:lineRule="auto"/>
        <w:rPr>
          <w:sz w:val="20"/>
          <w:szCs w:val="20"/>
          <w:color w:val="auto"/>
        </w:rPr>
      </w:pPr>
      <w:r>
        <w:rPr>
          <w:rFonts w:ascii="Courier New" w:cs="Courier New" w:eastAsia="Courier New" w:hAnsi="Courier New"/>
          <w:sz w:val="15"/>
          <w:szCs w:val="15"/>
          <w:color w:val="auto"/>
        </w:rPr>
        <w:t>particular assets of the Company by reason of the right to receive a benefit under the Plan and to the extent the Participant or any other person acquires a right to receive benefits under this Plan, such right shall be no greater than the right of any general unsecured creditor of the Company. The Plan constitutes a mere promise by the Company to make payments to the Participants in the future.</w:t>
      </w:r>
    </w:p>
    <w:p>
      <w:pPr>
        <w:spacing w:after="0" w:line="170"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NO GUARANTY</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Nothing contained in the Plan shall constitute a guaranty by the Company or any other person or entity that any funds in the Trust or the assets of the Company will be sufficient to pay any benefit hereunder.</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NO RIGHT OF EMPLOYMENT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 Participant shall have any right to a benefit under this Plan except in accordance with the terms of the Plan. Establishment and continuance of the Plan shall not be construed to give any Participant the right to be retained in the service of the Company.</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INCOMPETENCY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any person entitled to a benefit payment under the Plan is declared incompetent and a conservator or other person is legally charged with the care of such person or of his or her estate is appointed, any benefits under the Plan to which the person is entitled shall be paid to such conservator or other person legally charged with the care of the person or his or her estate. Except as provided above, when the Company determines that such person is unable to manage his or her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therefore.</w:t>
      </w:r>
    </w:p>
    <w:p>
      <w:pPr>
        <w:spacing w:after="0" w:line="175"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CORPORATE CHANGES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64" w:name="page65"/>
    <w:bookmarkEnd w:id="64"/>
    <w:p>
      <w:pPr>
        <w:ind w:left="340"/>
        <w:spacing w:after="0"/>
        <w:tabs>
          <w:tab w:leader="none" w:pos="76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ADDRESSES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Each Participant shall keep the Company informed of his or her current address and the current address of his or her spouse. The Company shall not be obligated to search for any person. If the location of a Participant is not made known to the Company within three (3) years after the date on which payment of the Participant's benefits Payable under this Plan may first be made, payment may be made as though the Participant had died at the end of the three-year Period. If, within one additional year after such three year period has elapsed, or, within three (3) years after the actual death of a Participant, the Company is unable to locate any designated Beneficiary of the Participant, then the Company shall have no further obligation to pay any benefit hereunder to such Participant or designated Beneficiary and such benefits shall be irrevocably forfeited.</w:t>
      </w:r>
    </w:p>
    <w:p>
      <w:pPr>
        <w:spacing w:after="0" w:line="176"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LIMITATIONS ON LIABILITY</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Notwithstanding any of the preceding provisions of the Plan, neither the Company nor any individual acting as an employee or agent of the Company shall be liable to any Participant, former Participant, or any other person for any claim, loss, liability or expense incurred in connection with the Plan, unless attributable to fraud or willful misconduct on the part of the Company or any such employee or agent of the Company.</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8.10 TRANSFERS TO THE TRUST</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On the occurrence of a Change of Control or if a Participant elects to direct the investment of amounts credited to his or her account pursuant to Section 4.2, the Company shall transfer cash or property to the account or accounts maintained in the name of each affected Participant or Participants for this Plan under the Trust in an amount equal to the present value of all accumulated or accrued benefits then payable to or on behalf of such Participant or Participants under this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thirty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this Plan and the Deferred Compensation Agreements during and in relation to the most recent Plan Year then ended. If a transfer occurs, the accounts of the Participants shall be credited with interest, or earnings and losses in accordance with Sections 4.1 and 4.2.</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65" w:name="page66"/>
    <w:bookmarkEnd w:id="65"/>
    <w:p>
      <w:pPr>
        <w:ind w:left="340"/>
        <w:spacing w:after="0"/>
        <w:rPr>
          <w:sz w:val="20"/>
          <w:szCs w:val="20"/>
          <w:color w:val="auto"/>
        </w:rPr>
      </w:pPr>
      <w:r>
        <w:rPr>
          <w:rFonts w:ascii="Courier New" w:cs="Courier New" w:eastAsia="Courier New" w:hAnsi="Courier New"/>
          <w:sz w:val="15"/>
          <w:szCs w:val="15"/>
          <w:color w:val="auto"/>
        </w:rPr>
        <w:t>8.11 INSPECTION</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8.13 GOVERNING LAW</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To the extent that it is not governed by United States federal law, the Plan shall be construed, administered and governed in all respects under and by the applicable laws of the State of Delaware, without giving effect to principles of conflict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this 6th day of April, 1999.</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K. B. Melrose</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Its Chairman &amp; Chief Executive Officer</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429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STATEMENTS OF EARNINGS AND CONDENSED CONSOLIDATED BALANCE SHEETS AND IS QUALIFIED IN ITS ENTIRETY BY REFERENCE TO SUCH FINANCIAL STATEMENTS.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ind w:left="2280"/>
        <w:spacing w:after="0"/>
        <w:rPr>
          <w:sz w:val="20"/>
          <w:szCs w:val="20"/>
          <w:color w:val="auto"/>
        </w:rPr>
      </w:pPr>
      <w:r>
        <w:rPr>
          <w:rFonts w:ascii="Courier New" w:cs="Courier New" w:eastAsia="Courier New" w:hAnsi="Courier New"/>
          <w:sz w:val="15"/>
          <w:szCs w:val="15"/>
          <w:color w:val="auto"/>
        </w:rPr>
        <w:t>OCT-31-1999</w:t>
      </w:r>
    </w:p>
    <w:p>
      <w:pPr>
        <w:ind w:left="2540"/>
        <w:spacing w:after="0"/>
        <w:rPr>
          <w:sz w:val="20"/>
          <w:szCs w:val="20"/>
          <w:color w:val="auto"/>
        </w:rPr>
      </w:pPr>
      <w:r>
        <w:rPr>
          <w:rFonts w:ascii="Courier New" w:cs="Courier New" w:eastAsia="Courier New" w:hAnsi="Courier New"/>
          <w:sz w:val="15"/>
          <w:szCs w:val="15"/>
          <w:color w:val="auto"/>
        </w:rPr>
        <w:t>NOV-01-1998</w:t>
      </w:r>
    </w:p>
    <w:p>
      <w:pPr>
        <w:ind w:left="2720"/>
        <w:spacing w:after="0" w:line="238" w:lineRule="auto"/>
        <w:rPr>
          <w:sz w:val="20"/>
          <w:szCs w:val="20"/>
          <w:color w:val="auto"/>
        </w:rPr>
      </w:pPr>
      <w:r>
        <w:rPr>
          <w:rFonts w:ascii="Courier New" w:cs="Courier New" w:eastAsia="Courier New" w:hAnsi="Courier New"/>
          <w:sz w:val="15"/>
          <w:szCs w:val="15"/>
          <w:color w:val="auto"/>
        </w:rPr>
        <w:t>APR-30-1999</w:t>
      </w:r>
    </w:p>
    <w:p>
      <w:pPr>
        <w:ind w:left="3780"/>
        <w:spacing w:after="0"/>
        <w:rPr>
          <w:sz w:val="20"/>
          <w:szCs w:val="20"/>
          <w:color w:val="auto"/>
        </w:rPr>
      </w:pPr>
      <w:r>
        <w:rPr>
          <w:rFonts w:ascii="Courier New" w:cs="Courier New" w:eastAsia="Courier New" w:hAnsi="Courier New"/>
          <w:sz w:val="15"/>
          <w:szCs w:val="15"/>
          <w:color w:val="auto"/>
        </w:rPr>
        <w:t>3,341</w:t>
      </w:r>
    </w:p>
    <w:p>
      <w:pPr>
        <w:ind w:left="3600"/>
        <w:spacing w:after="0"/>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439,423</w:t>
      </w:r>
    </w:p>
    <w:p>
      <w:pPr>
        <w:ind w:left="3600"/>
        <w:spacing w:after="0"/>
        <w:rPr>
          <w:sz w:val="20"/>
          <w:szCs w:val="20"/>
          <w:color w:val="auto"/>
        </w:rPr>
      </w:pPr>
      <w:r>
        <w:rPr>
          <w:rFonts w:ascii="Courier New" w:cs="Courier New" w:eastAsia="Courier New" w:hAnsi="Courier New"/>
          <w:sz w:val="15"/>
          <w:szCs w:val="15"/>
          <w:color w:val="auto"/>
        </w:rPr>
        <w:t>0</w:t>
      </w:r>
    </w:p>
    <w:p>
      <w:pPr>
        <w:ind w:left="3160"/>
        <w:spacing w:after="0"/>
        <w:rPr>
          <w:sz w:val="20"/>
          <w:szCs w:val="20"/>
          <w:color w:val="auto"/>
        </w:rPr>
      </w:pPr>
      <w:r>
        <w:rPr>
          <w:rFonts w:ascii="Courier New" w:cs="Courier New" w:eastAsia="Courier New" w:hAnsi="Courier New"/>
          <w:sz w:val="15"/>
          <w:szCs w:val="15"/>
          <w:color w:val="auto"/>
        </w:rPr>
        <w:t>185,699</w:t>
      </w:r>
    </w:p>
    <w:p>
      <w:pPr>
        <w:ind w:left="2720"/>
        <w:spacing w:after="0"/>
        <w:rPr>
          <w:sz w:val="20"/>
          <w:szCs w:val="20"/>
          <w:color w:val="auto"/>
        </w:rPr>
      </w:pPr>
      <w:r>
        <w:rPr>
          <w:rFonts w:ascii="Courier New" w:cs="Courier New" w:eastAsia="Courier New" w:hAnsi="Courier New"/>
          <w:sz w:val="15"/>
          <w:szCs w:val="15"/>
          <w:color w:val="auto"/>
        </w:rPr>
        <w:t>675,858</w:t>
      </w:r>
    </w:p>
    <w:p>
      <w:pPr>
        <w:ind w:left="3600"/>
        <w:spacing w:after="0" w:line="238" w:lineRule="auto"/>
        <w:rPr>
          <w:sz w:val="20"/>
          <w:szCs w:val="20"/>
          <w:color w:val="auto"/>
        </w:rPr>
      </w:pPr>
      <w:r>
        <w:rPr>
          <w:rFonts w:ascii="Courier New" w:cs="Courier New" w:eastAsia="Courier New" w:hAnsi="Courier New"/>
          <w:sz w:val="15"/>
          <w:szCs w:val="15"/>
          <w:color w:val="auto"/>
        </w:rPr>
        <w:t>336,990</w:t>
      </w:r>
    </w:p>
    <w:p>
      <w:pPr>
        <w:ind w:left="2900"/>
        <w:spacing w:after="0"/>
        <w:rPr>
          <w:sz w:val="20"/>
          <w:szCs w:val="20"/>
          <w:color w:val="auto"/>
        </w:rPr>
      </w:pPr>
      <w:r>
        <w:rPr>
          <w:rFonts w:ascii="Courier New" w:cs="Courier New" w:eastAsia="Courier New" w:hAnsi="Courier New"/>
          <w:sz w:val="15"/>
          <w:szCs w:val="15"/>
          <w:color w:val="auto"/>
        </w:rPr>
        <w:t>214,916</w:t>
      </w:r>
    </w:p>
    <w:p>
      <w:pPr>
        <w:ind w:left="2900"/>
        <w:spacing w:after="0"/>
        <w:rPr>
          <w:sz w:val="20"/>
          <w:szCs w:val="20"/>
          <w:color w:val="auto"/>
        </w:rPr>
      </w:pPr>
      <w:r>
        <w:rPr>
          <w:rFonts w:ascii="Courier New" w:cs="Courier New" w:eastAsia="Courier New" w:hAnsi="Courier New"/>
          <w:sz w:val="15"/>
          <w:szCs w:val="15"/>
          <w:color w:val="auto"/>
        </w:rPr>
        <w:t>931,224</w:t>
      </w:r>
    </w:p>
    <w:p>
      <w:pPr>
        <w:ind w:left="2280"/>
        <w:spacing w:after="0" w:line="238" w:lineRule="auto"/>
        <w:rPr>
          <w:sz w:val="20"/>
          <w:szCs w:val="20"/>
          <w:color w:val="auto"/>
        </w:rPr>
      </w:pPr>
      <w:r>
        <w:rPr>
          <w:rFonts w:ascii="Courier New" w:cs="Courier New" w:eastAsia="Courier New" w:hAnsi="Courier New"/>
          <w:sz w:val="15"/>
          <w:szCs w:val="15"/>
          <w:color w:val="auto"/>
        </w:rPr>
        <w:t>440,406</w:t>
      </w:r>
    </w:p>
    <w:p>
      <w:pPr>
        <w:ind w:left="3520"/>
        <w:spacing w:after="0"/>
        <w:rPr>
          <w:sz w:val="20"/>
          <w:szCs w:val="20"/>
          <w:color w:val="auto"/>
        </w:rPr>
      </w:pPr>
      <w:r>
        <w:rPr>
          <w:rFonts w:ascii="Courier New" w:cs="Courier New" w:eastAsia="Courier New" w:hAnsi="Courier New"/>
          <w:sz w:val="15"/>
          <w:szCs w:val="15"/>
          <w:color w:val="auto"/>
        </w:rPr>
        <w:t>197,382</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520"/>
        <w:spacing w:after="0" w:line="238" w:lineRule="auto"/>
        <w:rPr>
          <w:sz w:val="20"/>
          <w:szCs w:val="20"/>
          <w:color w:val="auto"/>
        </w:rPr>
      </w:pPr>
      <w:r>
        <w:rPr>
          <w:rFonts w:ascii="Courier New" w:cs="Courier New" w:eastAsia="Courier New" w:hAnsi="Courier New"/>
          <w:sz w:val="15"/>
          <w:szCs w:val="15"/>
          <w:color w:val="auto"/>
        </w:rPr>
        <w:t>12,916</w:t>
      </w:r>
    </w:p>
    <w:p>
      <w:pPr>
        <w:ind w:left="3260"/>
        <w:spacing w:after="0"/>
        <w:rPr>
          <w:sz w:val="20"/>
          <w:szCs w:val="20"/>
          <w:color w:val="auto"/>
        </w:rPr>
      </w:pPr>
      <w:r>
        <w:rPr>
          <w:rFonts w:ascii="Courier New" w:cs="Courier New" w:eastAsia="Courier New" w:hAnsi="Courier New"/>
          <w:sz w:val="15"/>
          <w:szCs w:val="15"/>
          <w:color w:val="auto"/>
        </w:rPr>
        <w:t>275,206</w:t>
      </w:r>
    </w:p>
    <w:p>
      <w:pPr>
        <w:ind w:left="1660"/>
        <w:spacing w:after="0"/>
        <w:rPr>
          <w:sz w:val="20"/>
          <w:szCs w:val="20"/>
          <w:color w:val="auto"/>
        </w:rPr>
      </w:pPr>
      <w:r>
        <w:rPr>
          <w:rFonts w:ascii="Courier New" w:cs="Courier New" w:eastAsia="Courier New" w:hAnsi="Courier New"/>
          <w:sz w:val="15"/>
          <w:szCs w:val="15"/>
          <w:color w:val="auto"/>
        </w:rPr>
        <w:t>931,224</w:t>
      </w:r>
    </w:p>
    <w:p>
      <w:pPr>
        <w:ind w:left="3520"/>
        <w:spacing w:after="0" w:line="238" w:lineRule="auto"/>
        <w:rPr>
          <w:sz w:val="20"/>
          <w:szCs w:val="20"/>
          <w:color w:val="auto"/>
        </w:rPr>
      </w:pPr>
      <w:r>
        <w:rPr>
          <w:rFonts w:ascii="Courier New" w:cs="Courier New" w:eastAsia="Courier New" w:hAnsi="Courier New"/>
          <w:sz w:val="15"/>
          <w:szCs w:val="15"/>
          <w:color w:val="auto"/>
        </w:rPr>
        <w:t>683,869</w:t>
      </w:r>
    </w:p>
    <w:p>
      <w:pPr>
        <w:ind w:left="2720"/>
        <w:spacing w:after="0"/>
        <w:rPr>
          <w:sz w:val="20"/>
          <w:szCs w:val="20"/>
          <w:color w:val="auto"/>
        </w:rPr>
      </w:pPr>
      <w:r>
        <w:rPr>
          <w:rFonts w:ascii="Courier New" w:cs="Courier New" w:eastAsia="Courier New" w:hAnsi="Courier New"/>
          <w:sz w:val="15"/>
          <w:szCs w:val="15"/>
          <w:color w:val="auto"/>
        </w:rPr>
        <w:t>683,869</w:t>
      </w:r>
    </w:p>
    <w:p>
      <w:pPr>
        <w:ind w:left="3700"/>
        <w:spacing w:after="0"/>
        <w:rPr>
          <w:sz w:val="20"/>
          <w:szCs w:val="20"/>
          <w:color w:val="auto"/>
        </w:rPr>
      </w:pPr>
      <w:r>
        <w:rPr>
          <w:rFonts w:ascii="Courier New" w:cs="Courier New" w:eastAsia="Courier New" w:hAnsi="Courier New"/>
          <w:sz w:val="15"/>
          <w:szCs w:val="15"/>
          <w:color w:val="auto"/>
        </w:rPr>
        <w:t>443,072</w:t>
      </w:r>
    </w:p>
    <w:p>
      <w:pPr>
        <w:ind w:left="2980"/>
        <w:spacing w:after="0"/>
        <w:rPr>
          <w:sz w:val="20"/>
          <w:szCs w:val="20"/>
          <w:color w:val="auto"/>
        </w:rPr>
      </w:pPr>
      <w:r>
        <w:rPr>
          <w:rFonts w:ascii="Courier New" w:cs="Courier New" w:eastAsia="Courier New" w:hAnsi="Courier New"/>
          <w:sz w:val="15"/>
          <w:szCs w:val="15"/>
          <w:color w:val="auto"/>
        </w:rPr>
        <w:t>189,136</w:t>
      </w:r>
    </w:p>
    <w:p>
      <w:pPr>
        <w:ind w:left="2900"/>
        <w:spacing w:after="0" w:line="238" w:lineRule="auto"/>
        <w:rPr>
          <w:sz w:val="20"/>
          <w:szCs w:val="20"/>
          <w:color w:val="auto"/>
        </w:rPr>
      </w:pPr>
      <w:r>
        <w:rPr>
          <w:rFonts w:ascii="Courier New" w:cs="Courier New" w:eastAsia="Courier New" w:hAnsi="Courier New"/>
          <w:sz w:val="15"/>
          <w:szCs w:val="15"/>
          <w:color w:val="auto"/>
        </w:rPr>
        <w:t>(863)</w:t>
      </w:r>
    </w:p>
    <w:p>
      <w:pPr>
        <w:ind w:left="3260"/>
        <w:spacing w:after="0"/>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11,727</w:t>
      </w:r>
    </w:p>
    <w:p>
      <w:pPr>
        <w:ind w:left="2900"/>
        <w:spacing w:after="0" w:line="238" w:lineRule="auto"/>
        <w:rPr>
          <w:sz w:val="20"/>
          <w:szCs w:val="20"/>
          <w:color w:val="auto"/>
        </w:rPr>
      </w:pPr>
      <w:r>
        <w:rPr>
          <w:rFonts w:ascii="Courier New" w:cs="Courier New" w:eastAsia="Courier New" w:hAnsi="Courier New"/>
          <w:sz w:val="15"/>
          <w:szCs w:val="15"/>
          <w:color w:val="auto"/>
        </w:rPr>
        <w:t>40,797</w:t>
      </w:r>
    </w:p>
    <w:p>
      <w:pPr>
        <w:ind w:left="3160"/>
        <w:spacing w:after="0"/>
        <w:rPr>
          <w:sz w:val="20"/>
          <w:szCs w:val="20"/>
          <w:color w:val="auto"/>
        </w:rPr>
      </w:pPr>
      <w:r>
        <w:rPr>
          <w:rFonts w:ascii="Courier New" w:cs="Courier New" w:eastAsia="Courier New" w:hAnsi="Courier New"/>
          <w:sz w:val="15"/>
          <w:szCs w:val="15"/>
          <w:color w:val="auto"/>
        </w:rPr>
        <w:t>15,911</w:t>
      </w:r>
    </w:p>
    <w:p>
      <w:pPr>
        <w:ind w:left="2540"/>
        <w:spacing w:after="0"/>
        <w:rPr>
          <w:sz w:val="20"/>
          <w:szCs w:val="20"/>
          <w:color w:val="auto"/>
        </w:rPr>
      </w:pPr>
      <w:r>
        <w:rPr>
          <w:rFonts w:ascii="Courier New" w:cs="Courier New" w:eastAsia="Courier New" w:hAnsi="Courier New"/>
          <w:sz w:val="15"/>
          <w:szCs w:val="15"/>
          <w:color w:val="auto"/>
        </w:rPr>
        <w:t>24,886</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jc w:val="center"/>
        <w:ind w:right="3359"/>
        <w:spacing w:after="0"/>
        <w:rPr>
          <w:sz w:val="20"/>
          <w:szCs w:val="20"/>
          <w:color w:val="auto"/>
        </w:rPr>
      </w:pPr>
      <w:r>
        <w:rPr>
          <w:rFonts w:ascii="Courier New" w:cs="Courier New" w:eastAsia="Courier New" w:hAnsi="Courier New"/>
          <w:sz w:val="15"/>
          <w:szCs w:val="15"/>
          <w:color w:val="auto"/>
        </w:rPr>
        <w:t>24,886</w:t>
      </w:r>
    </w:p>
    <w:p>
      <w:pPr>
        <w:jc w:val="center"/>
        <w:ind w:right="3359"/>
        <w:spacing w:after="0" w:line="238" w:lineRule="auto"/>
        <w:rPr>
          <w:sz w:val="20"/>
          <w:szCs w:val="20"/>
          <w:color w:val="auto"/>
        </w:rPr>
      </w:pPr>
      <w:r>
        <w:rPr>
          <w:rFonts w:ascii="Courier New" w:cs="Courier New" w:eastAsia="Courier New" w:hAnsi="Courier New"/>
          <w:sz w:val="15"/>
          <w:szCs w:val="15"/>
          <w:color w:val="auto"/>
        </w:rPr>
        <w:t>1.91</w:t>
      </w:r>
    </w:p>
    <w:p>
      <w:pPr>
        <w:jc w:val="center"/>
        <w:ind w:right="3359"/>
        <w:spacing w:after="0"/>
        <w:rPr>
          <w:sz w:val="20"/>
          <w:szCs w:val="20"/>
          <w:color w:val="auto"/>
        </w:rPr>
      </w:pPr>
      <w:r>
        <w:rPr>
          <w:rFonts w:ascii="Courier New" w:cs="Courier New" w:eastAsia="Courier New" w:hAnsi="Courier New"/>
          <w:sz w:val="15"/>
          <w:szCs w:val="15"/>
          <w:color w:val="auto"/>
        </w:rPr>
        <w:t>1.88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net receivables.</w:t>
      </w:r>
    </w:p>
    <w:p>
      <w:pPr>
        <w:spacing w:after="0"/>
        <w:rPr>
          <w:sz w:val="20"/>
          <w:szCs w:val="20"/>
          <w:color w:val="auto"/>
        </w:rPr>
      </w:pPr>
      <w:r>
        <w:rPr>
          <w:rFonts w:ascii="Courier New" w:cs="Courier New" w:eastAsia="Courier New" w:hAnsi="Courier New"/>
          <w:sz w:val="15"/>
          <w:szCs w:val="15"/>
          <w:color w:val="auto"/>
        </w:rPr>
        <w:t>Not included in quarterly financial information.</w:t>
      </w:r>
    </w:p>
    <w:p>
      <w:pPr>
        <w:spacing w:after="0"/>
        <w:rPr>
          <w:sz w:val="20"/>
          <w:szCs w:val="20"/>
          <w:color w:val="auto"/>
        </w:rPr>
      </w:pPr>
      <w:r>
        <w:rPr>
          <w:rFonts w:ascii="Courier New" w:cs="Courier New" w:eastAsia="Courier New" w:hAnsi="Courier New"/>
          <w:sz w:val="15"/>
          <w:szCs w:val="15"/>
          <w:color w:val="auto"/>
        </w:rPr>
        <w:t>Total long-term debt.</w:t>
      </w:r>
    </w:p>
    <w:p>
      <w:pPr>
        <w:spacing w:after="0" w:line="238"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rPr>
          <w:sz w:val="20"/>
          <w:szCs w:val="20"/>
          <w:color w:val="auto"/>
        </w:rPr>
      </w:pPr>
      <w:r>
        <w:rPr>
          <w:rFonts w:ascii="Courier New" w:cs="Courier New" w:eastAsia="Courier New" w:hAnsi="Courier New"/>
          <w:sz w:val="15"/>
          <w:szCs w:val="15"/>
          <w:color w:val="auto"/>
        </w:rPr>
        <w:t>Other income, net.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2"/>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decimal"/>
      <w:start w:val="2"/>
    </w:lvl>
  </w:abstractNum>
  <w:abstractNum w:abstractNumId="12">
    <w:nsid w:val="836C40E"/>
    <w:multiLevelType w:val="hybridMultilevel"/>
    <w:lvl w:ilvl="0">
      <w:lvlJc w:val="left"/>
      <w:lvlText w:val="(%1)"/>
      <w:numFmt w:val="decimal"/>
      <w:start w:val="30"/>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upperLetter"/>
      <w:start w:val="2"/>
    </w:lvl>
  </w:abstractNum>
  <w:abstractNum w:abstractNumId="15">
    <w:nsid w:val="8138641"/>
    <w:multiLevelType w:val="hybridMultilevel"/>
    <w:lvl w:ilvl="0">
      <w:lvlJc w:val="left"/>
      <w:lvlText w:val="(%1)"/>
      <w:numFmt w:val="decimal"/>
      <w:start w:val="2"/>
    </w:lvl>
  </w:abstractNum>
  <w:abstractNum w:abstractNumId="16">
    <w:nsid w:val="1E7FF521"/>
    <w:multiLevelType w:val="hybridMultilevel"/>
    <w:lvl w:ilvl="0">
      <w:lvlJc w:val="left"/>
      <w:lvlText w:val="(%1)"/>
      <w:numFmt w:val="decimal"/>
      <w:start w:val="3"/>
    </w:lvl>
  </w:abstractNum>
  <w:abstractNum w:abstractNumId="17">
    <w:nsid w:val="7C3DBD3D"/>
    <w:multiLevelType w:val="hybridMultilevel"/>
    <w:lvl w:ilvl="0">
      <w:lvlJc w:val="left"/>
      <w:lvlText w:val="%1."/>
      <w:numFmt w:val="upperLetter"/>
      <w:start w:val="9"/>
    </w:lvl>
  </w:abstractNum>
  <w:abstractNum w:abstractNumId="18">
    <w:nsid w:val="737B8DDC"/>
    <w:multiLevelType w:val="hybridMultilevel"/>
    <w:lvl w:ilvl="0">
      <w:lvlJc w:val="left"/>
      <w:lvlText w:val="(%1)"/>
      <w:numFmt w:val="lowerRoman"/>
      <w:start w:val="2"/>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1."/>
      <w:numFmt w:val="upperLetter"/>
      <w:start w:val="35"/>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upperLetter"/>
      <w:start w:val="2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2"/>
    </w:lvl>
  </w:abstractNum>
  <w:abstractNum w:abstractNumId="28">
    <w:nsid w:val="3804823E"/>
    <w:multiLevelType w:val="hybridMultilevel"/>
    <w:lvl w:ilvl="0">
      <w:lvlJc w:val="left"/>
      <w:lvlText w:val="%1"/>
      <w:numFmt w:val="upperLetter"/>
      <w:start w:val="6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2"/>
    </w:lvl>
  </w:abstractNum>
  <w:abstractNum w:abstractNumId="31">
    <w:nsid w:val="5C482A9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32">
    <w:nsid w:val="2463B9EA"/>
    <w:multiLevelType w:val="hybridMultilevel"/>
    <w:lvl w:ilvl="0">
      <w:lvlJc w:val="left"/>
      <w:lvlText w:val="%1"/>
      <w:numFmt w:val="lowerRoman"/>
      <w:start w:val="1"/>
    </w:lvl>
    <w:lvl w:ilvl="1">
      <w:lvlJc w:val="left"/>
      <w:lvlText w:val="(%2)"/>
      <w:numFmt w:val="lowerRoman"/>
      <w:start w:val="3"/>
    </w:lvl>
    <w:lvl w:ilvl="2">
      <w:lvlJc w:val="left"/>
      <w:lvlText w:val="(%3)"/>
      <w:numFmt w:val="lowerRoman"/>
    </w:lvl>
    <w:lvl w:ilvl="3">
      <w:lvlJc w:val="left"/>
      <w:lvlText w:val="(%4)"/>
      <w:numFmt w:val="lowerLetter"/>
      <w:start w:val="3"/>
    </w:lvl>
  </w:abstractNum>
  <w:abstractNum w:abstractNumId="33">
    <w:nsid w:val="5E884ADC"/>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upperLetter"/>
      <w:start w:val="9"/>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upperLetter"/>
      <w:start w:val="35"/>
    </w:lvl>
  </w:abstractNum>
  <w:abstractNum w:abstractNumId="38">
    <w:nsid w:val="3855585C"/>
    <w:multiLevelType w:val="hybridMultilevel"/>
    <w:lvl w:ilvl="0">
      <w:lvlJc w:val="left"/>
      <w:lvlText w:val="%1."/>
      <w:numFmt w:val="upperLetter"/>
      <w:start w:val="61"/>
    </w:lvl>
  </w:abstractNum>
  <w:abstractNum w:abstractNumId="39">
    <w:nsid w:val="70A64E2A"/>
    <w:multiLevelType w:val="hybridMultilevel"/>
    <w:lvl w:ilvl="0">
      <w:lvlJc w:val="left"/>
      <w:lvlText w:val="%1."/>
      <w:numFmt w:val="upperLetter"/>
      <w:start w:val="22"/>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Roman"/>
      <w:start w:val="1"/>
    </w:lvl>
    <w:lvl w:ilvl="1">
      <w:lvlJc w:val="left"/>
      <w:lvlText w:val="(%2)"/>
      <w:numFmt w:val="lowerLetter"/>
      <w:start w:val="3"/>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2020-02-22T13:17:51Z</dcterms:created>
  <dcterms:modified xsi:type="dcterms:W3CDTF">2020-02-22T13:17:51Z</dcterms:modified>
</cp:coreProperties>
</file>