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NASSAU ROBERT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08/25/2009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08/25/2009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S</w:t>
            </w:r>
          </w:p>
        </w:tc>
        <w:tc>
          <w:tcPr>
            <w:tcW w:w="700" w:type="dxa"/>
            <w:vAlign w:val="bottom"/>
          </w:tcPr>
          <w:p>
            <w:pPr>
              <w:ind w:left="300"/>
              <w:spacing w:after="0"/>
              <w:rPr>
                <w:sz w:val="20"/>
                <w:szCs w:val="20"/>
                <w:color w:val="auto"/>
              </w:rPr>
            </w:pPr>
            <w:r>
              <w:rPr>
                <w:rFonts w:ascii="Arial" w:cs="Arial" w:eastAsia="Arial" w:hAnsi="Arial"/>
                <w:sz w:val="18"/>
                <w:szCs w:val="18"/>
                <w:color w:val="0000FF"/>
              </w:rPr>
              <w:t>534</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38.782</w:t>
            </w:r>
          </w:p>
        </w:tc>
        <w:tc>
          <w:tcPr>
            <w:tcW w:w="380" w:type="dxa"/>
            <w:vAlign w:val="bottom"/>
          </w:tcPr>
          <w:p>
            <w:pPr>
              <w:spacing w:after="0"/>
              <w:rPr>
                <w:sz w:val="23"/>
                <w:szCs w:val="23"/>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1,018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1"/>
              </w:rPr>
              <w:t>Common Stock Units</w:t>
            </w:r>
          </w:p>
        </w:tc>
        <w:tc>
          <w:tcPr>
            <w:tcW w:w="10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right="97"/>
              <w:spacing w:after="0"/>
              <w:rPr>
                <w:sz w:val="20"/>
                <w:szCs w:val="20"/>
                <w:color w:val="auto"/>
              </w:rPr>
            </w:pPr>
            <w:r>
              <w:rPr>
                <w:rFonts w:ascii="Arial" w:cs="Arial" w:eastAsia="Arial" w:hAnsi="Arial"/>
                <w:sz w:val="18"/>
                <w:szCs w:val="18"/>
                <w:color w:val="0000FF"/>
              </w:rPr>
              <w:t>14,929.648</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ind w:left="92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common stock units acquired by the reporting person under the dividend reinvestment feature of The Toro Company Deferred Compensation Plan for Non-Employee Directors since the date of his last report: 62.053 units acquired on January 12, 2009, 85.698 units acquired on April 13, 2009 and 75.351 units acquired on July 10, 2009.</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08/25/2009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Barbara E. Buisman, Amy E. Dahl, Timothy P. Dordell and Stephen P. Wolfe, signing singly, true and lawful attorneys-in-fact relative to the filings identified below in connection with the undersigned's derivative and non-derivative securities of The Toro Company (the ?Company?) to:</w:t>
      </w:r>
    </w:p>
    <w:p>
      <w:pPr>
        <w:spacing w:after="0" w:line="210" w:lineRule="exact"/>
        <w:rPr>
          <w:sz w:val="20"/>
          <w:szCs w:val="20"/>
          <w:color w:val="auto"/>
        </w:rPr>
      </w:pPr>
    </w:p>
    <w:p>
      <w:pPr>
        <w:ind w:right="3359" w:firstLine="8"/>
        <w:spacing w:after="0" w:line="236"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and the rules thereunder;</w:t>
      </w:r>
    </w:p>
    <w:p>
      <w:pPr>
        <w:spacing w:after="0" w:line="208" w:lineRule="exact"/>
        <w:rPr>
          <w:rFonts w:ascii="Courier New" w:cs="Courier New" w:eastAsia="Courier New" w:hAnsi="Courier New"/>
          <w:sz w:val="18"/>
          <w:szCs w:val="18"/>
          <w:color w:val="auto"/>
        </w:rPr>
      </w:pPr>
    </w:p>
    <w:p>
      <w:pPr>
        <w:ind w:right="3459" w:firstLine="8"/>
        <w:spacing w:after="0" w:line="273"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and 5 and the timely filing of such forms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ind w:right="32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either of their discretions.</w:t>
      </w:r>
    </w:p>
    <w:p>
      <w:pPr>
        <w:spacing w:after="0" w:line="212" w:lineRule="exact"/>
        <w:rPr>
          <w:sz w:val="20"/>
          <w:szCs w:val="20"/>
          <w:color w:val="auto"/>
        </w:rPr>
      </w:pPr>
    </w:p>
    <w:p>
      <w:pPr>
        <w:ind w:right="325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and the rules thereunder.</w:t>
      </w:r>
    </w:p>
    <w:p>
      <w:pPr>
        <w:spacing w:after="0" w:line="38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this 20th day of January, 2009, and said Power of Attorney shall remain in effect until revoked by the undersigned in writing, or at such time as the undersigned is no longer an officer of the Company, whichever first occurs.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/s/ Robert H. Nassau</w:t>
      </w:r>
    </w:p>
    <w:p>
      <w:pPr>
        <w:ind w:left="860"/>
        <w:spacing w:after="0" w:line="238" w:lineRule="auto"/>
        <w:rPr>
          <w:sz w:val="20"/>
          <w:szCs w:val="20"/>
          <w:color w:val="auto"/>
        </w:rPr>
      </w:pPr>
      <w:r>
        <w:rPr>
          <w:rFonts w:ascii="Courier New" w:cs="Courier New" w:eastAsia="Courier New" w:hAnsi="Courier New"/>
          <w:sz w:val="18"/>
          <w:szCs w:val="18"/>
          <w:color w:val="auto"/>
        </w:rPr>
        <w:t>Robert H. Nassau</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3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2019-12-16T23:09:58Z</dcterms:created>
  <dcterms:modified xsi:type="dcterms:W3CDTF">2019-12-16T23:09:58Z</dcterms:modified>
</cp:coreProperties>
</file>