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80" w:hanging="509"/>
        <w:spacing w:after="0"/>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20" w:hanging="549"/>
        <w:spacing w:after="0"/>
        <w:tabs>
          <w:tab w:leader="none" w:pos="9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4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jc w:val="right"/>
              <w:ind w:right="4948"/>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Page</w:t>
            </w:r>
          </w:p>
        </w:tc>
      </w:tr>
      <w:tr>
        <w:trPr>
          <w:trHeight w:val="318"/>
        </w:trPr>
        <w:tc>
          <w:tcPr>
            <w:tcW w:w="46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440" w:type="dxa"/>
            <w:vAlign w:val="bottom"/>
            <w:gridSpan w:val="2"/>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22" w:gutter="0" w:footer="0" w:header="0"/>
        </w:sectPr>
      </w:pPr>
    </w:p>
    <w:bookmarkStart w:id="1" w:name="page2"/>
    <w:bookmarkEnd w:id="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Toro Company Profit-Sharing Plan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Plymouth Union Employees:</w:t>
      </w:r>
    </w:p>
    <w:p>
      <w:pPr>
        <w:spacing w:after="0" w:line="211" w:lineRule="exact"/>
        <w:rPr>
          <w:sz w:val="20"/>
          <w:szCs w:val="20"/>
          <w:color w:val="auto"/>
        </w:rPr>
      </w:pPr>
    </w:p>
    <w:p>
      <w:pPr>
        <w:ind w:left="340" w:right="30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Profit-Sharing Plan for Plymouth Union Employees (the Plan) as of December 31, 2011 and 2010, and the related statements of changes in net assets available for benefits for the years then ended. These financial statements are the responsibility of the Plan’s sponsor. Our responsibility is to express an opinion on these financial statements based on our audits.</w:t>
      </w:r>
    </w:p>
    <w:p>
      <w:pPr>
        <w:spacing w:after="0" w:line="187"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188" w:lineRule="exact"/>
        <w:rPr>
          <w:sz w:val="20"/>
          <w:szCs w:val="20"/>
          <w:color w:val="auto"/>
        </w:rPr>
      </w:pPr>
    </w:p>
    <w:p>
      <w:pPr>
        <w:ind w:left="340"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2011 and 2010 and the changes in net assets available for benefits for the years then ended, in conformity with U.S. generally accepted accounting principles.</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3,094,676</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contribution receivable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Employer contribution receivable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904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receivables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assets before adjustment at fair value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3,098,052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3,086,967</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3,237,994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rPr>
              <w:t>THE TORO COMPANY PROFIT-SHARING PLAN</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 PLYMOUTH UNION EMPLOYEES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color w:val="auto"/>
                <w:w w:val="88"/>
              </w:rPr>
              <w:t>Years Ended December 31, 2011 and 2010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 (loss) income: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(loss) income of the Toro Company Master Trust Fund</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(42,930)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520"/>
              <w:spacing w:after="0"/>
              <w:rPr>
                <w:sz w:val="20"/>
                <w:szCs w:val="20"/>
                <w:color w:val="auto"/>
              </w:rPr>
            </w:pPr>
            <w:r>
              <w:rPr>
                <w:rFonts w:ascii="Arial" w:cs="Arial" w:eastAsia="Arial" w:hAnsi="Arial"/>
                <w:sz w:val="18"/>
                <w:szCs w:val="18"/>
                <w:color w:val="auto"/>
              </w:rPr>
              <w:t>Net investment (loss) income</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711,572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vMerge w:val="continue"/>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49,754</w:t>
            </w:r>
          </w:p>
        </w:tc>
        <w:tc>
          <w:tcPr>
            <w:tcW w:w="1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49,320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-2413000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6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139,511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520"/>
              <w:spacing w:after="0"/>
              <w:rPr>
                <w:sz w:val="20"/>
                <w:szCs w:val="20"/>
                <w:color w:val="auto"/>
              </w:rPr>
            </w:pPr>
            <w:r>
              <w:rPr>
                <w:rFonts w:ascii="Arial" w:cs="Arial" w:eastAsia="Arial" w:hAnsi="Arial"/>
                <w:sz w:val="18"/>
                <w:szCs w:val="18"/>
                <w:color w:val="auto"/>
              </w:rPr>
              <w:t>Total contributions</w:t>
            </w:r>
          </w:p>
        </w:tc>
        <w:tc>
          <w:tcPr>
            <w:tcW w:w="1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189,265</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194,746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additions to net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146,335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906,318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payments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(297,362)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(398,789)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deductions from net assets</w:t>
            </w:r>
          </w:p>
        </w:tc>
        <w:tc>
          <w:tcPr>
            <w:tcW w:w="1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(297,362)</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(398,789)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Assets transferred from the Plan</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(decrease) increase in net assets available for benefits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(151,027)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507,172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3,237,994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End of year</w:t>
            </w:r>
          </w:p>
        </w:tc>
        <w:tc>
          <w:tcPr>
            <w:tcW w:w="17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3,086,967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3,237,994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2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to the Plan document amended and restated as of January 1, 2009 for more complete information as it relates to calendar years prior to 2012. The Plan document was amended and restated effective January 1, 2012 as part of the regular three-year cycle of amendments and restatements.</w:t>
      </w:r>
    </w:p>
    <w:p>
      <w:pPr>
        <w:spacing w:after="0" w:line="186" w:lineRule="exact"/>
        <w:rPr>
          <w:rFonts w:ascii="Arial" w:cs="Arial" w:eastAsia="Arial" w:hAnsi="Arial"/>
          <w:sz w:val="18"/>
          <w:szCs w:val="18"/>
          <w:b w:val="1"/>
          <w:bCs w:val="1"/>
          <w:color w:val="auto"/>
        </w:rPr>
      </w:pPr>
    </w:p>
    <w:p>
      <w:pPr>
        <w:ind w:left="58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Toro Company (the Company) also makes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 accumulated annually thereafter until the participant is 100% vested. All contributions under the Plan are made to a trust that holds all of the assets of the Plan.</w:t>
      </w:r>
    </w:p>
    <w:p>
      <w:pPr>
        <w:spacing w:after="0" w:line="178" w:lineRule="exact"/>
        <w:rPr>
          <w:rFonts w:ascii="Arial" w:cs="Arial" w:eastAsia="Arial" w:hAnsi="Arial"/>
          <w:sz w:val="18"/>
          <w:szCs w:val="18"/>
          <w:b w:val="1"/>
          <w:bCs w:val="1"/>
          <w:color w:val="auto"/>
        </w:rPr>
      </w:pPr>
    </w:p>
    <w:p>
      <w:pPr>
        <w:ind w:left="58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and the Company may make contributions to the Plan. The investments of employee and employer contributions are selected by the participants.</w:t>
      </w:r>
    </w:p>
    <w:p>
      <w:pPr>
        <w:spacing w:after="0" w:line="17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rFonts w:ascii="Arial" w:cs="Arial" w:eastAsia="Arial" w:hAnsi="Arial"/>
          <w:sz w:val="18"/>
          <w:szCs w:val="18"/>
          <w:b w:val="1"/>
          <w:bCs w:val="1"/>
          <w:color w:val="auto"/>
        </w:rPr>
      </w:pP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par value $1.00 per share, of the Company (Common Stock), a withdrawal or distribution can be in the form of Common Stock or cash.</w:t>
      </w:r>
    </w:p>
    <w:p>
      <w:pPr>
        <w:spacing w:after="0" w:line="188" w:lineRule="exact"/>
        <w:rPr>
          <w:rFonts w:ascii="Arial" w:cs="Arial" w:eastAsia="Arial" w:hAnsi="Arial"/>
          <w:sz w:val="18"/>
          <w:szCs w:val="18"/>
          <w:b w:val="1"/>
          <w:bCs w:val="1"/>
          <w:color w:val="auto"/>
        </w:rPr>
      </w:pPr>
    </w:p>
    <w:p>
      <w:pPr>
        <w:ind w:left="58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at its discretion, may make a matching contribution.</w:t>
      </w:r>
    </w:p>
    <w:p>
      <w:pPr>
        <w:spacing w:after="0" w:line="170" w:lineRule="exact"/>
        <w:rPr>
          <w:rFonts w:ascii="Arial" w:cs="Arial" w:eastAsia="Arial" w:hAnsi="Arial"/>
          <w:sz w:val="18"/>
          <w:szCs w:val="18"/>
          <w:b w:val="1"/>
          <w:bCs w:val="1"/>
          <w:color w:val="auto"/>
        </w:rPr>
      </w:pPr>
    </w:p>
    <w:p>
      <w:pPr>
        <w:ind w:left="580" w:right="760"/>
        <w:spacing w:after="0" w:line="563" w:lineRule="auto"/>
        <w:rPr>
          <w:rFonts w:ascii="Arial" w:cs="Arial" w:eastAsia="Arial" w:hAnsi="Arial"/>
          <w:sz w:val="18"/>
          <w:szCs w:val="18"/>
          <w:b w:val="1"/>
          <w:bCs w:val="1"/>
          <w:color w:val="auto"/>
        </w:rPr>
      </w:pPr>
      <w:r>
        <w:rPr>
          <w:rFonts w:ascii="Arial" w:cs="Arial" w:eastAsia="Arial" w:hAnsi="Arial"/>
          <w:sz w:val="16"/>
          <w:szCs w:val="16"/>
          <w:color w:val="auto"/>
        </w:rPr>
        <w:t>Transfers to/from other funds, represent participant elected rollovers to/from other plans of other employers or other transfers to/from plans. Forfeited amounts from nonvested accounts totaled $10 and $29 during the Plan years ended December 31, 2011 and 2010, respectively.</w:t>
      </w:r>
    </w:p>
    <w:p>
      <w:pPr>
        <w:spacing w:after="0" w:line="1" w:lineRule="exact"/>
        <w:rPr>
          <w:rFonts w:ascii="Arial" w:cs="Arial" w:eastAsia="Arial" w:hAnsi="Arial"/>
          <w:sz w:val="18"/>
          <w:szCs w:val="18"/>
          <w:b w:val="1"/>
          <w:bCs w:val="1"/>
          <w:color w:val="auto"/>
        </w:rPr>
      </w:pPr>
    </w:p>
    <w:p>
      <w:pPr>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all administrative costs of the Plan, with the exception of investment management fees, which are netted against investment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ectPr>
          <w:pgSz w:w="11900" w:h="16838" w:orient="portrait"/>
          <w:cols w:equalWidth="0" w:num="1">
            <w:col w:w="11420"/>
          </w:cols>
          <w:pgMar w:left="240" w:top="140" w:right="2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2011 and 2010</w:t>
      </w:r>
    </w:p>
    <w:p>
      <w:pPr>
        <w:spacing w:after="0" w:line="22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rFonts w:ascii="Arial" w:cs="Arial" w:eastAsia="Arial" w:hAnsi="Arial"/>
          <w:sz w:val="18"/>
          <w:szCs w:val="18"/>
          <w:b w:val="1"/>
          <w:bCs w:val="1"/>
          <w:i w:val="1"/>
          <w:iCs w:val="1"/>
          <w:color w:val="auto"/>
        </w:rPr>
      </w:pPr>
    </w:p>
    <w:p>
      <w:pPr>
        <w:ind w:left="980" w:right="5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w:t>
      </w:r>
    </w:p>
    <w:p>
      <w:pPr>
        <w:spacing w:after="0" w:line="170"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rFonts w:ascii="Arial" w:cs="Arial" w:eastAsia="Arial" w:hAnsi="Arial"/>
          <w:sz w:val="18"/>
          <w:szCs w:val="18"/>
          <w:b w:val="1"/>
          <w:bCs w:val="1"/>
          <w:i w:val="1"/>
          <w:iCs w:val="1"/>
          <w:color w:val="auto"/>
        </w:rPr>
      </w:pPr>
    </w:p>
    <w:p>
      <w:pPr>
        <w:ind w:left="98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rFonts w:ascii="Arial" w:cs="Arial" w:eastAsia="Arial" w:hAnsi="Arial"/>
          <w:sz w:val="18"/>
          <w:szCs w:val="18"/>
          <w:b w:val="1"/>
          <w:bCs w:val="1"/>
          <w:i w:val="1"/>
          <w:iCs w:val="1"/>
          <w:color w:val="auto"/>
        </w:rPr>
      </w:pPr>
    </w:p>
    <w:p>
      <w:pPr>
        <w:ind w:left="980" w:right="6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maintains one Master Trust for two profit sharing and retirement plans that are sponsored by the Company. The two plans are the Plan and The Toro Company Investment, Savings, and Employee Stock Ownership Plan.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72" w:lineRule="exact"/>
        <w:rPr>
          <w:rFonts w:ascii="Arial" w:cs="Arial" w:eastAsia="Arial" w:hAnsi="Arial"/>
          <w:sz w:val="18"/>
          <w:szCs w:val="18"/>
          <w:b w:val="1"/>
          <w:bCs w:val="1"/>
          <w:i w:val="1"/>
          <w:iCs w:val="1"/>
          <w:color w:val="auto"/>
        </w:rPr>
      </w:pPr>
    </w:p>
    <w:p>
      <w:pPr>
        <w:jc w:val="both"/>
        <w:ind w:left="980" w:right="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each of December 31, 2011 and 2010.</w:t>
      </w:r>
    </w:p>
    <w:p>
      <w:pPr>
        <w:spacing w:after="0" w:line="181"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rFonts w:ascii="Arial" w:cs="Arial" w:eastAsia="Arial" w:hAnsi="Arial"/>
          <w:sz w:val="18"/>
          <w:szCs w:val="18"/>
          <w:b w:val="1"/>
          <w:bCs w:val="1"/>
          <w:i w:val="1"/>
          <w:iCs w:val="1"/>
          <w:color w:val="auto"/>
        </w:rPr>
      </w:pPr>
    </w:p>
    <w:p>
      <w:pPr>
        <w:ind w:left="980" w:right="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86"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rFonts w:ascii="Arial" w:cs="Arial" w:eastAsia="Arial" w:hAnsi="Arial"/>
          <w:sz w:val="18"/>
          <w:szCs w:val="18"/>
          <w:b w:val="1"/>
          <w:bCs w:val="1"/>
          <w:i w:val="1"/>
          <w:iCs w:val="1"/>
          <w:color w:val="auto"/>
        </w:rPr>
      </w:pPr>
    </w:p>
    <w:p>
      <w:pPr>
        <w:ind w:left="980" w:right="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 of net assets available for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assets held by the Master Trust include Common Stock. At December 31, 2011 and 2010, approximately 33% and 34%, respectively, of the investments of the Master Trust were invested in Common Stock. The underlying value of the Common Stock is entirely dependent upon the performance of the Company and the market’s evaluation of such performance and other factors.</w:t>
      </w:r>
    </w:p>
    <w:p>
      <w:pPr>
        <w:spacing w:after="0" w:line="181" w:lineRule="exact"/>
        <w:rPr>
          <w:sz w:val="20"/>
          <w:szCs w:val="20"/>
          <w:color w:val="auto"/>
        </w:rPr>
      </w:pPr>
    </w:p>
    <w:p>
      <w:pPr>
        <w:ind w:left="1000" w:hanging="421"/>
        <w:spacing w:after="0"/>
        <w:tabs>
          <w:tab w:leader="none" w:pos="100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rFonts w:ascii="Arial" w:cs="Arial" w:eastAsia="Arial" w:hAnsi="Arial"/>
          <w:sz w:val="18"/>
          <w:szCs w:val="18"/>
          <w:b w:val="1"/>
          <w:bCs w:val="1"/>
          <w:i w:val="1"/>
          <w:iCs w:val="1"/>
          <w:color w:val="auto"/>
        </w:rPr>
      </w:pPr>
    </w:p>
    <w:p>
      <w:pPr>
        <w:ind w:left="980" w:right="10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2011 and 2010 was 1.56% and 2.38%, respectively.</w:t>
      </w:r>
    </w:p>
    <w:p>
      <w:pPr>
        <w:spacing w:after="0" w:line="158" w:lineRule="exact"/>
        <w:rPr>
          <w:rFonts w:ascii="Arial" w:cs="Arial" w:eastAsia="Arial" w:hAnsi="Arial"/>
          <w:sz w:val="18"/>
          <w:szCs w:val="18"/>
          <w:b w:val="1"/>
          <w:bCs w:val="1"/>
          <w:i w:val="1"/>
          <w:iCs w:val="1"/>
          <w:color w:val="auto"/>
        </w:rPr>
      </w:pPr>
    </w:p>
    <w:p>
      <w:pPr>
        <w:ind w:left="980" w:right="2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89" w:lineRule="exact"/>
        <w:rPr>
          <w:rFonts w:ascii="Arial" w:cs="Arial" w:eastAsia="Arial" w:hAnsi="Arial"/>
          <w:sz w:val="18"/>
          <w:szCs w:val="18"/>
          <w:b w:val="1"/>
          <w:bCs w:val="1"/>
          <w:i w:val="1"/>
          <w:iCs w:val="1"/>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ectPr>
          <w:pgSz w:w="11900" w:h="16838" w:orient="portrait"/>
          <w:cols w:equalWidth="0" w:num="1">
            <w:col w:w="11400"/>
          </w:cols>
          <w:pgMar w:left="240" w:top="341" w:right="259" w:bottom="0" w:gutter="0" w:footer="0" w:header="0"/>
        </w:sectPr>
      </w:pPr>
    </w:p>
    <w:bookmarkStart w:id="4" w:name="page5"/>
    <w:bookmarkEnd w:id="4"/>
    <w:p>
      <w:pPr>
        <w:spacing w:after="0" w:line="9" w:lineRule="exact"/>
        <w:rPr>
          <w:sz w:val="20"/>
          <w:szCs w:val="20"/>
          <w:color w:val="auto"/>
        </w:rPr>
      </w:pPr>
    </w:p>
    <w:p>
      <w:pPr>
        <w:ind w:left="580" w:right="480"/>
        <w:spacing w:after="0" w:line="312" w:lineRule="auto"/>
        <w:rPr>
          <w:sz w:val="20"/>
          <w:szCs w:val="20"/>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3"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8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5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Trust is allocated to the individual plans based upon beginning of the month balances invested in the Plan.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Fair values of Master Trust investments at December 31, 2011 and 2010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123,846,192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116,012,014</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194,700,457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211,007,726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Pooled Funds</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90,484,097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85,415,812</w:t>
            </w:r>
          </w:p>
        </w:tc>
      </w:tr>
      <w:tr>
        <w:trPr>
          <w:trHeight w:val="210"/>
        </w:trPr>
        <w:tc>
          <w:tcPr>
            <w:tcW w:w="6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Master Trust Investments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609,897,816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Interest in Master Trust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3,094,676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3,240,258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(loss) income for the Master Trust for the years-ended December 31, 2011 and 2010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(depreciation) apreciation in fair value of investments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Common Collective Trusts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3,813,068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5,454,739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Registered Investment Securities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(14,156,594)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25,287,058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(3,194,567)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72,947,240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Pooled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131,732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Net realized and unrealized (depreciation) appreciation</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(13,406,361)</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112,333,529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6,942,980</w:t>
            </w:r>
          </w:p>
        </w:tc>
        <w:tc>
          <w:tcPr>
            <w:tcW w:w="3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4,457,733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investment (loss) income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(6,463,381</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116,791,262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8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ectPr>
          <w:pgSz w:w="11900" w:h="16847" w:orient="portrait"/>
          <w:cols w:equalWidth="0" w:num="1">
            <w:col w:w="11360"/>
          </w:cols>
          <w:pgMar w:left="240" w:top="341" w:right="299" w:bottom="0" w:gutter="0" w:footer="0" w:header="0"/>
        </w:sectPr>
      </w:pPr>
    </w:p>
    <w:bookmarkStart w:id="5" w:name="page6"/>
    <w:bookmarkEnd w:id="5"/>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Master Trust’s investments in Common Stock and registered investment securities are classified as Level 1 assets in the fair value hierarchy, while the Master Trust’s investments in common collective trusts and pooled funds are classified as Level 2 assets in the fair value hierarchy. Common collective trusts and pooled funds are valued at Net Asset Value (NAV), which is based on the fair value of the underlying securities owned by the fund and divided by the number of shares outstanding. The NAV unit price is quoted on a private market that is not 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2011 and 2010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2011</w:t>
            </w: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Registered Investment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194,700,457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194,700,457</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123,846,192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123,846,192</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Pooled Funds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90,484,097</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90,484,097</w:t>
            </w:r>
          </w:p>
        </w:tc>
      </w:tr>
      <w:tr>
        <w:trPr>
          <w:trHeight w:val="210"/>
        </w:trPr>
        <w:tc>
          <w:tcPr>
            <w:tcW w:w="5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395,567,527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214,330,289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609,897,816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2010</w:t>
            </w: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Registered Investment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216,205,251</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116,012,014</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116,012,014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Pooled Funds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85,415,812</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85,415,812</w:t>
            </w:r>
          </w:p>
        </w:tc>
      </w:tr>
      <w:tr>
        <w:trPr>
          <w:trHeight w:val="210"/>
        </w:trPr>
        <w:tc>
          <w:tcPr>
            <w:tcW w:w="5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427,212,977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201,427,826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years ended December 31, 2011 and 2010.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2011 and 2010 that represent 5% or more of the Master Trust’s net assets in either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4"/>
                <w:szCs w:val="14"/>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106,043,767</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101,268,883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Fidelity Diversified International Fund</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33,825,531</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50,201,839</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57,928,854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T. Rowe Price Equity Income Fund</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37,529,027</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Eaton Vance Large Cap Value I</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40,767,149</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The Toro Company Common Stock</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200,867,070</w:t>
            </w:r>
          </w:p>
        </w:tc>
        <w:tc>
          <w:tcPr>
            <w:tcW w:w="2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211,007,726</w:t>
            </w:r>
          </w:p>
        </w:tc>
      </w:tr>
    </w:tbl>
    <w:p>
      <w:pPr>
        <w:spacing w:after="0" w:line="183"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8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Internal Revenue Service (IRS) has determined and informed the Company by a letter dated February 19, 2008,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applicable requirements of the IRC and therefore believes that the Plan is qualified and the related trust is tax-exempt.</w:t>
      </w:r>
    </w:p>
    <w:p>
      <w:pPr>
        <w:spacing w:after="0" w:line="225" w:lineRule="exact"/>
        <w:rPr>
          <w:sz w:val="20"/>
          <w:szCs w:val="20"/>
          <w:color w:val="auto"/>
        </w:rPr>
      </w:pPr>
    </w:p>
    <w:p>
      <w:pPr>
        <w:ind w:left="580" w:right="460"/>
        <w:spacing w:after="0" w:line="259" w:lineRule="auto"/>
        <w:rPr>
          <w:sz w:val="20"/>
          <w:szCs w:val="20"/>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2008.</w:t>
      </w:r>
    </w:p>
    <w:p>
      <w:pPr>
        <w:spacing w:after="0" w:line="18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66" w:lineRule="exact"/>
        <w:rPr>
          <w:rFonts w:ascii="Arial" w:cs="Arial" w:eastAsia="Arial" w:hAnsi="Arial"/>
          <w:sz w:val="18"/>
          <w:szCs w:val="18"/>
          <w:b w:val="1"/>
          <w:bCs w:val="1"/>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3,086,967</w:t>
            </w:r>
          </w:p>
        </w:tc>
        <w:tc>
          <w:tcPr>
            <w:tcW w:w="100" w:type="dxa"/>
            <w:vAlign w:val="bottom"/>
            <w:shd w:val="clear" w:color="auto" w:fill="CCEEFF"/>
          </w:tcPr>
          <w:p>
            <w:pPr>
              <w:spacing w:after="0"/>
              <w:rPr>
                <w:sz w:val="18"/>
                <w:szCs w:val="18"/>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r>
      <w:tr>
        <w:trPr>
          <w:trHeight w:val="210"/>
        </w:trPr>
        <w:tc>
          <w:tcPr>
            <w:tcW w:w="8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rPr>
              <w:t>Net assets available for benefits as presented on Form 5500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3,098,052</w:t>
            </w:r>
          </w:p>
        </w:tc>
        <w:tc>
          <w:tcPr>
            <w:tcW w:w="100" w:type="dxa"/>
            <w:vAlign w:val="bottom"/>
          </w:tcPr>
          <w:p>
            <w:pPr>
              <w:spacing w:after="0"/>
              <w:rPr>
                <w:sz w:val="18"/>
                <w:szCs w:val="18"/>
                <w:color w:val="auto"/>
              </w:rPr>
            </w:pPr>
          </w:p>
        </w:tc>
      </w:tr>
    </w:tbl>
    <w:p>
      <w:pPr>
        <w:sectPr>
          <w:pgSz w:w="11900" w:h="16897" w:orient="portrait"/>
          <w:cols w:equalWidth="0" w:num="1">
            <w:col w:w="11420"/>
          </w:cols>
          <w:pgMar w:left="240" w:top="341" w:right="239" w:bottom="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8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(151,027)</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gridSpan w:val="2"/>
          </w:tcPr>
          <w:p>
            <w:pPr>
              <w:ind w:left="84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11,085</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 from contract value to fair value for fully benefit-responsive investment contracts at December 31,</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jc w:val="right"/>
              <w:ind w:right="32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8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w w:val="99"/>
              </w:rPr>
              <w:t>The Toro Company Profit-Sharing Plan for Plymouth Union Employees</w:t>
            </w:r>
          </w:p>
        </w:tc>
        <w:tc>
          <w:tcPr>
            <w:tcW w:w="40" w:type="dxa"/>
            <w:vAlign w:val="bottom"/>
          </w:tcPr>
          <w:p>
            <w:pPr>
              <w:spacing w:after="0"/>
              <w:rPr>
                <w:sz w:val="20"/>
                <w:szCs w:val="20"/>
                <w:color w:val="auto"/>
              </w:rPr>
            </w:pPr>
          </w:p>
        </w:tc>
      </w:tr>
      <w:tr>
        <w:trPr>
          <w:trHeight w:val="648"/>
        </w:trPr>
        <w:tc>
          <w:tcPr>
            <w:tcW w:w="1720" w:type="dxa"/>
            <w:vAlign w:val="bottom"/>
            <w:gridSpan w:val="3"/>
          </w:tcPr>
          <w:p>
            <w:pPr>
              <w:spacing w:after="0"/>
              <w:rPr>
                <w:sz w:val="20"/>
                <w:szCs w:val="20"/>
                <w:color w:val="auto"/>
              </w:rPr>
            </w:pPr>
            <w:r>
              <w:rPr>
                <w:rFonts w:ascii="Arial" w:cs="Arial" w:eastAsia="Arial" w:hAnsi="Arial"/>
                <w:sz w:val="18"/>
                <w:szCs w:val="18"/>
                <w:color w:val="auto"/>
              </w:rPr>
              <w:t>Date:  June 26, 2012</w:t>
            </w:r>
          </w:p>
        </w:tc>
        <w:tc>
          <w:tcPr>
            <w:tcW w:w="320" w:type="dxa"/>
            <w:vAlign w:val="bottom"/>
          </w:tcPr>
          <w:p>
            <w:pPr>
              <w:spacing w:after="0"/>
              <w:rPr>
                <w:sz w:val="24"/>
                <w:szCs w:val="24"/>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20" w:type="dxa"/>
            <w:vAlign w:val="bottom"/>
          </w:tcPr>
          <w:p>
            <w:pPr>
              <w:ind w:left="3740"/>
              <w:spacing w:after="0" w:line="182" w:lineRule="exact"/>
              <w:rPr>
                <w:sz w:val="20"/>
                <w:szCs w:val="20"/>
                <w:color w:val="auto"/>
              </w:rPr>
            </w:pPr>
            <w:r>
              <w:rPr>
                <w:rFonts w:ascii="Arial" w:cs="Arial" w:eastAsia="Arial" w:hAnsi="Arial"/>
                <w:sz w:val="17"/>
                <w:szCs w:val="17"/>
                <w:color w:val="auto"/>
                <w:w w:val="71"/>
              </w:rPr>
              <w:t>Renee</w:t>
            </w:r>
          </w:p>
        </w:tc>
        <w:tc>
          <w:tcPr>
            <w:tcW w:w="526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80" w:type="dxa"/>
            <w:vAlign w:val="bottom"/>
            <w:gridSpan w:val="2"/>
          </w:tcPr>
          <w:p>
            <w:pPr>
              <w:ind w:left="374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gridSpan w:val="2"/>
          </w:tcPr>
          <w:p>
            <w:pPr>
              <w:jc w:val="center"/>
              <w:ind w:left="3450"/>
              <w:spacing w:after="0"/>
              <w:rPr>
                <w:sz w:val="20"/>
                <w:szCs w:val="20"/>
                <w:color w:val="auto"/>
              </w:rPr>
            </w:pPr>
            <w:r>
              <w:rPr>
                <w:rFonts w:ascii="Arial" w:cs="Arial" w:eastAsia="Arial" w:hAnsi="Arial"/>
                <w:sz w:val="18"/>
                <w:szCs w:val="18"/>
                <w:color w:val="auto"/>
                <w:w w:val="89"/>
              </w:rPr>
              <w:t>10</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7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gridSpan w:val="2"/>
          </w:tcPr>
          <w:p>
            <w:pPr>
              <w:jc w:val="center"/>
              <w:ind w:right="1959"/>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24"/>
                <w:szCs w:val="24"/>
                <w:color w:val="auto"/>
              </w:rPr>
            </w:pPr>
          </w:p>
        </w:tc>
      </w:tr>
      <w:tr>
        <w:trPr>
          <w:trHeight w:val="365"/>
        </w:trPr>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60" w:type="dxa"/>
            <w:vAlign w:val="bottom"/>
          </w:tcPr>
          <w:p>
            <w:pPr>
              <w:ind w:left="2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4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gridSpan w:val="2"/>
          </w:tcPr>
          <w:p>
            <w:pPr>
              <w:jc w:val="center"/>
              <w:ind w:left="3450"/>
              <w:spacing w:after="0"/>
              <w:rPr>
                <w:sz w:val="20"/>
                <w:szCs w:val="20"/>
                <w:color w:val="auto"/>
              </w:rPr>
            </w:pPr>
            <w:r>
              <w:rPr>
                <w:rFonts w:ascii="Arial" w:cs="Arial" w:eastAsia="Arial" w:hAnsi="Arial"/>
                <w:sz w:val="18"/>
                <w:szCs w:val="18"/>
                <w:color w:val="auto"/>
                <w:w w:val="89"/>
              </w:rPr>
              <w:t>11</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(No. 333-119506) on Form S-8 of The Toro Company, of our report dated June 26, 2012, with respect to the statements of net assets available for benefits of The Toro Company Profit-Sharing Plan for Plymouth Union Employees as of December 31, 2011 and 2010, and the related statements of changes in net assets available for benefits for the years then ended, which report appears in the December 31, 2011 annual report on Form 11-K of The Toro Company Profit-Sharing Plan for Plymouth Union Employees.</w:t>
      </w:r>
    </w:p>
    <w:p>
      <w:pPr>
        <w:spacing w:after="0" w:line="17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5"/>
    </w:lvl>
  </w:abstractNum>
  <w:abstractNum w:abstractNumId="5">
    <w:nsid w:val="79E2A9E3"/>
    <w:multiLevelType w:val="hybridMultilevel"/>
    <w:lvl w:ilvl="0">
      <w:lvlJc w:val="left"/>
      <w:lvlText w:val="(%1)"/>
      <w:numFmt w:val="decimal"/>
      <w:start w:val="3"/>
    </w:lvl>
    <w:lvl w:ilvl="1">
      <w:lvlJc w:val="left"/>
      <w:lvlText w:val="%2"/>
      <w:numFmt w:val="lowerLetter"/>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2019-12-09T07:51:31Z</dcterms:created>
  <dcterms:modified xsi:type="dcterms:W3CDTF">2019-12-09T07:51:31Z</dcterms:modified>
</cp:coreProperties>
</file>