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ETTINGER JEFFREY 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260" w:type="dxa"/>
            <w:vAlign w:val="bottom"/>
            <w:tcBorders>
              <w:top w:val="single" w:sz="8" w:color="0000EE"/>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07/01/2010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60" w:type="dxa"/>
            <w:vAlign w:val="bottom"/>
          </w:tcPr>
          <w:p>
            <w:pPr>
              <w:ind w:left="340"/>
              <w:spacing w:after="0"/>
              <w:rPr>
                <w:sz w:val="20"/>
                <w:szCs w:val="20"/>
                <w:color w:val="auto"/>
              </w:rPr>
            </w:pPr>
            <w:r>
              <w:rPr>
                <w:rFonts w:ascii="Arial" w:cs="Arial" w:eastAsia="Arial" w:hAnsi="Arial"/>
                <w:sz w:val="14"/>
                <w:szCs w:val="14"/>
                <w:color w:val="auto"/>
              </w:rPr>
              <w:t>(First)</w:t>
            </w:r>
          </w:p>
        </w:tc>
        <w:tc>
          <w:tcPr>
            <w:tcW w:w="1300" w:type="dxa"/>
            <w:vAlign w:val="bottom"/>
          </w:tcPr>
          <w:p>
            <w:pPr>
              <w:ind w:left="2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8111 LYNDALE AVENUE SOUTH</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940" w:type="dxa"/>
            <w:vAlign w:val="bottom"/>
            <w:gridSpan w:val="2"/>
          </w:tcPr>
          <w:p>
            <w:pPr>
              <w:ind w:left="20"/>
              <w:spacing w:after="0"/>
              <w:rPr>
                <w:sz w:val="20"/>
                <w:szCs w:val="20"/>
                <w:color w:val="auto"/>
              </w:rPr>
            </w:pPr>
            <w:r>
              <w:rPr>
                <w:rFonts w:ascii="Arial" w:cs="Arial" w:eastAsia="Arial" w:hAnsi="Arial"/>
                <w:sz w:val="18"/>
                <w:szCs w:val="18"/>
                <w:color w:val="0000FF"/>
              </w:rPr>
              <w:t>BLOOMINGTON MN</w:t>
            </w:r>
          </w:p>
        </w:tc>
        <w:tc>
          <w:tcPr>
            <w:tcW w:w="1300" w:type="dxa"/>
            <w:vAlign w:val="bottom"/>
          </w:tcPr>
          <w:p>
            <w:pPr>
              <w:jc w:val="right"/>
              <w:ind w:right="406"/>
              <w:spacing w:after="0"/>
              <w:rPr>
                <w:sz w:val="20"/>
                <w:szCs w:val="20"/>
                <w:color w:val="auto"/>
              </w:rPr>
            </w:pPr>
            <w:r>
              <w:rPr>
                <w:rFonts w:ascii="Arial" w:cs="Arial" w:eastAsia="Arial" w:hAnsi="Arial"/>
                <w:sz w:val="18"/>
                <w:szCs w:val="18"/>
                <w:color w:val="0000FF"/>
              </w:rPr>
              <w:t>55420</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60" w:type="dxa"/>
            <w:vAlign w:val="bottom"/>
          </w:tcPr>
          <w:p>
            <w:pPr>
              <w:ind w:left="340"/>
              <w:spacing w:after="0"/>
              <w:rPr>
                <w:sz w:val="20"/>
                <w:szCs w:val="20"/>
                <w:color w:val="auto"/>
              </w:rPr>
            </w:pPr>
            <w:r>
              <w:rPr>
                <w:rFonts w:ascii="Arial" w:cs="Arial" w:eastAsia="Arial" w:hAnsi="Arial"/>
                <w:sz w:val="14"/>
                <w:szCs w:val="14"/>
                <w:color w:val="auto"/>
              </w:rPr>
              <w:t>(State)</w:t>
            </w:r>
          </w:p>
        </w:tc>
        <w:tc>
          <w:tcPr>
            <w:tcW w:w="1300" w:type="dxa"/>
            <w:vAlign w:val="bottom"/>
          </w:tcPr>
          <w:p>
            <w:pPr>
              <w:ind w:left="2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2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4"/>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4"/>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32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60" w:type="dxa"/>
            <w:vAlign w:val="bottom"/>
            <w:gridSpan w:val="5"/>
          </w:tcPr>
          <w:p>
            <w:pPr>
              <w:spacing w:after="0"/>
              <w:rPr>
                <w:sz w:val="20"/>
                <w:szCs w:val="20"/>
                <w:color w:val="auto"/>
              </w:rPr>
            </w:pPr>
            <w:r>
              <w:rPr>
                <w:rFonts w:ascii="Arial" w:cs="Arial" w:eastAsia="Arial" w:hAnsi="Arial"/>
                <w:sz w:val="18"/>
                <w:szCs w:val="18"/>
                <w:color w:val="0000FF"/>
                <w:w w:val="98"/>
              </w:rPr>
              <w:t>/s/ Amy E. Dahl, Attorney-in-</w:t>
            </w:r>
          </w:p>
        </w:tc>
        <w:tc>
          <w:tcPr>
            <w:tcW w:w="2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07/01/2010</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820" w:type="dxa"/>
            <w:vAlign w:val="bottom"/>
            <w:tcBorders>
              <w:top w:val="single" w:sz="8" w:color="auto"/>
            </w:tcBorders>
            <w:vMerge w:val="restart"/>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3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2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Amy E. Dahl, Timothy P. Dordell, Nancy A. McGrath and Stephen P. Wolfe, signing singly, true and lawful attorneys-in-fact relative to the filings identified below in connection with the undersigned's derivative and non-derivative securities of The Toro Company (the ?Company?) to:</w:t>
      </w:r>
    </w:p>
    <w:p>
      <w:pPr>
        <w:spacing w:after="0" w:line="210" w:lineRule="exact"/>
        <w:rPr>
          <w:sz w:val="20"/>
          <w:szCs w:val="20"/>
          <w:color w:val="auto"/>
        </w:rPr>
      </w:pPr>
    </w:p>
    <w:p>
      <w:pPr>
        <w:ind w:right="3359" w:firstLine="8"/>
        <w:spacing w:after="0" w:line="236"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in accordance with Section 16(a) of the Securities Exchange Act of 1934, as amended, and the rules thereunder;</w:t>
      </w:r>
    </w:p>
    <w:p>
      <w:pPr>
        <w:spacing w:after="0" w:line="208" w:lineRule="exact"/>
        <w:rPr>
          <w:rFonts w:ascii="Courier New" w:cs="Courier New" w:eastAsia="Courier New" w:hAnsi="Courier New"/>
          <w:sz w:val="18"/>
          <w:szCs w:val="18"/>
          <w:color w:val="auto"/>
        </w:rPr>
      </w:pPr>
    </w:p>
    <w:p>
      <w:pPr>
        <w:ind w:right="3459" w:firstLine="8"/>
        <w:spacing w:after="0" w:line="273" w:lineRule="auto"/>
        <w:tabs>
          <w:tab w:leader="none" w:pos="84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Forms 3, 4, and 5 and the timely filing of such forms with the United States Securities and Exchange Commission and any stock exchange or similar authority; and</w:t>
      </w:r>
    </w:p>
    <w:p>
      <w:pPr>
        <w:spacing w:after="0" w:line="184" w:lineRule="exact"/>
        <w:rPr>
          <w:rFonts w:ascii="Courier New" w:cs="Courier New" w:eastAsia="Courier New" w:hAnsi="Courier New"/>
          <w:sz w:val="16"/>
          <w:szCs w:val="16"/>
          <w:color w:val="auto"/>
        </w:rPr>
      </w:pPr>
    </w:p>
    <w:p>
      <w:pPr>
        <w:ind w:right="325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either of their discretions.</w:t>
      </w:r>
    </w:p>
    <w:p>
      <w:pPr>
        <w:spacing w:after="0" w:line="212" w:lineRule="exact"/>
        <w:rPr>
          <w:sz w:val="20"/>
          <w:szCs w:val="20"/>
          <w:color w:val="auto"/>
        </w:rPr>
      </w:pPr>
    </w:p>
    <w:p>
      <w:pPr>
        <w:ind w:right="325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and the rules thereunder.</w:t>
      </w:r>
    </w:p>
    <w:p>
      <w:pPr>
        <w:spacing w:after="0" w:line="387"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effective as of this 1st day of July, 2010, and said Power of Attorney shall remain in effect until revoked by the undersigned in writing, or at such time as the undersigned is no longer a director of the Company, whichever first occurs.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/s/ Jeffrey M. Ettinger</w:t>
      </w:r>
    </w:p>
    <w:p>
      <w:pPr>
        <w:ind w:left="860"/>
        <w:spacing w:after="0" w:line="238" w:lineRule="auto"/>
        <w:rPr>
          <w:sz w:val="20"/>
          <w:szCs w:val="20"/>
          <w:color w:val="auto"/>
        </w:rPr>
      </w:pPr>
      <w:r>
        <w:rPr>
          <w:rFonts w:ascii="Courier New" w:cs="Courier New" w:eastAsia="Courier New" w:hAnsi="Courier New"/>
          <w:sz w:val="18"/>
          <w:szCs w:val="18"/>
          <w:color w:val="auto"/>
        </w:rPr>
        <w:t>Jeffrey M. Ettinger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92933" TargetMode="External"/><Relationship Id="rId12"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2019-12-17T00:17:47Z</dcterms:created>
  <dcterms:modified xsi:type="dcterms:W3CDTF">2019-12-17T00:17:47Z</dcterms:modified>
</cp:coreProperties>
</file>