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18" w:lineRule="exact"/>
        <w:rPr>
          <w:sz w:val="24"/>
          <w:szCs w:val="24"/>
          <w:color w:val="auto"/>
        </w:rPr>
      </w:pPr>
    </w:p>
    <w:p>
      <w:pPr>
        <w:ind w:left="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8"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-1822450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-1307465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-158750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355600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239" w:lineRule="auto"/>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-1179195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-158750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355600</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4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72590" cy="1097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259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519"/>
        <w:spacing w:after="0" w:line="302" w:lineRule="auto"/>
        <w:rPr>
          <w:sz w:val="20"/>
          <w:szCs w:val="20"/>
          <w:color w:val="auto"/>
        </w:rPr>
      </w:pPr>
      <w:r>
        <w:rPr>
          <w:rFonts w:ascii="Arial" w:cs="Arial" w:eastAsia="Arial" w:hAnsi="Arial"/>
          <w:sz w:val="50"/>
          <w:szCs w:val="50"/>
          <w:color w:val="auto"/>
        </w:rPr>
        <w:t>NOTICE OF 2017 ANNUAL MEETING AND</w:t>
      </w:r>
    </w:p>
    <w:p>
      <w:pPr>
        <w:spacing w:after="0" w:line="19" w:lineRule="exact"/>
        <w:rPr>
          <w:sz w:val="20"/>
          <w:szCs w:val="20"/>
          <w:color w:val="auto"/>
        </w:rPr>
      </w:pPr>
    </w:p>
    <w:p>
      <w:pPr>
        <w:spacing w:after="0"/>
        <w:rPr>
          <w:sz w:val="20"/>
          <w:szCs w:val="20"/>
          <w:color w:val="auto"/>
        </w:rPr>
      </w:pPr>
      <w:r>
        <w:rPr>
          <w:rFonts w:ascii="Arial" w:cs="Arial" w:eastAsia="Arial" w:hAnsi="Arial"/>
          <w:sz w:val="70"/>
          <w:szCs w:val="70"/>
          <w:color w:val="auto"/>
        </w:rPr>
        <w:t>PROXY STATEMENT</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color w:val="auto"/>
        </w:rPr>
        <w:t>FOR MARCH 21, 2017</w:t>
      </w:r>
    </w:p>
    <w:p>
      <w:pPr>
        <w:sectPr>
          <w:pgSz w:w="11900" w:h="16838" w:orient="portrait"/>
          <w:cols w:equalWidth="0" w:num="1">
            <w:col w:w="10219"/>
          </w:cols>
          <w:pgMar w:left="240" w:top="45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960" w:type="dxa"/>
            <w:vAlign w:val="bottom"/>
            <w:gridSpan w:val="4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12"/>
          </w:tcPr>
          <w:p>
            <w:pPr>
              <w:ind w:left="4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24"/>
                <w:szCs w:val="24"/>
                <w:color w:val="auto"/>
              </w:rPr>
            </w:pPr>
          </w:p>
        </w:tc>
      </w:tr>
      <w:tr>
        <w:trPr>
          <w:trHeight w:val="405"/>
        </w:trPr>
        <w:tc>
          <w:tcPr>
            <w:tcW w:w="25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LETTER TO SHAREHOLDERS</w:t>
              </w:r>
            </w:hyperlink>
          </w:p>
        </w:tc>
        <w:tc>
          <w:tcPr>
            <w:tcW w:w="8420" w:type="dxa"/>
            <w:vAlign w:val="bottom"/>
            <w:gridSpan w:val="3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C20000"/>
              </w:rPr>
              <w:t>iii</w:t>
            </w:r>
          </w:p>
        </w:tc>
      </w:tr>
      <w:tr>
        <w:trPr>
          <w:trHeight w:val="183"/>
        </w:trPr>
        <w:tc>
          <w:tcPr>
            <w:tcW w:w="448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NOTICE OF ANNUAL MEETING OF SHAREHOLDERS</w:t>
              </w:r>
            </w:hyperlink>
          </w:p>
        </w:tc>
        <w:tc>
          <w:tcPr>
            <w:tcW w:w="648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v</w:t>
            </w:r>
          </w:p>
        </w:tc>
      </w:tr>
      <w:tr>
        <w:trPr>
          <w:trHeight w:val="183"/>
        </w:trPr>
        <w:tc>
          <w:tcPr>
            <w:tcW w:w="176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PROXY STATEMENT</w:t>
              </w:r>
            </w:hyperlink>
          </w:p>
        </w:tc>
        <w:tc>
          <w:tcPr>
            <w:tcW w:w="9200" w:type="dxa"/>
            <w:vAlign w:val="bottom"/>
            <w:gridSpan w:val="3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w:t>
            </w:r>
          </w:p>
        </w:tc>
      </w:tr>
      <w:tr>
        <w:trPr>
          <w:trHeight w:val="183"/>
        </w:trPr>
        <w:tc>
          <w:tcPr>
            <w:tcW w:w="652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GENERAL INFORMATION ABOUT THE 2017 ANNUAL MEETING AND VOTING</w:t>
              </w:r>
            </w:hyperlink>
          </w:p>
        </w:tc>
        <w:tc>
          <w:tcPr>
            <w:tcW w:w="4440" w:type="dxa"/>
            <w:vAlign w:val="bottom"/>
            <w:gridSpan w:val="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w:t>
            </w:r>
          </w:p>
        </w:tc>
      </w:tr>
      <w:tr>
        <w:trPr>
          <w:trHeight w:val="183"/>
        </w:trPr>
        <w:tc>
          <w:tcPr>
            <w:tcW w:w="360" w:type="dxa"/>
            <w:vAlign w:val="bottom"/>
          </w:tcPr>
          <w:p>
            <w:pPr>
              <w:spacing w:after="0"/>
              <w:rPr>
                <w:sz w:val="15"/>
                <w:szCs w:val="15"/>
                <w:color w:val="auto"/>
              </w:rPr>
            </w:pPr>
          </w:p>
        </w:tc>
        <w:tc>
          <w:tcPr>
            <w:tcW w:w="1044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Important Notice Regarding the Availability of Proxy Materials for the Shareholder Meeting To Be Held on Tuesday, March 21, 2017</w:t>
              </w:r>
            </w:hyperlink>
          </w:p>
        </w:tc>
        <w:tc>
          <w:tcPr>
            <w:tcW w:w="1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When and Where Will the Annual Meeting Be Held?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w:t>
            </w:r>
          </w:p>
        </w:tc>
      </w:tr>
      <w:tr>
        <w:trPr>
          <w:trHeight w:val="183"/>
        </w:trPr>
        <w:tc>
          <w:tcPr>
            <w:tcW w:w="36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What Are the Purposes of the Annual Meeting?</w:t>
              </w:r>
            </w:hyperlink>
          </w:p>
        </w:tc>
        <w:tc>
          <w:tcPr>
            <w:tcW w:w="360" w:type="dxa"/>
            <w:vAlign w:val="bottom"/>
            <w:tcBorders>
              <w:top w:val="single" w:sz="8" w:color="0000EE"/>
            </w:tcBorders>
            <w:gridSpan w:val="2"/>
          </w:tcPr>
          <w:p>
            <w:pPr>
              <w:spacing w:after="0"/>
              <w:rPr>
                <w:sz w:val="15"/>
                <w:szCs w:val="15"/>
                <w:color w:val="auto"/>
              </w:rPr>
            </w:pPr>
          </w:p>
        </w:tc>
        <w:tc>
          <w:tcPr>
            <w:tcW w:w="6460" w:type="dxa"/>
            <w:vAlign w:val="bottom"/>
            <w:gridSpan w:val="1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w:t>
            </w:r>
          </w:p>
        </w:tc>
      </w:tr>
      <w:tr>
        <w:trPr>
          <w:trHeight w:val="183"/>
        </w:trPr>
        <w:tc>
          <w:tcPr>
            <w:tcW w:w="360" w:type="dxa"/>
            <w:vAlign w:val="bottom"/>
          </w:tcPr>
          <w:p>
            <w:pPr>
              <w:spacing w:after="0"/>
              <w:rPr>
                <w:sz w:val="15"/>
                <w:szCs w:val="15"/>
                <w:color w:val="auto"/>
              </w:rPr>
            </w:pPr>
          </w:p>
        </w:tc>
        <w:tc>
          <w:tcPr>
            <w:tcW w:w="868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Are There Any Matters To Be Voted On at the Annual Meeting that Are Not Included in this Proxy Statement?</w:t>
              </w:r>
            </w:hyperlink>
          </w:p>
        </w:tc>
        <w:tc>
          <w:tcPr>
            <w:tcW w:w="1920" w:type="dxa"/>
            <w:vAlign w:val="bottom"/>
            <w:gridSpan w:val="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Who Is Entitled to Vote and How Many Shares Must Be Present to Hold the Annual Meeting?</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w:t>
            </w:r>
          </w:p>
        </w:tc>
      </w:tr>
      <w:tr>
        <w:trPr>
          <w:trHeight w:val="183"/>
        </w:trPr>
        <w:tc>
          <w:tcPr>
            <w:tcW w:w="360" w:type="dxa"/>
            <w:vAlign w:val="bottom"/>
          </w:tcPr>
          <w:p>
            <w:pPr>
              <w:spacing w:after="0"/>
              <w:rPr>
                <w:sz w:val="15"/>
                <w:szCs w:val="15"/>
                <w:color w:val="auto"/>
              </w:rPr>
            </w:pPr>
          </w:p>
        </w:tc>
        <w:tc>
          <w:tcPr>
            <w:tcW w:w="740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Do I Vote My Shares?</w:t>
              </w:r>
            </w:hyperlink>
          </w:p>
        </w:tc>
        <w:tc>
          <w:tcPr>
            <w:tcW w:w="320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w:t>
            </w:r>
          </w:p>
        </w:tc>
      </w:tr>
      <w:tr>
        <w:trPr>
          <w:trHeight w:val="20"/>
        </w:trPr>
        <w:tc>
          <w:tcPr>
            <w:tcW w:w="3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38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How Does the Board Recommend that I Vote and What Vote is Required for Each Proposal?</w:t>
              </w:r>
            </w:hyperlink>
          </w:p>
        </w:tc>
        <w:tc>
          <w:tcPr>
            <w:tcW w:w="322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w:t>
            </w:r>
          </w:p>
        </w:tc>
      </w:tr>
      <w:tr>
        <w:trPr>
          <w:trHeight w:val="183"/>
        </w:trPr>
        <w:tc>
          <w:tcPr>
            <w:tcW w:w="360" w:type="dxa"/>
            <w:vAlign w:val="bottom"/>
          </w:tcPr>
          <w:p>
            <w:pPr>
              <w:spacing w:after="0"/>
              <w:rPr>
                <w:sz w:val="15"/>
                <w:szCs w:val="15"/>
                <w:color w:val="auto"/>
              </w:rPr>
            </w:pPr>
          </w:p>
        </w:tc>
        <w:tc>
          <w:tcPr>
            <w:tcW w:w="25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How Will My Shares Be Voted?</w:t>
              </w:r>
            </w:hyperlink>
          </w:p>
        </w:tc>
        <w:tc>
          <w:tcPr>
            <w:tcW w:w="8100" w:type="dxa"/>
            <w:vAlign w:val="bottom"/>
            <w:gridSpan w:val="2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3</w:t>
            </w:r>
          </w:p>
        </w:tc>
      </w:tr>
      <w:tr>
        <w:trPr>
          <w:trHeight w:val="183"/>
        </w:trPr>
        <w:tc>
          <w:tcPr>
            <w:tcW w:w="360" w:type="dxa"/>
            <w:vAlign w:val="bottom"/>
          </w:tcPr>
          <w:p>
            <w:pPr>
              <w:spacing w:after="0"/>
              <w:rPr>
                <w:sz w:val="15"/>
                <w:szCs w:val="15"/>
                <w:color w:val="auto"/>
              </w:rPr>
            </w:pPr>
          </w:p>
        </w:tc>
        <w:tc>
          <w:tcPr>
            <w:tcW w:w="650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What Does It Mean If I Receive More Than One Notice or Set of Proxy Materials?</w:t>
              </w:r>
            </w:hyperlink>
          </w:p>
        </w:tc>
        <w:tc>
          <w:tcPr>
            <w:tcW w:w="4100" w:type="dxa"/>
            <w:vAlign w:val="bottom"/>
            <w:gridSpan w:val="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3</w:t>
            </w:r>
          </w:p>
        </w:tc>
      </w:tr>
      <w:tr>
        <w:trPr>
          <w:trHeight w:val="183"/>
        </w:trPr>
        <w:tc>
          <w:tcPr>
            <w:tcW w:w="360" w:type="dxa"/>
            <w:vAlign w:val="bottom"/>
          </w:tcPr>
          <w:p>
            <w:pPr>
              <w:spacing w:after="0"/>
              <w:rPr>
                <w:sz w:val="15"/>
                <w:szCs w:val="15"/>
                <w:color w:val="auto"/>
              </w:rPr>
            </w:pPr>
          </w:p>
        </w:tc>
        <w:tc>
          <w:tcPr>
            <w:tcW w:w="320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How Can I Revoke or Change My Vote?</w:t>
              </w:r>
            </w:hyperlink>
          </w:p>
        </w:tc>
        <w:tc>
          <w:tcPr>
            <w:tcW w:w="7400" w:type="dxa"/>
            <w:vAlign w:val="bottom"/>
            <w:gridSpan w:val="1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4</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Who Will Count the Votes?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4</w:t>
            </w:r>
          </w:p>
        </w:tc>
      </w:tr>
      <w:tr>
        <w:trPr>
          <w:trHeight w:val="20"/>
        </w:trPr>
        <w:tc>
          <w:tcPr>
            <w:tcW w:w="3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How Will Business Be Conducted at the Annual Meeting?</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4</w:t>
            </w:r>
          </w:p>
        </w:tc>
      </w:tr>
      <w:tr>
        <w:trPr>
          <w:trHeight w:val="183"/>
        </w:trPr>
        <w:tc>
          <w:tcPr>
            <w:tcW w:w="360" w:type="dxa"/>
            <w:vAlign w:val="bottom"/>
          </w:tcPr>
          <w:p>
            <w:pPr>
              <w:spacing w:after="0"/>
              <w:rPr>
                <w:sz w:val="15"/>
                <w:szCs w:val="15"/>
                <w:color w:val="auto"/>
              </w:rPr>
            </w:pPr>
          </w:p>
        </w:tc>
        <w:tc>
          <w:tcPr>
            <w:tcW w:w="45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How Can I Attend the Annual Meeting?</w:t>
              </w:r>
            </w:hyperlink>
          </w:p>
        </w:tc>
        <w:tc>
          <w:tcPr>
            <w:tcW w:w="6020" w:type="dxa"/>
            <w:vAlign w:val="bottom"/>
            <w:gridSpan w:val="1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4</w:t>
            </w:r>
          </w:p>
        </w:tc>
      </w:tr>
      <w:tr>
        <w:trPr>
          <w:trHeight w:val="20"/>
        </w:trPr>
        <w:tc>
          <w:tcPr>
            <w:tcW w:w="3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10960" w:type="dxa"/>
            <w:vAlign w:val="bottom"/>
            <w:gridSpan w:val="41"/>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STOCK OWNERSHIP</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5</w:t>
            </w:r>
          </w:p>
        </w:tc>
      </w:tr>
      <w:tr>
        <w:trPr>
          <w:trHeight w:val="20"/>
        </w:trPr>
        <w:tc>
          <w:tcPr>
            <w:tcW w:w="3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3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Significant Beneficial Owners</w:t>
              </w:r>
            </w:hyperlink>
          </w:p>
        </w:tc>
        <w:tc>
          <w:tcPr>
            <w:tcW w:w="8260" w:type="dxa"/>
            <w:vAlign w:val="bottom"/>
            <w:gridSpan w:val="2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5</w:t>
            </w:r>
          </w:p>
        </w:tc>
      </w:tr>
      <w:tr>
        <w:trPr>
          <w:trHeight w:val="183"/>
        </w:trPr>
        <w:tc>
          <w:tcPr>
            <w:tcW w:w="360" w:type="dxa"/>
            <w:vAlign w:val="bottom"/>
          </w:tcPr>
          <w:p>
            <w:pPr>
              <w:spacing w:after="0"/>
              <w:rPr>
                <w:sz w:val="15"/>
                <w:szCs w:val="15"/>
                <w:color w:val="auto"/>
              </w:rPr>
            </w:pPr>
          </w:p>
        </w:tc>
        <w:tc>
          <w:tcPr>
            <w:tcW w:w="25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Directors and Executive Officers</w:t>
              </w:r>
            </w:hyperlink>
          </w:p>
        </w:tc>
        <w:tc>
          <w:tcPr>
            <w:tcW w:w="8020" w:type="dxa"/>
            <w:vAlign w:val="bottom"/>
            <w:gridSpan w:val="2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6</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Stock Ownership Guidelines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8</w:t>
            </w:r>
          </w:p>
        </w:tc>
      </w:tr>
      <w:tr>
        <w:trPr>
          <w:trHeight w:val="20"/>
        </w:trPr>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66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Section 16(a) Beneficial Ownership Reporting Compliance</w:t>
              </w:r>
            </w:hyperlink>
          </w:p>
        </w:tc>
        <w:tc>
          <w:tcPr>
            <w:tcW w:w="5940" w:type="dxa"/>
            <w:vAlign w:val="bottom"/>
            <w:gridSpan w:val="1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8</w:t>
            </w:r>
          </w:p>
        </w:tc>
      </w:tr>
      <w:tr>
        <w:trPr>
          <w:trHeight w:val="183"/>
        </w:trPr>
        <w:tc>
          <w:tcPr>
            <w:tcW w:w="10960" w:type="dxa"/>
            <w:vAlign w:val="bottom"/>
            <w:gridSpan w:val="41"/>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PROPOSAL ONE—ELECTION OF DIRECTORS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9</w:t>
            </w:r>
          </w:p>
        </w:tc>
      </w:tr>
      <w:tr>
        <w:trPr>
          <w:trHeight w:val="183"/>
        </w:trPr>
        <w:tc>
          <w:tcPr>
            <w:tcW w:w="360" w:type="dxa"/>
            <w:vAlign w:val="bottom"/>
            <w:tcBorders>
              <w:top w:val="single" w:sz="8" w:color="0000EE"/>
            </w:tcBorders>
          </w:tcPr>
          <w:p>
            <w:pPr>
              <w:spacing w:after="0"/>
              <w:rPr>
                <w:sz w:val="15"/>
                <w:szCs w:val="15"/>
                <w:color w:val="auto"/>
              </w:rPr>
            </w:pPr>
          </w:p>
        </w:tc>
        <w:tc>
          <w:tcPr>
            <w:tcW w:w="29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Number of Directors; Board Structure</w:t>
              </w:r>
            </w:hyperlink>
          </w:p>
        </w:tc>
        <w:tc>
          <w:tcPr>
            <w:tcW w:w="580" w:type="dxa"/>
            <w:vAlign w:val="bottom"/>
            <w:tcBorders>
              <w:top w:val="single" w:sz="8" w:color="0000EE"/>
            </w:tcBorders>
            <w:gridSpan w:val="4"/>
          </w:tcPr>
          <w:p>
            <w:pPr>
              <w:spacing w:after="0"/>
              <w:rPr>
                <w:sz w:val="15"/>
                <w:szCs w:val="15"/>
                <w:color w:val="auto"/>
              </w:rPr>
            </w:pPr>
          </w:p>
        </w:tc>
        <w:tc>
          <w:tcPr>
            <w:tcW w:w="7040" w:type="dxa"/>
            <w:vAlign w:val="bottom"/>
            <w:gridSpan w:val="1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9</w:t>
            </w:r>
          </w:p>
        </w:tc>
      </w:tr>
      <w:tr>
        <w:trPr>
          <w:trHeight w:val="183"/>
        </w:trPr>
        <w:tc>
          <w:tcPr>
            <w:tcW w:w="360" w:type="dxa"/>
            <w:vAlign w:val="bottom"/>
          </w:tcPr>
          <w:p>
            <w:pPr>
              <w:spacing w:after="0"/>
              <w:rPr>
                <w:sz w:val="15"/>
                <w:szCs w:val="15"/>
                <w:color w:val="auto"/>
              </w:rPr>
            </w:pPr>
          </w:p>
        </w:tc>
        <w:tc>
          <w:tcPr>
            <w:tcW w:w="17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Nominees for Director</w:t>
              </w:r>
            </w:hyperlink>
          </w:p>
        </w:tc>
        <w:tc>
          <w:tcPr>
            <w:tcW w:w="8840" w:type="dxa"/>
            <w:vAlign w:val="bottom"/>
            <w:gridSpan w:val="3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9</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Board Recommendation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9</w:t>
            </w:r>
          </w:p>
        </w:tc>
      </w:tr>
      <w:tr>
        <w:trPr>
          <w:trHeight w:val="20"/>
        </w:trPr>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8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Information About Board Nominees and Continuing Directors</w:t>
              </w:r>
            </w:hyperlink>
          </w:p>
        </w:tc>
        <w:tc>
          <w:tcPr>
            <w:tcW w:w="5740" w:type="dxa"/>
            <w:vAlign w:val="bottom"/>
            <w:gridSpan w:val="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9</w:t>
            </w:r>
          </w:p>
        </w:tc>
      </w:tr>
      <w:tr>
        <w:trPr>
          <w:trHeight w:val="183"/>
        </w:trPr>
        <w:tc>
          <w:tcPr>
            <w:tcW w:w="10960" w:type="dxa"/>
            <w:vAlign w:val="bottom"/>
            <w:gridSpan w:val="4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CORPORATE GOVERNANCE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16</w:t>
            </w:r>
          </w:p>
        </w:tc>
      </w:tr>
      <w:tr>
        <w:trPr>
          <w:trHeight w:val="20"/>
        </w:trPr>
        <w:tc>
          <w:tcPr>
            <w:tcW w:w="36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7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Corporate Governance Guidelines</w:t>
              </w:r>
            </w:hyperlink>
          </w:p>
        </w:tc>
        <w:tc>
          <w:tcPr>
            <w:tcW w:w="7860" w:type="dxa"/>
            <w:vAlign w:val="bottom"/>
            <w:gridSpan w:val="2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16</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Board Leadership Structure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17</w:t>
            </w:r>
          </w:p>
        </w:tc>
      </w:tr>
      <w:tr>
        <w:trPr>
          <w:trHeight w:val="183"/>
        </w:trPr>
        <w:tc>
          <w:tcPr>
            <w:tcW w:w="360" w:type="dxa"/>
            <w:vAlign w:val="bottom"/>
          </w:tcPr>
          <w:p>
            <w:pPr>
              <w:spacing w:after="0"/>
              <w:rPr>
                <w:sz w:val="15"/>
                <w:szCs w:val="15"/>
                <w:color w:val="auto"/>
              </w:rPr>
            </w:pPr>
          </w:p>
        </w:tc>
        <w:tc>
          <w:tcPr>
            <w:tcW w:w="22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Director Independence</w:t>
              </w:r>
            </w:hyperlink>
          </w:p>
        </w:tc>
        <w:tc>
          <w:tcPr>
            <w:tcW w:w="8340" w:type="dxa"/>
            <w:vAlign w:val="bottom"/>
            <w:gridSpan w:val="2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17</w:t>
            </w:r>
          </w:p>
        </w:tc>
      </w:tr>
      <w:tr>
        <w:trPr>
          <w:trHeight w:val="20"/>
        </w:trPr>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2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Director Attendance; Executive Sessions</w:t>
              </w:r>
            </w:hyperlink>
          </w:p>
        </w:tc>
        <w:tc>
          <w:tcPr>
            <w:tcW w:w="7340" w:type="dxa"/>
            <w:vAlign w:val="bottom"/>
            <w:gridSpan w:val="1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18</w:t>
            </w:r>
          </w:p>
        </w:tc>
      </w:tr>
      <w:tr>
        <w:trPr>
          <w:trHeight w:val="183"/>
        </w:trPr>
        <w:tc>
          <w:tcPr>
            <w:tcW w:w="360" w:type="dxa"/>
            <w:vAlign w:val="bottom"/>
          </w:tcPr>
          <w:p>
            <w:pPr>
              <w:spacing w:after="0"/>
              <w:rPr>
                <w:sz w:val="15"/>
                <w:szCs w:val="15"/>
                <w:color w:val="auto"/>
              </w:rPr>
            </w:pPr>
          </w:p>
        </w:tc>
        <w:tc>
          <w:tcPr>
            <w:tcW w:w="15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Board Committees</w:t>
              </w:r>
            </w:hyperlink>
          </w:p>
        </w:tc>
        <w:tc>
          <w:tcPr>
            <w:tcW w:w="9100" w:type="dxa"/>
            <w:vAlign w:val="bottom"/>
            <w:gridSpan w:val="3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18</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Board’s Role in Risk Oversight</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20</w:t>
            </w:r>
          </w:p>
        </w:tc>
      </w:tr>
      <w:tr>
        <w:trPr>
          <w:trHeight w:val="20"/>
        </w:trPr>
        <w:tc>
          <w:tcPr>
            <w:tcW w:w="360" w:type="dxa"/>
            <w:vAlign w:val="bottom"/>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7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Executive Compensation Process</w:t>
              </w:r>
            </w:hyperlink>
          </w:p>
        </w:tc>
        <w:tc>
          <w:tcPr>
            <w:tcW w:w="7900" w:type="dxa"/>
            <w:vAlign w:val="bottom"/>
            <w:gridSpan w:val="2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21</w:t>
            </w:r>
          </w:p>
        </w:tc>
      </w:tr>
      <w:tr>
        <w:trPr>
          <w:trHeight w:val="183"/>
        </w:trPr>
        <w:tc>
          <w:tcPr>
            <w:tcW w:w="360" w:type="dxa"/>
            <w:vAlign w:val="bottom"/>
          </w:tcPr>
          <w:p>
            <w:pPr>
              <w:spacing w:after="0"/>
              <w:rPr>
                <w:sz w:val="15"/>
                <w:szCs w:val="15"/>
                <w:color w:val="auto"/>
              </w:rPr>
            </w:pPr>
          </w:p>
        </w:tc>
        <w:tc>
          <w:tcPr>
            <w:tcW w:w="23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Director Nomination Process</w:t>
              </w:r>
            </w:hyperlink>
          </w:p>
        </w:tc>
        <w:tc>
          <w:tcPr>
            <w:tcW w:w="8300" w:type="dxa"/>
            <w:vAlign w:val="bottom"/>
            <w:gridSpan w:val="2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22</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Director Compensation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23</w:t>
            </w:r>
          </w:p>
        </w:tc>
      </w:tr>
      <w:tr>
        <w:trPr>
          <w:trHeight w:val="20"/>
        </w:trPr>
        <w:tc>
          <w:tcPr>
            <w:tcW w:w="360" w:type="dxa"/>
            <w:vAlign w:val="bottom"/>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2340" w:type="dxa"/>
            <w:vAlign w:val="bottom"/>
            <w:gridSpan w:val="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Related Person Transactions and Policies and Procedures Regarding Related Person Transactions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26</w:t>
            </w:r>
          </w:p>
        </w:tc>
      </w:tr>
      <w:tr>
        <w:trPr>
          <w:trHeight w:val="183"/>
        </w:trPr>
        <w:tc>
          <w:tcPr>
            <w:tcW w:w="36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Board of Directors Business Ethics Policy Statement</w:t>
              </w:r>
            </w:hyperlink>
          </w:p>
        </w:tc>
        <w:tc>
          <w:tcPr>
            <w:tcW w:w="3720" w:type="dxa"/>
            <w:vAlign w:val="bottom"/>
            <w:tcBorders>
              <w:top w:val="single" w:sz="8" w:color="0000EE"/>
            </w:tcBorders>
            <w:gridSpan w:val="10"/>
          </w:tcPr>
          <w:p>
            <w:pPr>
              <w:spacing w:after="0"/>
              <w:rPr>
                <w:sz w:val="15"/>
                <w:szCs w:val="15"/>
                <w:color w:val="auto"/>
              </w:rPr>
            </w:pPr>
          </w:p>
        </w:tc>
        <w:tc>
          <w:tcPr>
            <w:tcW w:w="270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27</w:t>
            </w:r>
          </w:p>
        </w:tc>
      </w:tr>
      <w:tr>
        <w:trPr>
          <w:trHeight w:val="183"/>
        </w:trPr>
        <w:tc>
          <w:tcPr>
            <w:tcW w:w="360" w:type="dxa"/>
            <w:vAlign w:val="bottom"/>
          </w:tcPr>
          <w:p>
            <w:pPr>
              <w:spacing w:after="0"/>
              <w:rPr>
                <w:sz w:val="15"/>
                <w:szCs w:val="15"/>
                <w:color w:val="auto"/>
              </w:rPr>
            </w:pPr>
          </w:p>
        </w:tc>
        <w:tc>
          <w:tcPr>
            <w:tcW w:w="630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Code of Conduct and Code of Ethics for our CEO and Senior Financial Officers</w:t>
              </w:r>
            </w:hyperlink>
          </w:p>
        </w:tc>
        <w:tc>
          <w:tcPr>
            <w:tcW w:w="4300" w:type="dxa"/>
            <w:vAlign w:val="bottom"/>
            <w:gridSpan w:val="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27</w:t>
            </w:r>
          </w:p>
        </w:tc>
      </w:tr>
      <w:tr>
        <w:trPr>
          <w:trHeight w:val="183"/>
        </w:trPr>
        <w:tc>
          <w:tcPr>
            <w:tcW w:w="360" w:type="dxa"/>
            <w:vAlign w:val="bottom"/>
          </w:tcPr>
          <w:p>
            <w:pPr>
              <w:spacing w:after="0"/>
              <w:rPr>
                <w:sz w:val="15"/>
                <w:szCs w:val="15"/>
                <w:color w:val="auto"/>
              </w:rPr>
            </w:pPr>
          </w:p>
        </w:tc>
        <w:tc>
          <w:tcPr>
            <w:tcW w:w="10600" w:type="dxa"/>
            <w:vAlign w:val="bottom"/>
            <w:gridSpan w:val="40"/>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Communications with Directors; Complaint Procedures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C20000"/>
              </w:rPr>
              <w:t>27</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8720" w:type="dxa"/>
            <w:vAlign w:val="bottom"/>
            <w:gridSpan w:val="25"/>
          </w:tcPr>
          <w:p>
            <w:pPr>
              <w:spacing w:after="0"/>
              <w:rPr>
                <w:sz w:val="17"/>
                <w:szCs w:val="17"/>
                <w:color w:val="auto"/>
              </w:rPr>
            </w:pPr>
          </w:p>
        </w:tc>
        <w:tc>
          <w:tcPr>
            <w:tcW w:w="1240" w:type="dxa"/>
            <w:vAlign w:val="bottom"/>
          </w:tcPr>
          <w:p>
            <w:pPr>
              <w:spacing w:after="0"/>
              <w:rPr>
                <w:sz w:val="17"/>
                <w:szCs w:val="17"/>
                <w:color w:val="auto"/>
              </w:rPr>
            </w:pPr>
          </w:p>
        </w:tc>
      </w:tr>
      <w:tr>
        <w:trPr>
          <w:trHeight w:val="493"/>
        </w:trPr>
        <w:tc>
          <w:tcPr>
            <w:tcW w:w="9560" w:type="dxa"/>
            <w:vAlign w:val="bottom"/>
            <w:tcBorders>
              <w:bottom w:val="single" w:sz="8" w:color="0000EE"/>
            </w:tcBorders>
            <w:gridSpan w:val="27"/>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PROPOSAL TWO—RATIFICATION OF SELECTION OF INDEPENDENT REGISTERED PUBLIC ACCOUNTING FIRM</w:t>
              </w:r>
            </w:hyperlink>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C20000"/>
              </w:rPr>
              <w:t>28</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Selection of Independent Registered Public Accounting Firm</w:t>
              </w:r>
            </w:hyperlink>
          </w:p>
        </w:tc>
        <w:tc>
          <w:tcPr>
            <w:tcW w:w="4900" w:type="dxa"/>
            <w:vAlign w:val="bottom"/>
            <w:gridSpan w:val="4"/>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28</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Audit, Audit-Related, Tax and Other Fees</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28</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Pre-Approval Policies and Procedures</w:t>
              </w:r>
            </w:hyperlink>
          </w:p>
        </w:tc>
        <w:tc>
          <w:tcPr>
            <w:tcW w:w="6440" w:type="dxa"/>
            <w:vAlign w:val="bottom"/>
            <w:gridSpan w:val="13"/>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28</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Board Recommendation</w:t>
              </w:r>
            </w:hyperlink>
          </w:p>
        </w:tc>
        <w:tc>
          <w:tcPr>
            <w:tcW w:w="6680" w:type="dxa"/>
            <w:vAlign w:val="bottom"/>
            <w:gridSpan w:val="16"/>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28</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top w:val="single" w:sz="8" w:color="0000EE"/>
            </w:tcBorders>
            <w:gridSpan w:val="6"/>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Audit Committee Report</w:t>
              </w:r>
            </w:hyperlink>
          </w:p>
        </w:tc>
        <w:tc>
          <w:tcPr>
            <w:tcW w:w="7780" w:type="dxa"/>
            <w:vAlign w:val="bottom"/>
            <w:gridSpan w:val="20"/>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29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0080" w:type="dxa"/>
            <w:vAlign w:val="bottom"/>
            <w:gridSpan w:val="2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PROPOSAL THREE—ADVISORY APPROVAL OF OUR EXECUTIVE COMPENSATION</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30</w:t>
            </w:r>
          </w:p>
        </w:tc>
      </w:tr>
      <w:tr>
        <w:trPr>
          <w:trHeight w:val="183"/>
        </w:trPr>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7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Board Recommendation</w:t>
              </w:r>
            </w:hyperlink>
          </w:p>
        </w:tc>
        <w:tc>
          <w:tcPr>
            <w:tcW w:w="3000" w:type="dxa"/>
            <w:vAlign w:val="bottom"/>
            <w:gridSpan w:val="2"/>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008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PROPOSAL FOUR—ADVISORY APPROVAL OF THE FREQUENCY OF THE ADVISORY APPROVAL OF OUR EXECUTIVE</w:t>
              </w:r>
            </w:hyperlink>
          </w:p>
        </w:tc>
        <w:tc>
          <w:tcPr>
            <w:tcW w:w="12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4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40">
              <w:r>
                <w:rPr>
                  <w:rFonts w:ascii="Arial" w:cs="Arial" w:eastAsia="Arial" w:hAnsi="Arial"/>
                  <w:sz w:val="18"/>
                  <w:szCs w:val="18"/>
                  <w:color w:val="0000EE"/>
                  <w:w w:val="98"/>
                </w:rPr>
                <w:t>COMPENSATION</w:t>
              </w:r>
            </w:hyperlink>
          </w:p>
        </w:tc>
        <w:tc>
          <w:tcPr>
            <w:tcW w:w="8440" w:type="dxa"/>
            <w:vAlign w:val="bottom"/>
            <w:gridSpan w:val="23"/>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32</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Board Recommendation</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32</w:t>
            </w:r>
          </w:p>
        </w:tc>
      </w:tr>
      <w:tr>
        <w:trPr>
          <w:trHeight w:val="20"/>
        </w:trPr>
        <w:tc>
          <w:tcPr>
            <w:tcW w:w="360" w:type="dxa"/>
            <w:vAlign w:val="bottom"/>
            <w:gridSpan w:val="2"/>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0080" w:type="dxa"/>
            <w:vAlign w:val="bottom"/>
            <w:gridSpan w:val="2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33</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Compensation &amp; Human Resources Committee Report</w:t>
              </w:r>
            </w:hyperlink>
          </w:p>
        </w:tc>
        <w:tc>
          <w:tcPr>
            <w:tcW w:w="5320" w:type="dxa"/>
            <w:vAlign w:val="bottom"/>
            <w:gridSpan w:val="7"/>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33</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Compensation Discussion and Analysis</w:t>
              </w:r>
            </w:hyperlink>
          </w:p>
        </w:tc>
        <w:tc>
          <w:tcPr>
            <w:tcW w:w="6560" w:type="dxa"/>
            <w:vAlign w:val="bottom"/>
            <w:gridSpan w:val="14"/>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33</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Assessment of Risk Related to Compensation Programs</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49</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Summary Compensation Table</w:t>
              </w:r>
            </w:hyperlink>
          </w:p>
        </w:tc>
        <w:tc>
          <w:tcPr>
            <w:tcW w:w="5220" w:type="dxa"/>
            <w:vAlign w:val="bottom"/>
            <w:gridSpan w:val="6"/>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49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All Other Compensation for Fiscal 2016</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51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Grants of Plan-Based Awards for Fiscal 2016</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52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Outstanding Equity Awards at Fiscal Year-End for 2016</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53</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Option Exercises and Stock Vested for Fiscal 2016</w:t>
              </w:r>
            </w:hyperlink>
          </w:p>
        </w:tc>
        <w:tc>
          <w:tcPr>
            <w:tcW w:w="340" w:type="dxa"/>
            <w:vAlign w:val="bottom"/>
            <w:tcBorders>
              <w:top w:val="single" w:sz="8" w:color="0000EE"/>
            </w:tcBorders>
            <w:gridSpan w:val="2"/>
          </w:tcPr>
          <w:p>
            <w:pPr>
              <w:spacing w:after="0"/>
              <w:rPr>
                <w:sz w:val="15"/>
                <w:szCs w:val="15"/>
                <w:color w:val="auto"/>
              </w:rPr>
            </w:pPr>
          </w:p>
        </w:tc>
        <w:tc>
          <w:tcPr>
            <w:tcW w:w="5320" w:type="dxa"/>
            <w:vAlign w:val="bottom"/>
            <w:gridSpan w:val="7"/>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55</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Nonqualified Deferred Compensation for Fiscal 2016</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56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Potential Payments Upon Termination or Change In Control</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59</w:t>
            </w:r>
          </w:p>
        </w:tc>
      </w:tr>
      <w:tr>
        <w:trPr>
          <w:trHeight w:val="20"/>
        </w:trPr>
        <w:tc>
          <w:tcPr>
            <w:tcW w:w="360" w:type="dxa"/>
            <w:vAlign w:val="bottom"/>
            <w:gridSpan w:val="2"/>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40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EQUITY COMPENSATION PLAN INFORMATION</w:t>
              </w:r>
            </w:hyperlink>
          </w:p>
        </w:tc>
        <w:tc>
          <w:tcPr>
            <w:tcW w:w="6080" w:type="dxa"/>
            <w:vAlign w:val="bottom"/>
            <w:gridSpan w:val="10"/>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65</w:t>
            </w:r>
          </w:p>
        </w:tc>
      </w:tr>
      <w:tr>
        <w:trPr>
          <w:trHeight w:val="183"/>
        </w:trPr>
        <w:tc>
          <w:tcPr>
            <w:tcW w:w="194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OTHER INFORMATION</w:t>
              </w:r>
            </w:hyperlink>
          </w:p>
        </w:tc>
        <w:tc>
          <w:tcPr>
            <w:tcW w:w="8140" w:type="dxa"/>
            <w:vAlign w:val="bottom"/>
            <w:gridSpan w:val="22"/>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65</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4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Shareholder Proposals and Director Nominations for the 2018 Annual Meeting</w:t>
              </w:r>
            </w:hyperlink>
          </w:p>
        </w:tc>
        <w:tc>
          <w:tcPr>
            <w:tcW w:w="3480" w:type="dxa"/>
            <w:vAlign w:val="bottom"/>
            <w:gridSpan w:val="3"/>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65</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Householding of Annual Meeting Materials</w:t>
              </w:r>
            </w:hyperlink>
          </w:p>
        </w:tc>
        <w:tc>
          <w:tcPr>
            <w:tcW w:w="6320" w:type="dxa"/>
            <w:vAlign w:val="bottom"/>
            <w:gridSpan w:val="12"/>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66</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Annual Report</w:t>
              </w:r>
            </w:hyperlink>
          </w:p>
        </w:tc>
        <w:tc>
          <w:tcPr>
            <w:tcW w:w="8560" w:type="dxa"/>
            <w:vAlign w:val="bottom"/>
            <w:gridSpan w:val="24"/>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66</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Cost and Method of Solicitation</w:t>
              </w:r>
            </w:hyperlink>
          </w:p>
        </w:tc>
        <w:tc>
          <w:tcPr>
            <w:tcW w:w="7220" w:type="dxa"/>
            <w:vAlign w:val="bottom"/>
            <w:gridSpan w:val="17"/>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C20000"/>
              </w:rPr>
              <w:t>66</w:t>
            </w: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C20000"/>
        </w:rPr>
        <w:t>NOTE ABOUT FORWARD LOOKING STATEMENTS</w:t>
      </w:r>
    </w:p>
    <w:p>
      <w:pPr>
        <w:spacing w:after="0" w:line="234" w:lineRule="exact"/>
        <w:rPr>
          <w:sz w:val="20"/>
          <w:szCs w:val="20"/>
          <w:color w:val="auto"/>
        </w:rPr>
      </w:pPr>
    </w:p>
    <w:p>
      <w:pPr>
        <w:ind w:firstLine="456"/>
        <w:spacing w:after="0" w:line="234" w:lineRule="auto"/>
        <w:rPr>
          <w:sz w:val="20"/>
          <w:szCs w:val="20"/>
          <w:color w:val="auto"/>
        </w:rPr>
      </w:pPr>
      <w:r>
        <w:rPr>
          <w:rFonts w:ascii="Arial" w:cs="Arial" w:eastAsia="Arial" w:hAnsi="Arial"/>
          <w:sz w:val="18"/>
          <w:szCs w:val="18"/>
          <w:color w:val="auto"/>
        </w:rPr>
        <w:t>Certain statements in this proxy statement are “forward-looking statements” within the meaning of Section 27A of the Securities Act of 1933, as amended, and Section 21E of the Securities Exchange Act of 1934, as amended, and are subject to the safe harbor created by those sections. Forward-looking statements are based on our current expectations of future events, and are generally identified by words such as “expect,” “strive,” “looking ahead,” “outlook,” “guidance,” “forecast,” “goal,” “optimistic,” “anticipate,” “continue,” “plan,” “estimate,” “project,” “believe,” “should,” “could,” “will,” “would,” “possible,” “may,” “likely,” “intend,” “can,” “seek,” ‘potential,” “pro forma,” or the negative thereof and similar expressions or future dates. Forward-looking statements involve risks and uncertainties that could cause actual results to differ materially from those projected or implied. The most significant factors known to us that could materially adversely affect our business, reputation, operations, industry, financial position, or future financial performance are described in our most recent Annual Report on Form</w:t>
      </w:r>
    </w:p>
    <w:p>
      <w:pPr>
        <w:spacing w:after="0" w:line="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10-K filed with the Securities and Exchange Commission, or SEC, on December 22, 2016, in Part I, Item 1A, “Risk Factors.” You should not place undue reliance on any forward-looking statement, which speaks only as of the date made, and should recognize that forward-looking statements are predictions of future results, which may not occur as anticipated. Actual results could differ materially from those anticipated in the forward-looking statements and from historical results, due to the risks and uncertainties described in our Annual Report on Form 10-K, including in Part I, Item 1A, “Risk Factors,” as well as others that we may consider immaterial or do not anticipate at this time. The risks and uncertainties described in our Annual Report on Form 10-K are not exclusive and further information concerning our company and our businesses, including factors that potentially could materially affect our operating results or financial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that we file with or furnish to the SEC.</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46"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72590" cy="1097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3200"/>
        <w:spacing w:after="0"/>
        <w:rPr>
          <w:sz w:val="20"/>
          <w:szCs w:val="20"/>
          <w:color w:val="auto"/>
        </w:rPr>
      </w:pPr>
      <w:r>
        <w:rPr>
          <w:rFonts w:ascii="Arial" w:cs="Arial" w:eastAsia="Arial" w:hAnsi="Arial"/>
          <w:sz w:val="18"/>
          <w:szCs w:val="18"/>
          <w:b w:val="1"/>
          <w:bCs w:val="1"/>
          <w:color w:val="auto"/>
        </w:rPr>
        <w:t>Telephone 952-888-8801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are pleased to invite you to join us for The Toro Company 2017 Annual Meeting of Shareholders to be held on Tuesday, March 21, 2017, at 1:30 p.m., Central Daylight Time, at our corporate offices. A live, listen-only audio webcast of the meeting will be available at www.thetorocompany.com. Details about the annual meeting, nominees for election to the Board of Directors and other matters to be acted on at the annual meeting are presented in the notice and proxy statement that follow.</w:t>
      </w:r>
    </w:p>
    <w:p>
      <w:pPr>
        <w:spacing w:after="0" w:line="202"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on your proxy card.</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your Toro Board of Directors and Management, it is our pleasure to express our appreciation for your continued support.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50609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238125</wp:posOffset>
            </wp:positionV>
            <wp:extent cx="152654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6540" cy="42037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C20000"/>
        </w:rPr>
        <w:t>MICHAEL J. HOFFMAN</w:t>
      </w:r>
    </w:p>
    <w:p>
      <w:pPr>
        <w:spacing w:after="0"/>
        <w:rPr>
          <w:sz w:val="20"/>
          <w:szCs w:val="20"/>
          <w:color w:val="auto"/>
        </w:rPr>
      </w:pPr>
      <w:r>
        <w:rPr>
          <w:rFonts w:ascii="Arial" w:cs="Arial" w:eastAsia="Arial" w:hAnsi="Arial"/>
          <w:sz w:val="18"/>
          <w:szCs w:val="18"/>
          <w:color w:val="C20000"/>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C20000"/>
        </w:rPr>
        <w:t>RICHARD M. OLSON</w:t>
      </w:r>
    </w:p>
    <w:p>
      <w:pPr>
        <w:spacing w:after="0"/>
        <w:rPr>
          <w:sz w:val="20"/>
          <w:szCs w:val="20"/>
          <w:color w:val="auto"/>
        </w:rPr>
      </w:pPr>
      <w:r>
        <w:rPr>
          <w:rFonts w:ascii="Arial" w:cs="Arial" w:eastAsia="Arial" w:hAnsi="Arial"/>
          <w:sz w:val="18"/>
          <w:szCs w:val="18"/>
          <w:color w:val="C20000"/>
        </w:rPr>
        <w:t>President and CEO</w:t>
      </w:r>
    </w:p>
    <w:p>
      <w:pPr>
        <w:spacing w:after="0" w:line="200"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spacing w:after="0" w:line="17" w:lineRule="exact"/>
        <w:rPr>
          <w:sz w:val="20"/>
          <w:szCs w:val="20"/>
          <w:color w:val="auto"/>
        </w:rPr>
      </w:pPr>
    </w:p>
    <w:p>
      <w:pPr>
        <w:jc w:val="center"/>
        <w:ind w:left="660" w:right="540"/>
        <w:spacing w:after="0" w:line="275" w:lineRule="auto"/>
        <w:rPr>
          <w:sz w:val="20"/>
          <w:szCs w:val="20"/>
          <w:color w:val="auto"/>
        </w:rPr>
      </w:pPr>
      <w:r>
        <w:rPr>
          <w:rFonts w:ascii="Arial" w:cs="Arial" w:eastAsia="Arial" w:hAnsi="Arial"/>
          <w:sz w:val="17"/>
          <w:szCs w:val="17"/>
          <w:b w:val="1"/>
          <w:bCs w:val="1"/>
          <w:color w:val="C2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9" w:right="3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72590" cy="1097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259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C20000"/>
        </w:rPr>
        <w:t>NOTICE OF 2017 ANNUAL MEETING OF SHAREHOLDERS</w:t>
      </w:r>
    </w:p>
    <w:p>
      <w:pPr>
        <w:sectPr>
          <w:pgSz w:w="11900" w:h="16838" w:orient="portrait"/>
          <w:cols w:equalWidth="0" w:num="1">
            <w:col w:w="11360"/>
          </w:cols>
          <w:pgMar w:left="240" w:top="459" w:right="2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4" w:lineRule="auto"/>
        <w:rPr>
          <w:sz w:val="20"/>
          <w:szCs w:val="20"/>
          <w:color w:val="auto"/>
        </w:rPr>
      </w:pPr>
      <w:r>
        <w:rPr>
          <w:rFonts w:ascii="Arial" w:cs="Arial" w:eastAsia="Arial" w:hAnsi="Arial"/>
          <w:sz w:val="18"/>
          <w:szCs w:val="18"/>
          <w:color w:val="auto"/>
        </w:rPr>
        <w:t>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Webcast: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Tuesday, March 21, 2017</w:t>
      </w:r>
    </w:p>
    <w:p>
      <w:pPr>
        <w:spacing w:after="0" w:line="234" w:lineRule="auto"/>
        <w:rPr>
          <w:sz w:val="20"/>
          <w:szCs w:val="20"/>
          <w:color w:val="auto"/>
        </w:rPr>
      </w:pPr>
      <w:r>
        <w:rPr>
          <w:rFonts w:ascii="Arial" w:cs="Arial" w:eastAsia="Arial" w:hAnsi="Arial"/>
          <w:sz w:val="18"/>
          <w:szCs w:val="18"/>
          <w:color w:val="auto"/>
        </w:rPr>
        <w:t>1:30 p.m., Central Daylight Time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8111 Lyndale Avenue South, Bloomington, Minnesota, 55420-1196</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w:t>
      </w:r>
    </w:p>
    <w:p>
      <w:pPr>
        <w:spacing w:after="0"/>
        <w:rPr>
          <w:sz w:val="20"/>
          <w:szCs w:val="20"/>
          <w:color w:val="auto"/>
        </w:rPr>
      </w:pPr>
      <w:r>
        <w:rPr>
          <w:rFonts w:ascii="Arial" w:cs="Arial" w:eastAsia="Arial" w:hAnsi="Arial"/>
          <w:sz w:val="18"/>
          <w:szCs w:val="18"/>
          <w:color w:val="auto"/>
        </w:rPr>
        <w:t>www.thetorocompany.com</w:t>
      </w:r>
    </w:p>
    <w:p>
      <w:pPr>
        <w:spacing w:after="0" w:line="104" w:lineRule="exact"/>
        <w:rPr>
          <w:sz w:val="20"/>
          <w:szCs w:val="20"/>
          <w:color w:val="auto"/>
        </w:rPr>
      </w:pPr>
    </w:p>
    <w:p>
      <w:pPr>
        <w:sectPr>
          <w:pgSz w:w="11900" w:h="16838" w:orient="portrait"/>
          <w:cols w:equalWidth="0" w:num="2">
            <w:col w:w="760" w:space="180"/>
            <w:col w:w="10420"/>
          </w:cols>
          <w:pgMar w:left="240" w:top="459" w:right="299" w:bottom="1440" w:gutter="0" w:footer="0" w:header="0"/>
          <w:type w:val="continuous"/>
        </w:sectPr>
      </w:pPr>
    </w:p>
    <w:p>
      <w:pPr>
        <w:ind w:left="940" w:right="460" w:hanging="1485"/>
        <w:spacing w:after="0" w:line="234" w:lineRule="auto"/>
        <w:tabs>
          <w:tab w:leader="none" w:pos="920" w:val="left"/>
        </w:tabs>
        <w:rPr>
          <w:sz w:val="20"/>
          <w:szCs w:val="20"/>
          <w:color w:val="auto"/>
        </w:rPr>
      </w:pPr>
      <w:r>
        <w:rPr>
          <w:rFonts w:ascii="Arial" w:cs="Arial" w:eastAsia="Arial" w:hAnsi="Arial"/>
          <w:sz w:val="18"/>
          <w:szCs w:val="18"/>
          <w:color w:val="auto"/>
        </w:rPr>
        <w:t>Agenda:</w:t>
        <w:tab/>
        <w:t>1. To elect as directors the four nominees named in the attached proxy statement, each to serve for a term of three years ending at the 2020 Annual Meeting of Shareholders;</w:t>
      </w:r>
    </w:p>
    <w:p>
      <w:pPr>
        <w:spacing w:after="0" w:line="2" w:lineRule="exact"/>
        <w:rPr>
          <w:sz w:val="20"/>
          <w:szCs w:val="20"/>
          <w:color w:val="auto"/>
        </w:rPr>
      </w:pPr>
    </w:p>
    <w:p>
      <w:pPr>
        <w:ind w:left="1500" w:right="780" w:hanging="560"/>
        <w:spacing w:after="0" w:line="234"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2017;</w:t>
      </w:r>
    </w:p>
    <w:p>
      <w:pPr>
        <w:spacing w:after="0" w:line="1" w:lineRule="exact"/>
        <w:rPr>
          <w:rFonts w:ascii="Arial" w:cs="Arial" w:eastAsia="Arial" w:hAnsi="Arial"/>
          <w:sz w:val="18"/>
          <w:szCs w:val="18"/>
          <w:color w:val="auto"/>
        </w:rPr>
      </w:pPr>
    </w:p>
    <w:p>
      <w:pPr>
        <w:ind w:left="1500" w:hanging="560"/>
        <w:spacing w:after="0" w:line="234"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w:t>
      </w:r>
    </w:p>
    <w:p>
      <w:pPr>
        <w:ind w:left="1500" w:hanging="560"/>
        <w:spacing w:after="0" w:line="234"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frequency of the advisory approval of our executive compensation; and</w:t>
      </w:r>
    </w:p>
    <w:p>
      <w:pPr>
        <w:ind w:left="1500" w:right="420" w:hanging="560"/>
        <w:spacing w:after="0" w:line="246"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9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23, 2017, the record date, will be entitled to vote at the annual meeting or at any adjournment or postponement of the annual meeting. A shareholder list will be available at our corporate offices beginning March 10, 2017, during our normal business hours for examination by any shareholder registered on our stock ledger as of the record date for any purpose germane to the annual meeting.</w:t>
      </w:r>
    </w:p>
    <w:p>
      <w:pPr>
        <w:spacing w:after="0" w:line="20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Your vote is important. A majority of the outstanding shares of our common stock must be represented either in person or by proxy to constitute a quorum for the conduct of business. Please promptly vote your shares by following the instructions for voting on the Notice Regarding the Availability of Proxy Materials or, if you received a paper or electronic copy of our proxy materials, by completing, signing, dating and returning your proxy card or by Internet or telephone voting as described on your proxy card.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5796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3771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TIMOTHY P. DORDELL</w:t>
      </w:r>
    </w:p>
    <w:p>
      <w:pPr>
        <w:spacing w:after="0" w:line="234" w:lineRule="auto"/>
        <w:rPr>
          <w:sz w:val="20"/>
          <w:szCs w:val="20"/>
          <w:color w:val="auto"/>
        </w:rPr>
      </w:pPr>
      <w:r>
        <w:rPr>
          <w:rFonts w:ascii="Arial" w:cs="Arial" w:eastAsia="Arial" w:hAnsi="Arial"/>
          <w:sz w:val="18"/>
          <w:szCs w:val="18"/>
          <w:color w:val="auto"/>
        </w:rPr>
        <w:t>Vice President, Secretary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General Counsel</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THE TORO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8111 Lyndale Avenue South</w:t>
      </w:r>
    </w:p>
    <w:p>
      <w:pPr>
        <w:jc w:val="center"/>
        <w:spacing w:after="0"/>
        <w:rPr>
          <w:sz w:val="20"/>
          <w:szCs w:val="20"/>
          <w:color w:val="auto"/>
        </w:rPr>
      </w:pPr>
      <w:r>
        <w:rPr>
          <w:rFonts w:ascii="Arial" w:cs="Arial" w:eastAsia="Arial" w:hAnsi="Arial"/>
          <w:sz w:val="18"/>
          <w:szCs w:val="18"/>
          <w:color w:val="auto"/>
        </w:rPr>
        <w:t>Bloomington, Minnesota 55420-1196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2017 ANNUAL MEETING OF SHAREHOLDERS</w:t>
      </w:r>
    </w:p>
    <w:p>
      <w:pPr>
        <w:jc w:val="center"/>
        <w:spacing w:after="0" w:line="234" w:lineRule="auto"/>
        <w:rPr>
          <w:sz w:val="20"/>
          <w:szCs w:val="20"/>
          <w:color w:val="auto"/>
        </w:rPr>
      </w:pPr>
      <w:r>
        <w:rPr>
          <w:rFonts w:ascii="Arial" w:cs="Arial" w:eastAsia="Arial" w:hAnsi="Arial"/>
          <w:sz w:val="18"/>
          <w:szCs w:val="18"/>
          <w:color w:val="auto"/>
        </w:rPr>
        <w:t>TUESDAY, MARCH 21,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 p.m. Central Daylight Time</w:t>
      </w:r>
    </w:p>
    <w:p>
      <w:pPr>
        <w:spacing w:after="0" w:line="212"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2017 Annual Meeting of Shareholders to be held at 1:30 p.m., Central Daylight Time, on Tuesday, March 21, 2017.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7, 2017. Please note that references in this proxy statement to “Toro,” our “Company,” “we,” “us,” “our” and similar terms refer to The Toro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GENERAL INFORMATION ABOUT THE 2017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Important Notice Regarding the Availability of Proxy Materials for the Shareholder Meeting To Be Held on Tuesday, March 21, 2017.</w:t>
      </w:r>
    </w:p>
    <w:p>
      <w:pPr>
        <w:spacing w:after="0" w:line="234"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This proxy statement and our 2016 Annual Report, which includes our Annual Report on Form 10-K for the fiscal year ended October 31, 2016, are available at www.thetorocompany.com/proxy.</w:t>
      </w:r>
    </w:p>
    <w:p>
      <w:pPr>
        <w:spacing w:after="0" w:line="197" w:lineRule="exact"/>
        <w:rPr>
          <w:sz w:val="20"/>
          <w:szCs w:val="20"/>
          <w:color w:val="auto"/>
        </w:rPr>
      </w:pPr>
    </w:p>
    <w:p>
      <w:pPr>
        <w:ind w:right="280" w:firstLine="456"/>
        <w:spacing w:after="0" w:line="237" w:lineRule="auto"/>
        <w:rPr>
          <w:sz w:val="20"/>
          <w:szCs w:val="20"/>
          <w:color w:val="auto"/>
        </w:rPr>
      </w:pPr>
      <w:r>
        <w:rPr>
          <w:rFonts w:ascii="Arial" w:cs="Arial" w:eastAsia="Arial" w:hAnsi="Arial"/>
          <w:sz w:val="18"/>
          <w:szCs w:val="18"/>
          <w:color w:val="auto"/>
        </w:rPr>
        <w:t>Pursuant to rules adopted by the Securities and Exchange Commission, or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When and Where Will the Annual Meeting Be Held?</w:t>
      </w:r>
    </w:p>
    <w:p>
      <w:pPr>
        <w:spacing w:after="0" w:line="234"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annual meeting will be held on Tuesday, March 21, 2017, at 1:30 p.m., Central Daylight Time, at our corporate offices located at 8111 Lyndale Avenue South, Bloomington, Minnesota, 55420-1196.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What Are the Purposes of the Annual Meeting?</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2017 Annual Meeting of Shareholders are to vote on the following items described in this proxy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shd w:val="clear" w:color="auto" w:fill="D9D9D9"/>
          </w:tcPr>
          <w:p>
            <w:pPr>
              <w:spacing w:after="0"/>
              <w:rPr>
                <w:sz w:val="20"/>
                <w:szCs w:val="20"/>
                <w:color w:val="auto"/>
              </w:rPr>
            </w:pPr>
            <w:r>
              <w:rPr>
                <w:rFonts w:ascii="Arial" w:cs="Arial" w:eastAsia="Arial" w:hAnsi="Arial"/>
                <w:sz w:val="18"/>
                <w:szCs w:val="18"/>
                <w:color w:val="auto"/>
              </w:rPr>
              <w:t>Proposal One</w:t>
            </w:r>
          </w:p>
        </w:tc>
        <w:tc>
          <w:tcPr>
            <w:tcW w:w="9760" w:type="dxa"/>
            <w:vAlign w:val="bottom"/>
            <w:shd w:val="clear" w:color="auto" w:fill="D9D9D9"/>
          </w:tcPr>
          <w:p>
            <w:pPr>
              <w:ind w:left="420"/>
              <w:spacing w:after="0"/>
              <w:rPr>
                <w:sz w:val="20"/>
                <w:szCs w:val="20"/>
                <w:color w:val="auto"/>
              </w:rPr>
            </w:pPr>
            <w:r>
              <w:rPr>
                <w:rFonts w:ascii="Arial" w:cs="Arial" w:eastAsia="Arial" w:hAnsi="Arial"/>
                <w:sz w:val="18"/>
                <w:szCs w:val="18"/>
                <w:color w:val="auto"/>
              </w:rPr>
              <w:t>Election of Directors</w:t>
            </w: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Proposal Two</w:t>
            </w:r>
          </w:p>
        </w:tc>
        <w:tc>
          <w:tcPr>
            <w:tcW w:w="9760" w:type="dxa"/>
            <w:vAlign w:val="bottom"/>
          </w:tcPr>
          <w:p>
            <w:pPr>
              <w:ind w:left="420"/>
              <w:spacing w:after="0" w:line="202" w:lineRule="exact"/>
              <w:rPr>
                <w:sz w:val="20"/>
                <w:szCs w:val="20"/>
                <w:color w:val="auto"/>
              </w:rPr>
            </w:pPr>
            <w:r>
              <w:rPr>
                <w:rFonts w:ascii="Arial" w:cs="Arial" w:eastAsia="Arial" w:hAnsi="Arial"/>
                <w:sz w:val="18"/>
                <w:szCs w:val="18"/>
                <w:color w:val="auto"/>
              </w:rPr>
              <w:t>Ratification of Selection of Independent Registered Public Accounting Firm</w:t>
            </w:r>
          </w:p>
        </w:tc>
      </w:tr>
      <w:tr>
        <w:trPr>
          <w:trHeight w:val="203"/>
        </w:trPr>
        <w:tc>
          <w:tcPr>
            <w:tcW w:w="16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Proposal Three</w:t>
            </w:r>
          </w:p>
        </w:tc>
        <w:tc>
          <w:tcPr>
            <w:tcW w:w="9760" w:type="dxa"/>
            <w:vAlign w:val="bottom"/>
            <w:shd w:val="clear" w:color="auto" w:fill="D9D9D9"/>
          </w:tcPr>
          <w:p>
            <w:pPr>
              <w:ind w:left="420"/>
              <w:spacing w:after="0" w:line="202" w:lineRule="exact"/>
              <w:rPr>
                <w:sz w:val="20"/>
                <w:szCs w:val="20"/>
                <w:color w:val="auto"/>
              </w:rPr>
            </w:pPr>
            <w:r>
              <w:rPr>
                <w:rFonts w:ascii="Arial" w:cs="Arial" w:eastAsia="Arial" w:hAnsi="Arial"/>
                <w:sz w:val="18"/>
                <w:szCs w:val="18"/>
                <w:color w:val="auto"/>
              </w:rPr>
              <w:t>Advisory Approval of our Executive Compensation</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Proposal Four</w:t>
            </w:r>
          </w:p>
        </w:tc>
        <w:tc>
          <w:tcPr>
            <w:tcW w:w="9760" w:type="dxa"/>
            <w:vAlign w:val="bottom"/>
          </w:tcPr>
          <w:p>
            <w:pPr>
              <w:ind w:left="420"/>
              <w:spacing w:after="0"/>
              <w:rPr>
                <w:sz w:val="20"/>
                <w:szCs w:val="20"/>
                <w:color w:val="auto"/>
              </w:rPr>
            </w:pPr>
            <w:r>
              <w:rPr>
                <w:rFonts w:ascii="Arial" w:cs="Arial" w:eastAsia="Arial" w:hAnsi="Arial"/>
                <w:sz w:val="18"/>
                <w:szCs w:val="18"/>
                <w:color w:val="auto"/>
              </w:rPr>
              <w:t>Advisory Approval of the Frequency of the Advisory Approval of our Executive Compensation</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Are There Any Matters To Be Voted On at the Annual Meeting that Are Not Included in this Proxy Statement?</w:t>
      </w:r>
    </w:p>
    <w:p>
      <w:pPr>
        <w:spacing w:after="0" w:line="23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Is Entitled to Vote and How Many Shares Must Be Present to Hold the Annual Meeting?</w:t>
      </w:r>
    </w:p>
    <w:p>
      <w:pPr>
        <w:spacing w:after="0" w:line="234"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Shareholders of record at the close of business on January 23, 2017, the record date, will be entitled to vote at the annual meeting or any adjournment or postponement of the annual meeting. As of January 23, 2017, there were 108,205,116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20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Do I Vote My Shares?</w:t>
      </w:r>
    </w:p>
    <w:p>
      <w:pPr>
        <w:spacing w:after="0" w:line="234"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If your shares are registered in your name, you may vote your shares in person at the annual meeting or by one of the three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Vote by Internet</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Vote by Telephone</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Vote by Mail</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Go to www.proxyvote.com and follow the instructions for Internet voting shown on your Notice Regarding the Availability of Proxy Materials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142875</wp:posOffset>
            </wp:positionV>
            <wp:extent cx="15430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27432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160655</wp:posOffset>
            </wp:positionV>
            <wp:extent cx="724662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7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Complete, sign, date and mail your proxy card in the envelope provided if you received a paper copy of these proxy materials. If you vote by Internet or telephone, please do not mail your proxy card.</w:t>
      </w:r>
    </w:p>
    <w:p>
      <w:pPr>
        <w:spacing w:after="0" w:line="200" w:lineRule="exact"/>
        <w:rPr>
          <w:sz w:val="20"/>
          <w:szCs w:val="20"/>
          <w:color w:val="auto"/>
        </w:rPr>
      </w:pPr>
    </w:p>
    <w:p>
      <w:pPr>
        <w:sectPr>
          <w:pgSz w:w="11900" w:h="16838" w:orient="portrait"/>
          <w:cols w:equalWidth="0" w:num="2">
            <w:col w:w="2180" w:space="720"/>
            <w:col w:w="8520"/>
          </w:cols>
          <w:pgMar w:left="240" w:top="459" w:right="239" w:bottom="1440" w:gutter="0" w:footer="0" w:header="0"/>
          <w:type w:val="continuous"/>
        </w:sectPr>
      </w:pPr>
    </w:p>
    <w:p>
      <w:pPr>
        <w:spacing w:after="0" w:line="51" w:lineRule="exact"/>
        <w:rPr>
          <w:sz w:val="20"/>
          <w:szCs w:val="20"/>
          <w:color w:val="auto"/>
        </w:rPr>
      </w:pPr>
    </w:p>
    <w:p>
      <w:pPr>
        <w:jc w:val="both"/>
        <w:ind w:right="180" w:firstLine="456"/>
        <w:spacing w:after="0"/>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three methods noted above. If your shares are held in “street name,” you may receive a separate voting instruction form with this proxy statement or you may need to contact your broker, bank or other nominee to determine whether you will be able to vote electronically using the Internet or by telephone.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Does the Board Recommend that I Vote and What Vote is Required for Each Proposal?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40" w:type="dxa"/>
            <w:vAlign w:val="bottom"/>
            <w:shd w:val="clear" w:color="auto" w:fill="C00000"/>
          </w:tcPr>
          <w:p>
            <w:pPr>
              <w:spacing w:after="0"/>
              <w:rPr>
                <w:sz w:val="14"/>
                <w:szCs w:val="14"/>
                <w:color w:val="auto"/>
              </w:rPr>
            </w:pPr>
          </w:p>
        </w:tc>
        <w:tc>
          <w:tcPr>
            <w:tcW w:w="1060" w:type="dxa"/>
            <w:vAlign w:val="bottom"/>
            <w:shd w:val="clear" w:color="auto" w:fill="C00000"/>
          </w:tcPr>
          <w:p>
            <w:pPr>
              <w:spacing w:after="0"/>
              <w:rPr>
                <w:sz w:val="14"/>
                <w:szCs w:val="14"/>
                <w:color w:val="auto"/>
              </w:rPr>
            </w:pPr>
          </w:p>
        </w:tc>
        <w:tc>
          <w:tcPr>
            <w:tcW w:w="340" w:type="dxa"/>
            <w:vAlign w:val="bottom"/>
            <w:shd w:val="clear" w:color="auto" w:fill="C00000"/>
          </w:tcPr>
          <w:p>
            <w:pPr>
              <w:spacing w:after="0"/>
              <w:rPr>
                <w:sz w:val="14"/>
                <w:szCs w:val="14"/>
                <w:color w:val="auto"/>
              </w:rPr>
            </w:pPr>
          </w:p>
        </w:tc>
        <w:tc>
          <w:tcPr>
            <w:tcW w:w="2240" w:type="dxa"/>
            <w:vAlign w:val="bottom"/>
            <w:shd w:val="clear" w:color="auto" w:fill="C00000"/>
          </w:tcPr>
          <w:p>
            <w:pPr>
              <w:spacing w:after="0"/>
              <w:rPr>
                <w:sz w:val="14"/>
                <w:szCs w:val="14"/>
                <w:color w:val="auto"/>
              </w:rPr>
            </w:pPr>
          </w:p>
        </w:tc>
        <w:tc>
          <w:tcPr>
            <w:tcW w:w="2160" w:type="dxa"/>
            <w:vAlign w:val="bottom"/>
            <w:shd w:val="clear" w:color="auto" w:fill="C00000"/>
          </w:tcPr>
          <w:p>
            <w:pPr>
              <w:spacing w:after="0"/>
              <w:rPr>
                <w:sz w:val="14"/>
                <w:szCs w:val="14"/>
                <w:color w:val="auto"/>
              </w:rPr>
            </w:pPr>
          </w:p>
        </w:tc>
        <w:tc>
          <w:tcPr>
            <w:tcW w:w="108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Effect of</w:t>
            </w:r>
          </w:p>
        </w:tc>
        <w:tc>
          <w:tcPr>
            <w:tcW w:w="148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shd w:val="clear" w:color="auto" w:fill="C00000"/>
          </w:tcPr>
          <w:p>
            <w:pPr>
              <w:spacing w:after="0"/>
              <w:rPr>
                <w:sz w:val="14"/>
                <w:szCs w:val="14"/>
                <w:color w:val="auto"/>
              </w:rPr>
            </w:pPr>
          </w:p>
        </w:tc>
        <w:tc>
          <w:tcPr>
            <w:tcW w:w="1400" w:type="dxa"/>
            <w:vAlign w:val="bottom"/>
            <w:gridSpan w:val="2"/>
            <w:shd w:val="clear" w:color="auto" w:fill="C00000"/>
          </w:tcPr>
          <w:p>
            <w:pPr>
              <w:ind w:left="60"/>
              <w:spacing w:after="0"/>
              <w:rPr>
                <w:sz w:val="20"/>
                <w:szCs w:val="20"/>
                <w:color w:val="auto"/>
              </w:rPr>
            </w:pPr>
            <w:r>
              <w:rPr>
                <w:rFonts w:ascii="Arial" w:cs="Arial" w:eastAsia="Arial" w:hAnsi="Arial"/>
                <w:sz w:val="14"/>
                <w:szCs w:val="14"/>
                <w:b w:val="1"/>
                <w:bCs w:val="1"/>
                <w:color w:val="FFFFFF"/>
              </w:rPr>
              <w:t>Board</w:t>
            </w:r>
          </w:p>
        </w:tc>
        <w:tc>
          <w:tcPr>
            <w:tcW w:w="2240" w:type="dxa"/>
            <w:vAlign w:val="bottom"/>
            <w:shd w:val="clear" w:color="auto" w:fill="C00000"/>
          </w:tcPr>
          <w:p>
            <w:pPr>
              <w:ind w:left="140"/>
              <w:spacing w:after="0"/>
              <w:rPr>
                <w:sz w:val="20"/>
                <w:szCs w:val="20"/>
                <w:color w:val="auto"/>
              </w:rPr>
            </w:pPr>
            <w:r>
              <w:rPr>
                <w:rFonts w:ascii="Arial" w:cs="Arial" w:eastAsia="Arial" w:hAnsi="Arial"/>
                <w:sz w:val="14"/>
                <w:szCs w:val="14"/>
                <w:b w:val="1"/>
                <w:bCs w:val="1"/>
                <w:color w:val="FFFFFF"/>
              </w:rPr>
              <w:t>Available Voting</w:t>
            </w:r>
          </w:p>
        </w:tc>
        <w:tc>
          <w:tcPr>
            <w:tcW w:w="216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Voting Approval</w:t>
            </w:r>
          </w:p>
        </w:tc>
        <w:tc>
          <w:tcPr>
            <w:tcW w:w="108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Withhold or</w:t>
            </w:r>
          </w:p>
        </w:tc>
        <w:tc>
          <w:tcPr>
            <w:tcW w:w="148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Proposal</w:t>
            </w:r>
          </w:p>
        </w:tc>
        <w:tc>
          <w:tcPr>
            <w:tcW w:w="1400" w:type="dxa"/>
            <w:vAlign w:val="bottom"/>
            <w:gridSpan w:val="2"/>
            <w:shd w:val="clear" w:color="auto" w:fill="C00000"/>
          </w:tcPr>
          <w:p>
            <w:pPr>
              <w:ind w:left="60"/>
              <w:spacing w:after="0"/>
              <w:rPr>
                <w:sz w:val="20"/>
                <w:szCs w:val="20"/>
                <w:color w:val="auto"/>
              </w:rPr>
            </w:pPr>
            <w:r>
              <w:rPr>
                <w:rFonts w:ascii="Arial" w:cs="Arial" w:eastAsia="Arial" w:hAnsi="Arial"/>
                <w:sz w:val="14"/>
                <w:szCs w:val="14"/>
                <w:b w:val="1"/>
                <w:bCs w:val="1"/>
                <w:color w:val="FFFFFF"/>
              </w:rPr>
              <w:t>Recommendation</w:t>
            </w:r>
          </w:p>
        </w:tc>
        <w:tc>
          <w:tcPr>
            <w:tcW w:w="2240" w:type="dxa"/>
            <w:vAlign w:val="bottom"/>
            <w:shd w:val="clear" w:color="auto" w:fill="C00000"/>
          </w:tcPr>
          <w:p>
            <w:pPr>
              <w:ind w:left="140"/>
              <w:spacing w:after="0"/>
              <w:rPr>
                <w:sz w:val="20"/>
                <w:szCs w:val="20"/>
                <w:color w:val="auto"/>
              </w:rPr>
            </w:pPr>
            <w:r>
              <w:rPr>
                <w:rFonts w:ascii="Arial" w:cs="Arial" w:eastAsia="Arial" w:hAnsi="Arial"/>
                <w:sz w:val="14"/>
                <w:szCs w:val="14"/>
                <w:b w:val="1"/>
                <w:bCs w:val="1"/>
                <w:color w:val="FFFFFF"/>
              </w:rPr>
              <w:t>Selections</w:t>
            </w:r>
          </w:p>
        </w:tc>
        <w:tc>
          <w:tcPr>
            <w:tcW w:w="216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Standard</w:t>
            </w:r>
          </w:p>
        </w:tc>
        <w:tc>
          <w:tcPr>
            <w:tcW w:w="108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Abstention</w:t>
            </w:r>
          </w:p>
        </w:tc>
        <w:tc>
          <w:tcPr>
            <w:tcW w:w="148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r>
        <w:trPr>
          <w:trHeight w:val="242"/>
        </w:trPr>
        <w:tc>
          <w:tcPr>
            <w:tcW w:w="3060" w:type="dxa"/>
            <w:vAlign w:val="bottom"/>
            <w:gridSpan w:val="2"/>
          </w:tcPr>
          <w:p>
            <w:pPr>
              <w:spacing w:after="0"/>
              <w:rPr>
                <w:sz w:val="20"/>
                <w:szCs w:val="20"/>
                <w:color w:val="auto"/>
              </w:rPr>
            </w:pPr>
            <w:r>
              <w:rPr>
                <w:rFonts w:ascii="Arial" w:cs="Arial" w:eastAsia="Arial" w:hAnsi="Arial"/>
                <w:sz w:val="18"/>
                <w:szCs w:val="18"/>
                <w:color w:val="auto"/>
              </w:rPr>
              <w:t>1.  Election of four directors, each to</w:t>
            </w: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C00000"/>
              </w:rPr>
              <w:t xml:space="preserve">FOR </w:t>
            </w:r>
            <w:r>
              <w:rPr>
                <w:rFonts w:ascii="Arial" w:cs="Arial" w:eastAsia="Arial" w:hAnsi="Arial"/>
                <w:sz w:val="18"/>
                <w:szCs w:val="18"/>
                <w:color w:val="000000"/>
              </w:rPr>
              <w:t>all four</w:t>
            </w:r>
          </w:p>
        </w:tc>
        <w:tc>
          <w:tcPr>
            <w:tcW w:w="2240" w:type="dxa"/>
            <w:vAlign w:val="bottom"/>
          </w:tcPr>
          <w:p>
            <w:pPr>
              <w:ind w:left="140"/>
              <w:spacing w:after="0"/>
              <w:rPr>
                <w:sz w:val="20"/>
                <w:szCs w:val="20"/>
                <w:color w:val="auto"/>
              </w:rPr>
            </w:pPr>
            <w:r>
              <w:rPr>
                <w:rFonts w:ascii="Arial" w:cs="Arial" w:eastAsia="Arial" w:hAnsi="Arial"/>
                <w:sz w:val="18"/>
                <w:szCs w:val="18"/>
                <w:color w:val="auto"/>
              </w:rPr>
              <w:t>FOR all four nominees;</w:t>
            </w:r>
          </w:p>
        </w:tc>
        <w:tc>
          <w:tcPr>
            <w:tcW w:w="2160" w:type="dxa"/>
            <w:vAlign w:val="bottom"/>
          </w:tcPr>
          <w:p>
            <w:pPr>
              <w:ind w:left="60"/>
              <w:spacing w:after="0"/>
              <w:rPr>
                <w:sz w:val="20"/>
                <w:szCs w:val="20"/>
                <w:color w:val="auto"/>
              </w:rPr>
            </w:pPr>
            <w:r>
              <w:rPr>
                <w:rFonts w:ascii="Arial" w:cs="Arial" w:eastAsia="Arial" w:hAnsi="Arial"/>
                <w:sz w:val="18"/>
                <w:szCs w:val="18"/>
                <w:color w:val="auto"/>
              </w:rPr>
              <w:t>Plurality: the individuals</w:t>
            </w:r>
          </w:p>
        </w:tc>
        <w:tc>
          <w:tcPr>
            <w:tcW w:w="1080" w:type="dxa"/>
            <w:vAlign w:val="bottom"/>
          </w:tcPr>
          <w:p>
            <w:pPr>
              <w:ind w:left="60"/>
              <w:spacing w:after="0"/>
              <w:rPr>
                <w:sz w:val="20"/>
                <w:szCs w:val="20"/>
                <w:color w:val="auto"/>
              </w:rPr>
            </w:pPr>
            <w:r>
              <w:rPr>
                <w:rFonts w:ascii="Arial" w:cs="Arial" w:eastAsia="Arial" w:hAnsi="Arial"/>
                <w:sz w:val="18"/>
                <w:szCs w:val="18"/>
                <w:color w:val="auto"/>
              </w:rPr>
              <w:t>Counted as</w:t>
            </w:r>
          </w:p>
        </w:tc>
        <w:tc>
          <w:tcPr>
            <w:tcW w:w="1480" w:type="dxa"/>
            <w:vAlign w:val="bottom"/>
          </w:tcPr>
          <w:p>
            <w:pPr>
              <w:ind w:left="1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280"/>
              <w:spacing w:after="0" w:line="202" w:lineRule="exact"/>
              <w:rPr>
                <w:sz w:val="20"/>
                <w:szCs w:val="20"/>
                <w:color w:val="auto"/>
              </w:rPr>
            </w:pPr>
            <w:r>
              <w:rPr>
                <w:rFonts w:ascii="Arial" w:cs="Arial" w:eastAsia="Arial" w:hAnsi="Arial"/>
                <w:sz w:val="18"/>
                <w:szCs w:val="18"/>
                <w:color w:val="auto"/>
              </w:rPr>
              <w:t>serve for a term of three years</w:t>
            </w: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nominees</w:t>
            </w:r>
          </w:p>
        </w:tc>
        <w:tc>
          <w:tcPr>
            <w:tcW w:w="2240" w:type="dxa"/>
            <w:vAlign w:val="bottom"/>
          </w:tcPr>
          <w:p>
            <w:pPr>
              <w:ind w:left="140"/>
              <w:spacing w:after="0" w:line="202" w:lineRule="exact"/>
              <w:rPr>
                <w:sz w:val="20"/>
                <w:szCs w:val="20"/>
                <w:color w:val="auto"/>
              </w:rPr>
            </w:pPr>
            <w:r>
              <w:rPr>
                <w:rFonts w:ascii="Arial" w:cs="Arial" w:eastAsia="Arial" w:hAnsi="Arial"/>
                <w:sz w:val="18"/>
                <w:szCs w:val="18"/>
                <w:color w:val="auto"/>
              </w:rPr>
              <w:t>WITHHOLD from all four</w:t>
            </w:r>
          </w:p>
        </w:tc>
        <w:tc>
          <w:tcPr>
            <w:tcW w:w="2160" w:type="dxa"/>
            <w:vAlign w:val="bottom"/>
          </w:tcPr>
          <w:p>
            <w:pPr>
              <w:ind w:left="60"/>
              <w:spacing w:after="0" w:line="202" w:lineRule="exact"/>
              <w:rPr>
                <w:sz w:val="20"/>
                <w:szCs w:val="20"/>
                <w:color w:val="auto"/>
              </w:rPr>
            </w:pPr>
            <w:r>
              <w:rPr>
                <w:rFonts w:ascii="Arial" w:cs="Arial" w:eastAsia="Arial" w:hAnsi="Arial"/>
                <w:sz w:val="18"/>
                <w:szCs w:val="18"/>
                <w:color w:val="auto"/>
              </w:rPr>
              <w:t>who receive the greatest</w:t>
            </w:r>
          </w:p>
        </w:tc>
        <w:tc>
          <w:tcPr>
            <w:tcW w:w="1080" w:type="dxa"/>
            <w:vAlign w:val="bottom"/>
          </w:tcPr>
          <w:p>
            <w:pPr>
              <w:ind w:left="60"/>
              <w:spacing w:after="0" w:line="202" w:lineRule="exact"/>
              <w:rPr>
                <w:sz w:val="20"/>
                <w:szCs w:val="20"/>
                <w:color w:val="auto"/>
              </w:rPr>
            </w:pPr>
            <w:r>
              <w:rPr>
                <w:rFonts w:ascii="Arial" w:cs="Arial" w:eastAsia="Arial" w:hAnsi="Arial"/>
                <w:sz w:val="18"/>
                <w:szCs w:val="18"/>
                <w:color w:val="auto"/>
              </w:rPr>
              <w:t>a vote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280"/>
              <w:spacing w:after="0" w:line="202" w:lineRule="exact"/>
              <w:rPr>
                <w:sz w:val="20"/>
                <w:szCs w:val="20"/>
                <w:color w:val="auto"/>
              </w:rPr>
            </w:pPr>
            <w:r>
              <w:rPr>
                <w:rFonts w:ascii="Arial" w:cs="Arial" w:eastAsia="Arial" w:hAnsi="Arial"/>
                <w:sz w:val="18"/>
                <w:szCs w:val="18"/>
                <w:color w:val="auto"/>
              </w:rPr>
              <w:t>ending at the 2020 Annual</w:t>
            </w: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tcPr>
          <w:p>
            <w:pPr>
              <w:ind w:left="140"/>
              <w:spacing w:after="0" w:line="202" w:lineRule="exact"/>
              <w:rPr>
                <w:sz w:val="20"/>
                <w:szCs w:val="20"/>
                <w:color w:val="auto"/>
              </w:rPr>
            </w:pPr>
            <w:r>
              <w:rPr>
                <w:rFonts w:ascii="Arial" w:cs="Arial" w:eastAsia="Arial" w:hAnsi="Arial"/>
                <w:sz w:val="18"/>
                <w:szCs w:val="18"/>
                <w:color w:val="auto"/>
              </w:rPr>
              <w:t>nominees; or WITHHOLD</w:t>
            </w:r>
          </w:p>
        </w:tc>
        <w:tc>
          <w:tcPr>
            <w:tcW w:w="2160" w:type="dxa"/>
            <w:vAlign w:val="bottom"/>
          </w:tcPr>
          <w:p>
            <w:pPr>
              <w:ind w:left="60"/>
              <w:spacing w:after="0" w:line="202" w:lineRule="exact"/>
              <w:rPr>
                <w:sz w:val="20"/>
                <w:szCs w:val="20"/>
                <w:color w:val="auto"/>
              </w:rPr>
            </w:pPr>
            <w:r>
              <w:rPr>
                <w:rFonts w:ascii="Arial" w:cs="Arial" w:eastAsia="Arial" w:hAnsi="Arial"/>
                <w:sz w:val="18"/>
                <w:szCs w:val="18"/>
                <w:color w:val="auto"/>
              </w:rPr>
              <w:t>number of votes cast “for”</w:t>
            </w:r>
          </w:p>
        </w:tc>
        <w:tc>
          <w:tcPr>
            <w:tcW w:w="1080" w:type="dxa"/>
            <w:vAlign w:val="bottom"/>
          </w:tcPr>
          <w:p>
            <w:pPr>
              <w:ind w:left="60"/>
              <w:spacing w:after="0" w:line="202" w:lineRule="exact"/>
              <w:rPr>
                <w:sz w:val="20"/>
                <w:szCs w:val="20"/>
                <w:color w:val="auto"/>
              </w:rPr>
            </w:pPr>
            <w:r>
              <w:rPr>
                <w:rFonts w:ascii="Arial" w:cs="Arial" w:eastAsia="Arial" w:hAnsi="Arial"/>
                <w:sz w:val="18"/>
                <w:szCs w:val="18"/>
                <w:color w:val="auto"/>
              </w:rPr>
              <w:t>against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40" w:type="dxa"/>
            <w:vAlign w:val="bottom"/>
          </w:tcPr>
          <w:p>
            <w:pPr>
              <w:ind w:left="280"/>
              <w:spacing w:after="0" w:line="200" w:lineRule="exact"/>
              <w:rPr>
                <w:sz w:val="20"/>
                <w:szCs w:val="20"/>
                <w:color w:val="auto"/>
              </w:rPr>
            </w:pPr>
            <w:r>
              <w:rPr>
                <w:rFonts w:ascii="Arial" w:cs="Arial" w:eastAsia="Arial" w:hAnsi="Arial"/>
                <w:sz w:val="18"/>
                <w:szCs w:val="18"/>
                <w:color w:val="auto"/>
              </w:rPr>
              <w:t>Meeting of Shareholders</w:t>
            </w: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tcPr>
          <w:p>
            <w:pPr>
              <w:ind w:left="140"/>
              <w:spacing w:after="0" w:line="200" w:lineRule="exact"/>
              <w:rPr>
                <w:sz w:val="20"/>
                <w:szCs w:val="20"/>
                <w:color w:val="auto"/>
              </w:rPr>
            </w:pPr>
            <w:r>
              <w:rPr>
                <w:rFonts w:ascii="Arial" w:cs="Arial" w:eastAsia="Arial" w:hAnsi="Arial"/>
                <w:sz w:val="18"/>
                <w:szCs w:val="18"/>
                <w:color w:val="auto"/>
              </w:rPr>
              <w:t>from one or more</w:t>
            </w:r>
          </w:p>
        </w:tc>
        <w:tc>
          <w:tcPr>
            <w:tcW w:w="2160" w:type="dxa"/>
            <w:vAlign w:val="bottom"/>
          </w:tcPr>
          <w:p>
            <w:pPr>
              <w:ind w:left="60"/>
              <w:spacing w:after="0" w:line="200" w:lineRule="exact"/>
              <w:rPr>
                <w:sz w:val="20"/>
                <w:szCs w:val="20"/>
                <w:color w:val="auto"/>
              </w:rPr>
            </w:pPr>
            <w:r>
              <w:rPr>
                <w:rFonts w:ascii="Arial" w:cs="Arial" w:eastAsia="Arial" w:hAnsi="Arial"/>
                <w:sz w:val="18"/>
                <w:szCs w:val="18"/>
                <w:color w:val="auto"/>
              </w:rPr>
              <w:t>are elected as</w:t>
            </w: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nominees</w:t>
            </w:r>
          </w:p>
        </w:tc>
        <w:tc>
          <w:tcPr>
            <w:tcW w:w="2160" w:type="dxa"/>
            <w:vAlign w:val="bottom"/>
          </w:tcPr>
          <w:p>
            <w:pPr>
              <w:ind w:left="60"/>
              <w:spacing w:after="0"/>
              <w:rPr>
                <w:sz w:val="20"/>
                <w:szCs w:val="20"/>
                <w:color w:val="auto"/>
              </w:rPr>
            </w:pPr>
            <w:r>
              <w:rPr>
                <w:rFonts w:ascii="Arial" w:cs="Arial" w:eastAsia="Arial" w:hAnsi="Arial"/>
                <w:sz w:val="18"/>
                <w:szCs w:val="18"/>
                <w:color w:val="auto"/>
              </w:rPr>
              <w:t>directors</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shd w:val="clear" w:color="auto" w:fill="D9D9D9"/>
          </w:tcPr>
          <w:p>
            <w:pPr>
              <w:spacing w:after="0"/>
              <w:rPr>
                <w:sz w:val="20"/>
                <w:szCs w:val="20"/>
                <w:color w:val="auto"/>
              </w:rPr>
            </w:pPr>
            <w:r>
              <w:rPr>
                <w:rFonts w:ascii="Arial" w:cs="Arial" w:eastAsia="Arial" w:hAnsi="Arial"/>
                <w:sz w:val="18"/>
                <w:szCs w:val="18"/>
                <w:color w:val="auto"/>
              </w:rPr>
              <w:t>2.  Ratification of the selection of</w:t>
            </w:r>
          </w:p>
        </w:tc>
        <w:tc>
          <w:tcPr>
            <w:tcW w:w="1400" w:type="dxa"/>
            <w:vAlign w:val="bottom"/>
            <w:gridSpan w:val="2"/>
            <w:shd w:val="clear" w:color="auto" w:fill="D9D9D9"/>
          </w:tcPr>
          <w:p>
            <w:pPr>
              <w:ind w:left="60"/>
              <w:spacing w:after="0"/>
              <w:rPr>
                <w:sz w:val="20"/>
                <w:szCs w:val="20"/>
                <w:color w:val="auto"/>
              </w:rPr>
            </w:pPr>
            <w:r>
              <w:rPr>
                <w:rFonts w:ascii="Arial" w:cs="Arial" w:eastAsia="Arial" w:hAnsi="Arial"/>
                <w:sz w:val="18"/>
                <w:szCs w:val="18"/>
                <w:b w:val="1"/>
                <w:bCs w:val="1"/>
                <w:color w:val="C00000"/>
              </w:rPr>
              <w:t>FOR</w:t>
            </w:r>
          </w:p>
        </w:tc>
        <w:tc>
          <w:tcPr>
            <w:tcW w:w="2240" w:type="dxa"/>
            <w:vAlign w:val="bottom"/>
            <w:shd w:val="clear" w:color="auto" w:fill="D9D9D9"/>
          </w:tcPr>
          <w:p>
            <w:pPr>
              <w:ind w:left="140"/>
              <w:spacing w:after="0"/>
              <w:rPr>
                <w:sz w:val="20"/>
                <w:szCs w:val="20"/>
                <w:color w:val="auto"/>
              </w:rPr>
            </w:pPr>
            <w:r>
              <w:rPr>
                <w:rFonts w:ascii="Arial" w:cs="Arial" w:eastAsia="Arial" w:hAnsi="Arial"/>
                <w:sz w:val="18"/>
                <w:szCs w:val="18"/>
                <w:color w:val="auto"/>
              </w:rPr>
              <w:t>FOR; AGAINST; or</w:t>
            </w:r>
          </w:p>
        </w:tc>
        <w:tc>
          <w:tcPr>
            <w:tcW w:w="2160" w:type="dxa"/>
            <w:vAlign w:val="bottom"/>
            <w:shd w:val="clear" w:color="auto" w:fill="D9D9D9"/>
          </w:tcPr>
          <w:p>
            <w:pPr>
              <w:ind w:left="60"/>
              <w:spacing w:after="0"/>
              <w:rPr>
                <w:sz w:val="20"/>
                <w:szCs w:val="20"/>
                <w:color w:val="auto"/>
              </w:rPr>
            </w:pPr>
            <w:r>
              <w:rPr>
                <w:rFonts w:ascii="Arial" w:cs="Arial" w:eastAsia="Arial" w:hAnsi="Arial"/>
                <w:sz w:val="18"/>
                <w:szCs w:val="18"/>
                <w:color w:val="auto"/>
              </w:rPr>
              <w:t>Majority of shares</w:t>
            </w:r>
          </w:p>
        </w:tc>
        <w:tc>
          <w:tcPr>
            <w:tcW w:w="1080" w:type="dxa"/>
            <w:vAlign w:val="bottom"/>
            <w:shd w:val="clear" w:color="auto" w:fill="D9D9D9"/>
          </w:tcPr>
          <w:p>
            <w:pPr>
              <w:ind w:left="60"/>
              <w:spacing w:after="0"/>
              <w:rPr>
                <w:sz w:val="20"/>
                <w:szCs w:val="20"/>
                <w:color w:val="auto"/>
              </w:rPr>
            </w:pPr>
            <w:r>
              <w:rPr>
                <w:rFonts w:ascii="Arial" w:cs="Arial" w:eastAsia="Arial" w:hAnsi="Arial"/>
                <w:sz w:val="18"/>
                <w:szCs w:val="18"/>
                <w:color w:val="auto"/>
              </w:rPr>
              <w:t>Counted as</w:t>
            </w:r>
          </w:p>
        </w:tc>
        <w:tc>
          <w:tcPr>
            <w:tcW w:w="1480" w:type="dxa"/>
            <w:vAlign w:val="bottom"/>
            <w:shd w:val="clear" w:color="auto" w:fill="D9D9D9"/>
          </w:tcPr>
          <w:p>
            <w:pPr>
              <w:ind w:left="1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D9D9D9"/>
          </w:tcPr>
          <w:p>
            <w:pPr>
              <w:ind w:left="280"/>
              <w:spacing w:after="0" w:line="202" w:lineRule="exact"/>
              <w:rPr>
                <w:sz w:val="20"/>
                <w:szCs w:val="20"/>
                <w:color w:val="auto"/>
              </w:rPr>
            </w:pPr>
            <w:r>
              <w:rPr>
                <w:rFonts w:ascii="Arial" w:cs="Arial" w:eastAsia="Arial" w:hAnsi="Arial"/>
                <w:sz w:val="18"/>
                <w:szCs w:val="18"/>
                <w:color w:val="auto"/>
              </w:rPr>
              <w:t>KPMG LLP as our independent</w:t>
            </w: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ABSTAIN</w:t>
            </w:r>
          </w:p>
        </w:tc>
        <w:tc>
          <w:tcPr>
            <w:tcW w:w="2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present and entitled to</w:t>
            </w:r>
          </w:p>
        </w:tc>
        <w:tc>
          <w:tcPr>
            <w:tcW w:w="10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 vote</w:t>
            </w: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D9D9D9"/>
          </w:tcPr>
          <w:p>
            <w:pPr>
              <w:ind w:left="280"/>
              <w:spacing w:after="0" w:line="202" w:lineRule="exact"/>
              <w:rPr>
                <w:sz w:val="20"/>
                <w:szCs w:val="20"/>
                <w:color w:val="auto"/>
              </w:rPr>
            </w:pPr>
            <w:r>
              <w:rPr>
                <w:rFonts w:ascii="Arial" w:cs="Arial" w:eastAsia="Arial" w:hAnsi="Arial"/>
                <w:sz w:val="18"/>
                <w:szCs w:val="18"/>
                <w:color w:val="auto"/>
              </w:rPr>
              <w:t>registered public accounting firm</w:t>
            </w: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spacing w:after="0"/>
              <w:rPr>
                <w:sz w:val="17"/>
                <w:szCs w:val="17"/>
                <w:color w:val="auto"/>
              </w:rPr>
            </w:pPr>
          </w:p>
        </w:tc>
        <w:tc>
          <w:tcPr>
            <w:tcW w:w="2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vote</w:t>
            </w:r>
          </w:p>
        </w:tc>
        <w:tc>
          <w:tcPr>
            <w:tcW w:w="10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against</w:t>
            </w: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D9D9D9"/>
          </w:tcPr>
          <w:p>
            <w:pPr>
              <w:ind w:left="280"/>
              <w:spacing w:after="0" w:line="202" w:lineRule="exact"/>
              <w:rPr>
                <w:sz w:val="20"/>
                <w:szCs w:val="20"/>
                <w:color w:val="auto"/>
              </w:rPr>
            </w:pPr>
            <w:r>
              <w:rPr>
                <w:rFonts w:ascii="Arial" w:cs="Arial" w:eastAsia="Arial" w:hAnsi="Arial"/>
                <w:sz w:val="18"/>
                <w:szCs w:val="18"/>
                <w:color w:val="auto"/>
              </w:rPr>
              <w:t>for our fiscal year ending</w:t>
            </w: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1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8"/>
                <w:szCs w:val="18"/>
                <w:color w:val="auto"/>
              </w:rPr>
              <w:t>October 31, 2017</w:t>
            </w:r>
          </w:p>
        </w:tc>
        <w:tc>
          <w:tcPr>
            <w:tcW w:w="1060" w:type="dxa"/>
            <w:vAlign w:val="bottom"/>
            <w:tcBorders>
              <w:bottom w:val="single" w:sz="8" w:color="D9D9D9"/>
            </w:tcBorders>
            <w:shd w:val="clear" w:color="auto" w:fill="D9D9D9"/>
          </w:tcPr>
          <w:p>
            <w:pPr>
              <w:spacing w:after="0"/>
              <w:rPr>
                <w:sz w:val="20"/>
                <w:szCs w:val="20"/>
                <w:color w:val="auto"/>
              </w:rPr>
            </w:pPr>
          </w:p>
        </w:tc>
        <w:tc>
          <w:tcPr>
            <w:tcW w:w="340" w:type="dxa"/>
            <w:vAlign w:val="bottom"/>
            <w:tcBorders>
              <w:bottom w:val="single" w:sz="8" w:color="D9D9D9"/>
            </w:tcBorders>
            <w:shd w:val="clear" w:color="auto" w:fill="D9D9D9"/>
          </w:tcPr>
          <w:p>
            <w:pPr>
              <w:spacing w:after="0"/>
              <w:rPr>
                <w:sz w:val="20"/>
                <w:szCs w:val="20"/>
                <w:color w:val="auto"/>
              </w:rPr>
            </w:pPr>
          </w:p>
        </w:tc>
        <w:tc>
          <w:tcPr>
            <w:tcW w:w="2240" w:type="dxa"/>
            <w:vAlign w:val="bottom"/>
            <w:tcBorders>
              <w:bottom w:val="single" w:sz="8" w:color="D9D9D9"/>
            </w:tcBorders>
            <w:shd w:val="clear" w:color="auto" w:fill="D9D9D9"/>
          </w:tcPr>
          <w:p>
            <w:pPr>
              <w:spacing w:after="0"/>
              <w:rPr>
                <w:sz w:val="20"/>
                <w:szCs w:val="20"/>
                <w:color w:val="auto"/>
              </w:rPr>
            </w:pPr>
          </w:p>
        </w:tc>
        <w:tc>
          <w:tcPr>
            <w:tcW w:w="2160" w:type="dxa"/>
            <w:vAlign w:val="bottom"/>
            <w:tcBorders>
              <w:bottom w:val="single" w:sz="8" w:color="D9D9D9"/>
            </w:tcBorders>
            <w:shd w:val="clear" w:color="auto" w:fill="D9D9D9"/>
          </w:tcPr>
          <w:p>
            <w:pPr>
              <w:spacing w:after="0"/>
              <w:rPr>
                <w:sz w:val="20"/>
                <w:szCs w:val="20"/>
                <w:color w:val="auto"/>
              </w:rPr>
            </w:pPr>
          </w:p>
        </w:tc>
        <w:tc>
          <w:tcPr>
            <w:tcW w:w="1080" w:type="dxa"/>
            <w:vAlign w:val="bottom"/>
            <w:tcBorders>
              <w:bottom w:val="single" w:sz="8" w:color="D9D9D9"/>
            </w:tcBorders>
            <w:shd w:val="clear" w:color="auto" w:fill="D9D9D9"/>
          </w:tcPr>
          <w:p>
            <w:pPr>
              <w:spacing w:after="0"/>
              <w:rPr>
                <w:sz w:val="20"/>
                <w:szCs w:val="20"/>
                <w:color w:val="auto"/>
              </w:rPr>
            </w:pPr>
          </w:p>
        </w:tc>
        <w:tc>
          <w:tcPr>
            <w:tcW w:w="148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tcPr>
          <w:p>
            <w:pPr>
              <w:spacing w:after="0" w:line="199" w:lineRule="exact"/>
              <w:rPr>
                <w:sz w:val="20"/>
                <w:szCs w:val="20"/>
                <w:color w:val="auto"/>
              </w:rPr>
            </w:pPr>
            <w:r>
              <w:rPr>
                <w:rFonts w:ascii="Arial" w:cs="Arial" w:eastAsia="Arial" w:hAnsi="Arial"/>
                <w:sz w:val="18"/>
                <w:szCs w:val="18"/>
                <w:color w:val="auto"/>
              </w:rPr>
              <w:t>3.  Approval of, on an advisory basis,</w:t>
            </w:r>
          </w:p>
        </w:tc>
        <w:tc>
          <w:tcPr>
            <w:tcW w:w="1400" w:type="dxa"/>
            <w:vAlign w:val="bottom"/>
            <w:gridSpan w:val="2"/>
          </w:tcPr>
          <w:p>
            <w:pPr>
              <w:ind w:left="60"/>
              <w:spacing w:after="0" w:line="199" w:lineRule="exact"/>
              <w:rPr>
                <w:sz w:val="20"/>
                <w:szCs w:val="20"/>
                <w:color w:val="auto"/>
              </w:rPr>
            </w:pPr>
            <w:r>
              <w:rPr>
                <w:rFonts w:ascii="Arial" w:cs="Arial" w:eastAsia="Arial" w:hAnsi="Arial"/>
                <w:sz w:val="18"/>
                <w:szCs w:val="18"/>
                <w:b w:val="1"/>
                <w:bCs w:val="1"/>
                <w:color w:val="C00000"/>
              </w:rPr>
              <w:t>FOR</w:t>
            </w:r>
          </w:p>
        </w:tc>
        <w:tc>
          <w:tcPr>
            <w:tcW w:w="2240" w:type="dxa"/>
            <w:vAlign w:val="bottom"/>
          </w:tcPr>
          <w:p>
            <w:pPr>
              <w:ind w:left="140"/>
              <w:spacing w:after="0" w:line="199" w:lineRule="exact"/>
              <w:rPr>
                <w:sz w:val="20"/>
                <w:szCs w:val="20"/>
                <w:color w:val="auto"/>
              </w:rPr>
            </w:pPr>
            <w:r>
              <w:rPr>
                <w:rFonts w:ascii="Arial" w:cs="Arial" w:eastAsia="Arial" w:hAnsi="Arial"/>
                <w:sz w:val="18"/>
                <w:szCs w:val="18"/>
                <w:color w:val="auto"/>
              </w:rPr>
              <w:t>FOR; AGAINST; or</w:t>
            </w:r>
          </w:p>
        </w:tc>
        <w:tc>
          <w:tcPr>
            <w:tcW w:w="2160" w:type="dxa"/>
            <w:vAlign w:val="bottom"/>
          </w:tcPr>
          <w:p>
            <w:pPr>
              <w:ind w:left="60"/>
              <w:spacing w:after="0" w:line="199" w:lineRule="exact"/>
              <w:rPr>
                <w:sz w:val="20"/>
                <w:szCs w:val="20"/>
                <w:color w:val="auto"/>
              </w:rPr>
            </w:pPr>
            <w:r>
              <w:rPr>
                <w:rFonts w:ascii="Arial" w:cs="Arial" w:eastAsia="Arial" w:hAnsi="Arial"/>
                <w:sz w:val="18"/>
                <w:szCs w:val="18"/>
                <w:color w:val="auto"/>
              </w:rPr>
              <w:t>Majority of shares</w:t>
            </w:r>
          </w:p>
        </w:tc>
        <w:tc>
          <w:tcPr>
            <w:tcW w:w="1080" w:type="dxa"/>
            <w:vAlign w:val="bottom"/>
          </w:tcPr>
          <w:p>
            <w:pPr>
              <w:ind w:left="60"/>
              <w:spacing w:after="0" w:line="199" w:lineRule="exact"/>
              <w:rPr>
                <w:sz w:val="20"/>
                <w:szCs w:val="20"/>
                <w:color w:val="auto"/>
              </w:rPr>
            </w:pPr>
            <w:r>
              <w:rPr>
                <w:rFonts w:ascii="Arial" w:cs="Arial" w:eastAsia="Arial" w:hAnsi="Arial"/>
                <w:sz w:val="18"/>
                <w:szCs w:val="18"/>
                <w:color w:val="auto"/>
              </w:rPr>
              <w:t>Counted as</w:t>
            </w:r>
          </w:p>
        </w:tc>
        <w:tc>
          <w:tcPr>
            <w:tcW w:w="1480" w:type="dxa"/>
            <w:vAlign w:val="bottom"/>
          </w:tcPr>
          <w:p>
            <w:pPr>
              <w:ind w:left="120"/>
              <w:spacing w:after="0" w:line="199"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tcPr>
          <w:p>
            <w:pPr>
              <w:ind w:left="280"/>
              <w:spacing w:after="0" w:line="205" w:lineRule="exact"/>
              <w:rPr>
                <w:sz w:val="20"/>
                <w:szCs w:val="20"/>
                <w:color w:val="auto"/>
              </w:rPr>
            </w:pPr>
            <w:r>
              <w:rPr>
                <w:rFonts w:ascii="Arial" w:cs="Arial" w:eastAsia="Arial" w:hAnsi="Arial"/>
                <w:sz w:val="18"/>
                <w:szCs w:val="18"/>
                <w:color w:val="auto"/>
              </w:rPr>
              <w:t>our executive compensation</w:t>
            </w:r>
            <w:r>
              <w:rPr>
                <w:rFonts w:ascii="Arial" w:cs="Arial" w:eastAsia="Arial" w:hAnsi="Arial"/>
                <w:sz w:val="15"/>
                <w:szCs w:val="15"/>
                <w:color w:val="auto"/>
              </w:rPr>
              <w:t>(2)</w:t>
            </w: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tcPr>
          <w:p>
            <w:pPr>
              <w:ind w:left="140"/>
              <w:spacing w:after="0" w:line="205" w:lineRule="exact"/>
              <w:rPr>
                <w:sz w:val="20"/>
                <w:szCs w:val="20"/>
                <w:color w:val="auto"/>
              </w:rPr>
            </w:pPr>
            <w:r>
              <w:rPr>
                <w:rFonts w:ascii="Arial" w:cs="Arial" w:eastAsia="Arial" w:hAnsi="Arial"/>
                <w:sz w:val="18"/>
                <w:szCs w:val="18"/>
                <w:color w:val="auto"/>
              </w:rPr>
              <w:t>ABSTAIN</w:t>
            </w:r>
          </w:p>
        </w:tc>
        <w:tc>
          <w:tcPr>
            <w:tcW w:w="2160" w:type="dxa"/>
            <w:vAlign w:val="bottom"/>
          </w:tcPr>
          <w:p>
            <w:pPr>
              <w:ind w:left="60"/>
              <w:spacing w:after="0" w:line="205" w:lineRule="exact"/>
              <w:rPr>
                <w:sz w:val="20"/>
                <w:szCs w:val="20"/>
                <w:color w:val="auto"/>
              </w:rPr>
            </w:pPr>
            <w:r>
              <w:rPr>
                <w:rFonts w:ascii="Arial" w:cs="Arial" w:eastAsia="Arial" w:hAnsi="Arial"/>
                <w:sz w:val="18"/>
                <w:szCs w:val="18"/>
                <w:color w:val="auto"/>
              </w:rPr>
              <w:t>present and entitled to</w:t>
            </w:r>
          </w:p>
        </w:tc>
        <w:tc>
          <w:tcPr>
            <w:tcW w:w="1080" w:type="dxa"/>
            <w:vAlign w:val="bottom"/>
          </w:tcPr>
          <w:p>
            <w:pPr>
              <w:ind w:left="60"/>
              <w:spacing w:after="0" w:line="205" w:lineRule="exact"/>
              <w:rPr>
                <w:sz w:val="20"/>
                <w:szCs w:val="20"/>
                <w:color w:val="auto"/>
              </w:rPr>
            </w:pPr>
            <w:r>
              <w:rPr>
                <w:rFonts w:ascii="Arial" w:cs="Arial" w:eastAsia="Arial" w:hAnsi="Arial"/>
                <w:sz w:val="18"/>
                <w:szCs w:val="18"/>
                <w:color w:val="auto"/>
              </w:rPr>
              <w:t>a vote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vote</w:t>
            </w:r>
          </w:p>
        </w:tc>
        <w:tc>
          <w:tcPr>
            <w:tcW w:w="1080" w:type="dxa"/>
            <w:vAlign w:val="bottom"/>
          </w:tcPr>
          <w:p>
            <w:pPr>
              <w:ind w:left="60"/>
              <w:spacing w:after="0"/>
              <w:rPr>
                <w:sz w:val="20"/>
                <w:szCs w:val="20"/>
                <w:color w:val="auto"/>
              </w:rPr>
            </w:pPr>
            <w:r>
              <w:rPr>
                <w:rFonts w:ascii="Arial" w:cs="Arial" w:eastAsia="Arial" w:hAnsi="Arial"/>
                <w:sz w:val="18"/>
                <w:szCs w:val="18"/>
                <w:color w:val="auto"/>
              </w:rPr>
              <w:t>against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4.  Approval of, on an advisory basis,</w:t>
            </w:r>
          </w:p>
        </w:tc>
        <w:tc>
          <w:tcPr>
            <w:tcW w:w="1400" w:type="dxa"/>
            <w:vAlign w:val="bottom"/>
            <w:gridSpan w:val="2"/>
            <w:shd w:val="clear" w:color="auto" w:fill="D9D9D9"/>
          </w:tcPr>
          <w:p>
            <w:pPr>
              <w:ind w:left="60"/>
              <w:spacing w:after="0" w:line="201" w:lineRule="exact"/>
              <w:rPr>
                <w:sz w:val="20"/>
                <w:szCs w:val="20"/>
                <w:color w:val="auto"/>
              </w:rPr>
            </w:pPr>
            <w:r>
              <w:rPr>
                <w:rFonts w:ascii="Arial" w:cs="Arial" w:eastAsia="Arial" w:hAnsi="Arial"/>
                <w:sz w:val="18"/>
                <w:szCs w:val="18"/>
                <w:b w:val="1"/>
                <w:bCs w:val="1"/>
                <w:color w:val="C00000"/>
              </w:rPr>
              <w:t>ONE YEAR</w:t>
            </w:r>
          </w:p>
        </w:tc>
        <w:tc>
          <w:tcPr>
            <w:tcW w:w="2240" w:type="dxa"/>
            <w:vAlign w:val="bottom"/>
            <w:shd w:val="clear" w:color="auto" w:fill="D9D9D9"/>
          </w:tcPr>
          <w:p>
            <w:pPr>
              <w:ind w:left="140"/>
              <w:spacing w:after="0" w:line="201" w:lineRule="exact"/>
              <w:rPr>
                <w:sz w:val="20"/>
                <w:szCs w:val="20"/>
                <w:color w:val="auto"/>
              </w:rPr>
            </w:pPr>
            <w:r>
              <w:rPr>
                <w:rFonts w:ascii="Arial" w:cs="Arial" w:eastAsia="Arial" w:hAnsi="Arial"/>
                <w:sz w:val="18"/>
                <w:szCs w:val="18"/>
                <w:color w:val="auto"/>
              </w:rPr>
              <w:t>ONE YEAR; TWO</w:t>
            </w:r>
          </w:p>
        </w:tc>
        <w:tc>
          <w:tcPr>
            <w:tcW w:w="216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Plurality: the choice of</w:t>
            </w:r>
          </w:p>
        </w:tc>
        <w:tc>
          <w:tcPr>
            <w:tcW w:w="108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No effect</w:t>
            </w:r>
          </w:p>
        </w:tc>
        <w:tc>
          <w:tcPr>
            <w:tcW w:w="1480" w:type="dxa"/>
            <w:vAlign w:val="bottom"/>
            <w:shd w:val="clear" w:color="auto" w:fill="D9D9D9"/>
          </w:tcPr>
          <w:p>
            <w:pPr>
              <w:ind w:left="120"/>
              <w:spacing w:after="0" w:line="201"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D9D9D9"/>
          </w:tcPr>
          <w:p>
            <w:pPr>
              <w:ind w:left="280"/>
              <w:spacing w:after="0" w:line="202" w:lineRule="exact"/>
              <w:rPr>
                <w:sz w:val="20"/>
                <w:szCs w:val="20"/>
                <w:color w:val="auto"/>
              </w:rPr>
            </w:pPr>
            <w:r>
              <w:rPr>
                <w:rFonts w:ascii="Arial" w:cs="Arial" w:eastAsia="Arial" w:hAnsi="Arial"/>
                <w:sz w:val="18"/>
                <w:szCs w:val="18"/>
                <w:color w:val="auto"/>
              </w:rPr>
              <w:t>the frequency of the advisory</w:t>
            </w: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YEARS; THREE YEARS;</w:t>
            </w:r>
          </w:p>
        </w:tc>
        <w:tc>
          <w:tcPr>
            <w:tcW w:w="2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frequency that receives</w:t>
            </w:r>
          </w:p>
        </w:tc>
        <w:tc>
          <w:tcPr>
            <w:tcW w:w="1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40" w:type="dxa"/>
            <w:vAlign w:val="bottom"/>
            <w:shd w:val="clear" w:color="auto" w:fill="D9D9D9"/>
          </w:tcPr>
          <w:p>
            <w:pPr>
              <w:ind w:left="280"/>
              <w:spacing w:after="0" w:line="200" w:lineRule="exact"/>
              <w:rPr>
                <w:sz w:val="20"/>
                <w:szCs w:val="20"/>
                <w:color w:val="auto"/>
              </w:rPr>
            </w:pPr>
            <w:r>
              <w:rPr>
                <w:rFonts w:ascii="Arial" w:cs="Arial" w:eastAsia="Arial" w:hAnsi="Arial"/>
                <w:sz w:val="18"/>
                <w:szCs w:val="18"/>
                <w:color w:val="auto"/>
              </w:rPr>
              <w:t>approval of our executive</w:t>
            </w: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ind w:left="140"/>
              <w:spacing w:after="0" w:line="200" w:lineRule="exact"/>
              <w:rPr>
                <w:sz w:val="20"/>
                <w:szCs w:val="20"/>
                <w:color w:val="auto"/>
              </w:rPr>
            </w:pPr>
            <w:r>
              <w:rPr>
                <w:rFonts w:ascii="Arial" w:cs="Arial" w:eastAsia="Arial" w:hAnsi="Arial"/>
                <w:sz w:val="18"/>
                <w:szCs w:val="18"/>
                <w:color w:val="auto"/>
              </w:rPr>
              <w:t>or ABSTAIN</w:t>
            </w:r>
          </w:p>
        </w:tc>
        <w:tc>
          <w:tcPr>
            <w:tcW w:w="2160" w:type="dxa"/>
            <w:vAlign w:val="bottom"/>
            <w:shd w:val="clear" w:color="auto" w:fill="D9D9D9"/>
          </w:tcPr>
          <w:p>
            <w:pPr>
              <w:ind w:left="60"/>
              <w:spacing w:after="0" w:line="200" w:lineRule="exact"/>
              <w:rPr>
                <w:sz w:val="20"/>
                <w:szCs w:val="20"/>
                <w:color w:val="auto"/>
              </w:rPr>
            </w:pPr>
            <w:r>
              <w:rPr>
                <w:rFonts w:ascii="Arial" w:cs="Arial" w:eastAsia="Arial" w:hAnsi="Arial"/>
                <w:sz w:val="18"/>
                <w:szCs w:val="18"/>
                <w:color w:val="auto"/>
              </w:rPr>
              <w:t>the greatest number of</w:t>
            </w:r>
          </w:p>
        </w:tc>
        <w:tc>
          <w:tcPr>
            <w:tcW w:w="1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shd w:val="clear" w:color="auto" w:fill="D9D9D9"/>
          </w:tcPr>
          <w:p>
            <w:pPr>
              <w:ind w:left="280"/>
              <w:spacing w:after="0" w:line="205" w:lineRule="exact"/>
              <w:rPr>
                <w:sz w:val="20"/>
                <w:szCs w:val="20"/>
                <w:color w:val="auto"/>
              </w:rPr>
            </w:pPr>
            <w:r>
              <w:rPr>
                <w:rFonts w:ascii="Arial" w:cs="Arial" w:eastAsia="Arial" w:hAnsi="Arial"/>
                <w:sz w:val="18"/>
                <w:szCs w:val="18"/>
                <w:color w:val="auto"/>
              </w:rPr>
              <w:t>compensation</w:t>
            </w:r>
            <w:r>
              <w:rPr>
                <w:rFonts w:ascii="Arial" w:cs="Arial" w:eastAsia="Arial" w:hAnsi="Arial"/>
                <w:sz w:val="15"/>
                <w:szCs w:val="15"/>
                <w:color w:val="auto"/>
              </w:rPr>
              <w:t>(2)</w:t>
            </w: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spacing w:after="0"/>
              <w:rPr>
                <w:sz w:val="17"/>
                <w:szCs w:val="17"/>
                <w:color w:val="auto"/>
              </w:rPr>
            </w:pPr>
          </w:p>
        </w:tc>
        <w:tc>
          <w:tcPr>
            <w:tcW w:w="2160" w:type="dxa"/>
            <w:vAlign w:val="bottom"/>
            <w:shd w:val="clear" w:color="auto" w:fill="D9D9D9"/>
          </w:tcPr>
          <w:p>
            <w:pPr>
              <w:ind w:left="60"/>
              <w:spacing w:after="0" w:line="205" w:lineRule="exact"/>
              <w:rPr>
                <w:sz w:val="20"/>
                <w:szCs w:val="20"/>
                <w:color w:val="auto"/>
              </w:rPr>
            </w:pPr>
            <w:r>
              <w:rPr>
                <w:rFonts w:ascii="Arial" w:cs="Arial" w:eastAsia="Arial" w:hAnsi="Arial"/>
                <w:sz w:val="18"/>
                <w:szCs w:val="18"/>
                <w:color w:val="auto"/>
              </w:rPr>
              <w:t>votes is considered the</w:t>
            </w:r>
          </w:p>
        </w:tc>
        <w:tc>
          <w:tcPr>
            <w:tcW w:w="1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2240" w:type="dxa"/>
            <w:vAlign w:val="bottom"/>
            <w:shd w:val="clear" w:color="auto" w:fill="D9D9D9"/>
          </w:tcPr>
          <w:p>
            <w:pPr>
              <w:spacing w:after="0"/>
              <w:rPr>
                <w:sz w:val="17"/>
                <w:szCs w:val="17"/>
                <w:color w:val="auto"/>
              </w:rPr>
            </w:pPr>
          </w:p>
        </w:tc>
        <w:tc>
          <w:tcPr>
            <w:tcW w:w="21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preference of our</w:t>
            </w:r>
          </w:p>
        </w:tc>
        <w:tc>
          <w:tcPr>
            <w:tcW w:w="1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Borders>
              <w:bottom w:val="single" w:sz="8" w:color="D9D9D9"/>
            </w:tcBorders>
            <w:shd w:val="clear" w:color="auto" w:fill="D9D9D9"/>
          </w:tcPr>
          <w:p>
            <w:pPr>
              <w:spacing w:after="0"/>
              <w:rPr>
                <w:sz w:val="20"/>
                <w:szCs w:val="20"/>
                <w:color w:val="auto"/>
              </w:rPr>
            </w:pPr>
          </w:p>
        </w:tc>
        <w:tc>
          <w:tcPr>
            <w:tcW w:w="1060" w:type="dxa"/>
            <w:vAlign w:val="bottom"/>
            <w:tcBorders>
              <w:bottom w:val="single" w:sz="8" w:color="D9D9D9"/>
            </w:tcBorders>
            <w:shd w:val="clear" w:color="auto" w:fill="D9D9D9"/>
          </w:tcPr>
          <w:p>
            <w:pPr>
              <w:spacing w:after="0"/>
              <w:rPr>
                <w:sz w:val="20"/>
                <w:szCs w:val="20"/>
                <w:color w:val="auto"/>
              </w:rPr>
            </w:pPr>
          </w:p>
        </w:tc>
        <w:tc>
          <w:tcPr>
            <w:tcW w:w="340" w:type="dxa"/>
            <w:vAlign w:val="bottom"/>
            <w:tcBorders>
              <w:bottom w:val="single" w:sz="8" w:color="D9D9D9"/>
            </w:tcBorders>
            <w:shd w:val="clear" w:color="auto" w:fill="D9D9D9"/>
          </w:tcPr>
          <w:p>
            <w:pPr>
              <w:spacing w:after="0"/>
              <w:rPr>
                <w:sz w:val="20"/>
                <w:szCs w:val="20"/>
                <w:color w:val="auto"/>
              </w:rPr>
            </w:pPr>
          </w:p>
        </w:tc>
        <w:tc>
          <w:tcPr>
            <w:tcW w:w="2240" w:type="dxa"/>
            <w:vAlign w:val="bottom"/>
            <w:tcBorders>
              <w:bottom w:val="single" w:sz="8" w:color="D9D9D9"/>
            </w:tcBorders>
            <w:shd w:val="clear" w:color="auto" w:fill="D9D9D9"/>
          </w:tcPr>
          <w:p>
            <w:pPr>
              <w:spacing w:after="0"/>
              <w:rPr>
                <w:sz w:val="20"/>
                <w:szCs w:val="20"/>
                <w:color w:val="auto"/>
              </w:rPr>
            </w:pPr>
          </w:p>
        </w:tc>
        <w:tc>
          <w:tcPr>
            <w:tcW w:w="216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8"/>
                <w:szCs w:val="18"/>
                <w:color w:val="auto"/>
              </w:rPr>
              <w:t>shareholders</w:t>
            </w:r>
          </w:p>
        </w:tc>
        <w:tc>
          <w:tcPr>
            <w:tcW w:w="1080" w:type="dxa"/>
            <w:vAlign w:val="bottom"/>
            <w:tcBorders>
              <w:bottom w:val="single" w:sz="8" w:color="D9D9D9"/>
            </w:tcBorders>
            <w:shd w:val="clear" w:color="auto" w:fill="D9D9D9"/>
          </w:tcPr>
          <w:p>
            <w:pPr>
              <w:spacing w:after="0"/>
              <w:rPr>
                <w:sz w:val="20"/>
                <w:szCs w:val="20"/>
                <w:color w:val="auto"/>
              </w:rPr>
            </w:pPr>
          </w:p>
        </w:tc>
        <w:tc>
          <w:tcPr>
            <w:tcW w:w="148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40" w:type="dxa"/>
            <w:vAlign w:val="bottom"/>
            <w:tcBorders>
              <w:bottom w:val="single" w:sz="8" w:color="C00000"/>
            </w:tcBorders>
          </w:tcPr>
          <w:p>
            <w:pPr>
              <w:spacing w:after="0"/>
              <w:rPr>
                <w:sz w:val="5"/>
                <w:szCs w:val="5"/>
                <w:color w:val="auto"/>
              </w:rPr>
            </w:pPr>
          </w:p>
        </w:tc>
        <w:tc>
          <w:tcPr>
            <w:tcW w:w="1060" w:type="dxa"/>
            <w:vAlign w:val="bottom"/>
            <w:tcBorders>
              <w:bottom w:val="single" w:sz="8" w:color="C00000"/>
            </w:tcBorders>
          </w:tcPr>
          <w:p>
            <w:pPr>
              <w:spacing w:after="0"/>
              <w:rPr>
                <w:sz w:val="5"/>
                <w:szCs w:val="5"/>
                <w:color w:val="auto"/>
              </w:rPr>
            </w:pPr>
          </w:p>
        </w:tc>
        <w:tc>
          <w:tcPr>
            <w:tcW w:w="340" w:type="dxa"/>
            <w:vAlign w:val="bottom"/>
          </w:tcPr>
          <w:p>
            <w:pPr>
              <w:spacing w:after="0"/>
              <w:rPr>
                <w:sz w:val="5"/>
                <w:szCs w:val="5"/>
                <w:color w:val="auto"/>
              </w:rPr>
            </w:pPr>
          </w:p>
        </w:tc>
        <w:tc>
          <w:tcPr>
            <w:tcW w:w="2240" w:type="dxa"/>
            <w:vAlign w:val="bottom"/>
            <w:vMerge w:val="restart"/>
          </w:tcPr>
          <w:p>
            <w:pPr>
              <w:ind w:left="1200"/>
              <w:spacing w:after="0"/>
              <w:rPr>
                <w:sz w:val="20"/>
                <w:szCs w:val="20"/>
                <w:color w:val="auto"/>
              </w:rPr>
            </w:pPr>
            <w:r>
              <w:rPr>
                <w:rFonts w:ascii="Arial" w:cs="Arial" w:eastAsia="Arial" w:hAnsi="Arial"/>
                <w:sz w:val="18"/>
                <w:szCs w:val="18"/>
                <w:color w:val="auto"/>
              </w:rPr>
              <w:t>2</w:t>
            </w:r>
          </w:p>
        </w:tc>
        <w:tc>
          <w:tcPr>
            <w:tcW w:w="2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0" w:hanging="452"/>
        <w:spacing w:after="0" w:line="23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Amended and Restated Bylaws, if a majority of the votes of the shares present in person or represented by proxy at the annual meeting are designated to be “withheld” from a nominee for director in an uncontested election,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229" w:lineRule="exact"/>
        <w:rPr>
          <w:rFonts w:ascii="Arial" w:cs="Arial" w:eastAsia="Arial" w:hAnsi="Arial"/>
          <w:sz w:val="18"/>
          <w:szCs w:val="18"/>
          <w:color w:val="auto"/>
        </w:rPr>
      </w:pPr>
    </w:p>
    <w:p>
      <w:pPr>
        <w:ind w:left="460" w:right="180" w:hanging="452"/>
        <w:spacing w:after="0" w:line="24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the vote when considering future executive compensation decisions and the frequency of the advisory vote on our 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89"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19"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14"/>
          <w:szCs w:val="14"/>
          <w:b w:val="1"/>
          <w:bCs w:val="1"/>
          <w:color w:val="FFFFFF"/>
        </w:rPr>
        <w:t>How Your Shares are Held</w:t>
      </w:r>
      <w:r>
        <w:rPr>
          <w:sz w:val="20"/>
          <w:szCs w:val="20"/>
          <w:color w:val="auto"/>
        </w:rPr>
        <w:tab/>
      </w:r>
      <w:r>
        <w:rPr>
          <w:rFonts w:ascii="Arial" w:cs="Arial" w:eastAsia="Arial" w:hAnsi="Arial"/>
          <w:sz w:val="14"/>
          <w:szCs w:val="14"/>
          <w:b w:val="1"/>
          <w:bCs w:val="1"/>
          <w:color w:val="FFFFFF"/>
        </w:rPr>
        <w:t>Specify How to Vote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Do Not Specify How to Vote</w:t>
      </w:r>
    </w:p>
    <w:p>
      <w:pPr>
        <w:spacing w:after="0" w:line="27" w:lineRule="exact"/>
        <w:rPr>
          <w:sz w:val="20"/>
          <w:szCs w:val="20"/>
          <w:color w:val="auto"/>
        </w:rPr>
      </w:pPr>
    </w:p>
    <w:p>
      <w:pPr>
        <w:sectPr>
          <w:pgSz w:w="11900" w:h="16838" w:orient="portrait"/>
          <w:cols w:equalWidth="0" w:num="2">
            <w:col w:w="6720" w:space="720"/>
            <w:col w:w="39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20"/>
                <w:szCs w:val="20"/>
                <w:color w:val="auto"/>
              </w:rPr>
            </w:pPr>
            <w:r>
              <w:rPr>
                <w:rFonts w:ascii="Arial" w:cs="Arial" w:eastAsia="Arial" w:hAnsi="Arial"/>
                <w:sz w:val="18"/>
                <w:szCs w:val="18"/>
                <w:color w:val="auto"/>
              </w:rPr>
              <w:t>Shares registered in your name</w:t>
            </w:r>
          </w:p>
        </w:tc>
        <w:tc>
          <w:tcPr>
            <w:tcW w:w="4120" w:type="dxa"/>
            <w:vAlign w:val="bottom"/>
          </w:tcPr>
          <w:p>
            <w:pPr>
              <w:ind w:left="240"/>
              <w:spacing w:after="0"/>
              <w:rPr>
                <w:sz w:val="20"/>
                <w:szCs w:val="20"/>
                <w:color w:val="auto"/>
              </w:rPr>
            </w:pPr>
            <w:r>
              <w:rPr>
                <w:rFonts w:ascii="Arial" w:cs="Arial" w:eastAsia="Arial" w:hAnsi="Arial"/>
                <w:sz w:val="18"/>
                <w:szCs w:val="18"/>
                <w:color w:val="auto"/>
              </w:rPr>
              <w:t>The named proxies will vote your shares as you</w:t>
            </w:r>
          </w:p>
        </w:tc>
        <w:tc>
          <w:tcPr>
            <w:tcW w:w="4080" w:type="dxa"/>
            <w:vAlign w:val="bottom"/>
          </w:tcPr>
          <w:p>
            <w:pPr>
              <w:ind w:left="100"/>
              <w:spacing w:after="0"/>
              <w:rPr>
                <w:sz w:val="20"/>
                <w:szCs w:val="20"/>
                <w:color w:val="auto"/>
              </w:rPr>
            </w:pPr>
            <w:r>
              <w:rPr>
                <w:rFonts w:ascii="Arial" w:cs="Arial" w:eastAsia="Arial" w:hAnsi="Arial"/>
                <w:sz w:val="18"/>
                <w:szCs w:val="18"/>
                <w:color w:val="auto"/>
              </w:rPr>
              <w:t xml:space="preserve">The named proxies will vote </w:t>
            </w:r>
            <w:r>
              <w:rPr>
                <w:rFonts w:ascii="Arial" w:cs="Arial" w:eastAsia="Arial" w:hAnsi="Arial"/>
                <w:sz w:val="18"/>
                <w:szCs w:val="18"/>
                <w:b w:val="1"/>
                <w:bCs w:val="1"/>
                <w:color w:val="C00000"/>
              </w:rPr>
              <w:t>FOR</w:t>
            </w:r>
            <w:r>
              <w:rPr>
                <w:rFonts w:ascii="Arial" w:cs="Arial" w:eastAsia="Arial" w:hAnsi="Arial"/>
                <w:sz w:val="18"/>
                <w:szCs w:val="18"/>
                <w:color w:val="auto"/>
              </w:rPr>
              <w:t xml:space="preserve"> all proposals</w:t>
            </w:r>
          </w:p>
        </w:tc>
      </w:tr>
      <w:tr>
        <w:trPr>
          <w:trHeight w:val="203"/>
        </w:trPr>
        <w:tc>
          <w:tcPr>
            <w:tcW w:w="3220" w:type="dxa"/>
            <w:vAlign w:val="bottom"/>
          </w:tcPr>
          <w:p>
            <w:pPr>
              <w:spacing w:after="0"/>
              <w:rPr>
                <w:sz w:val="17"/>
                <w:szCs w:val="17"/>
                <w:color w:val="auto"/>
              </w:rPr>
            </w:pPr>
          </w:p>
        </w:tc>
        <w:tc>
          <w:tcPr>
            <w:tcW w:w="4120" w:type="dxa"/>
            <w:vAlign w:val="bottom"/>
          </w:tcPr>
          <w:p>
            <w:pPr>
              <w:ind w:left="240"/>
              <w:spacing w:after="0" w:line="203" w:lineRule="exact"/>
              <w:rPr>
                <w:sz w:val="20"/>
                <w:szCs w:val="20"/>
                <w:color w:val="auto"/>
              </w:rPr>
            </w:pPr>
            <w:r>
              <w:rPr>
                <w:rFonts w:ascii="Arial" w:cs="Arial" w:eastAsia="Arial" w:hAnsi="Arial"/>
                <w:sz w:val="18"/>
                <w:szCs w:val="18"/>
                <w:color w:val="auto"/>
              </w:rPr>
              <w:t>direct</w:t>
            </w:r>
          </w:p>
        </w:tc>
        <w:tc>
          <w:tcPr>
            <w:tcW w:w="4080" w:type="dxa"/>
            <w:vAlign w:val="bottom"/>
          </w:tcPr>
          <w:p>
            <w:pPr>
              <w:spacing w:after="0"/>
              <w:rPr>
                <w:sz w:val="17"/>
                <w:szCs w:val="17"/>
                <w:color w:val="auto"/>
              </w:rPr>
            </w:pPr>
          </w:p>
        </w:tc>
      </w:tr>
      <w:tr>
        <w:trPr>
          <w:trHeight w:val="199"/>
        </w:trPr>
        <w:tc>
          <w:tcPr>
            <w:tcW w:w="3220" w:type="dxa"/>
            <w:vAlign w:val="bottom"/>
            <w:shd w:val="clear" w:color="auto" w:fill="D9D9D9"/>
          </w:tcPr>
          <w:p>
            <w:pPr>
              <w:spacing w:after="0" w:line="199" w:lineRule="exact"/>
              <w:rPr>
                <w:sz w:val="20"/>
                <w:szCs w:val="20"/>
                <w:color w:val="auto"/>
              </w:rPr>
            </w:pPr>
            <w:r>
              <w:rPr>
                <w:rFonts w:ascii="Arial" w:cs="Arial" w:eastAsia="Arial" w:hAnsi="Arial"/>
                <w:sz w:val="18"/>
                <w:szCs w:val="18"/>
                <w:color w:val="auto"/>
              </w:rPr>
              <w:t>Shares held in street name</w:t>
            </w:r>
          </w:p>
        </w:tc>
        <w:tc>
          <w:tcPr>
            <w:tcW w:w="4120" w:type="dxa"/>
            <w:vAlign w:val="bottom"/>
            <w:shd w:val="clear" w:color="auto" w:fill="D9D9D9"/>
          </w:tcPr>
          <w:p>
            <w:pPr>
              <w:ind w:left="240"/>
              <w:spacing w:after="0" w:line="199" w:lineRule="exact"/>
              <w:rPr>
                <w:sz w:val="20"/>
                <w:szCs w:val="20"/>
                <w:color w:val="auto"/>
              </w:rPr>
            </w:pPr>
            <w:r>
              <w:rPr>
                <w:rFonts w:ascii="Arial" w:cs="Arial" w:eastAsia="Arial" w:hAnsi="Arial"/>
                <w:sz w:val="18"/>
                <w:szCs w:val="18"/>
                <w:color w:val="auto"/>
              </w:rPr>
              <w:t>Your broker will vote your shares as you direct</w:t>
            </w:r>
          </w:p>
        </w:tc>
        <w:tc>
          <w:tcPr>
            <w:tcW w:w="4080" w:type="dxa"/>
            <w:vAlign w:val="bottom"/>
            <w:shd w:val="clear" w:color="auto" w:fill="D9D9D9"/>
          </w:tcPr>
          <w:p>
            <w:pPr>
              <w:ind w:left="100"/>
              <w:spacing w:after="0" w:line="199" w:lineRule="exact"/>
              <w:rPr>
                <w:sz w:val="20"/>
                <w:szCs w:val="20"/>
                <w:color w:val="auto"/>
              </w:rPr>
            </w:pPr>
            <w:r>
              <w:rPr>
                <w:rFonts w:ascii="Arial" w:cs="Arial" w:eastAsia="Arial" w:hAnsi="Arial"/>
                <w:sz w:val="18"/>
                <w:szCs w:val="18"/>
                <w:color w:val="auto"/>
              </w:rPr>
              <w:t>Your broker may vote only on routine items in the</w:t>
            </w:r>
          </w:p>
        </w:tc>
      </w:tr>
      <w:tr>
        <w:trPr>
          <w:trHeight w:val="206"/>
        </w:trPr>
        <w:tc>
          <w:tcPr>
            <w:tcW w:w="3220" w:type="dxa"/>
            <w:vAlign w:val="bottom"/>
            <w:shd w:val="clear" w:color="auto" w:fill="D9D9D9"/>
          </w:tcPr>
          <w:p>
            <w:pPr>
              <w:spacing w:after="0"/>
              <w:rPr>
                <w:sz w:val="17"/>
                <w:szCs w:val="17"/>
                <w:color w:val="auto"/>
              </w:rPr>
            </w:pPr>
          </w:p>
        </w:tc>
        <w:tc>
          <w:tcPr>
            <w:tcW w:w="4120" w:type="dxa"/>
            <w:vAlign w:val="bottom"/>
            <w:shd w:val="clear" w:color="auto" w:fill="D9D9D9"/>
          </w:tcPr>
          <w:p>
            <w:pPr>
              <w:spacing w:after="0"/>
              <w:rPr>
                <w:sz w:val="17"/>
                <w:szCs w:val="17"/>
                <w:color w:val="auto"/>
              </w:rPr>
            </w:pPr>
          </w:p>
        </w:tc>
        <w:tc>
          <w:tcPr>
            <w:tcW w:w="4080" w:type="dxa"/>
            <w:vAlign w:val="bottom"/>
            <w:shd w:val="clear" w:color="auto" w:fill="D9D9D9"/>
          </w:tcPr>
          <w:p>
            <w:pPr>
              <w:ind w:left="100"/>
              <w:spacing w:after="0"/>
              <w:rPr>
                <w:sz w:val="20"/>
                <w:szCs w:val="20"/>
                <w:color w:val="auto"/>
              </w:rPr>
            </w:pPr>
            <w:r>
              <w:rPr>
                <w:rFonts w:ascii="Arial" w:cs="Arial" w:eastAsia="Arial" w:hAnsi="Arial"/>
                <w:sz w:val="18"/>
                <w:szCs w:val="18"/>
                <w:color w:val="auto"/>
              </w:rPr>
              <w:t>absence of your instruction how to vote</w:t>
            </w:r>
            <w:r>
              <w:rPr>
                <w:rFonts w:ascii="Arial" w:cs="Arial" w:eastAsia="Arial" w:hAnsi="Arial"/>
                <w:sz w:val="15"/>
                <w:szCs w:val="15"/>
                <w:color w:val="auto"/>
              </w:rPr>
              <w:t>(1)</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Shares held in certain Toro employee</w:t>
            </w:r>
          </w:p>
        </w:tc>
        <w:tc>
          <w:tcPr>
            <w:tcW w:w="4120" w:type="dxa"/>
            <w:vAlign w:val="bottom"/>
          </w:tcPr>
          <w:p>
            <w:pPr>
              <w:ind w:left="240"/>
              <w:spacing w:after="0" w:line="201" w:lineRule="exact"/>
              <w:rPr>
                <w:sz w:val="20"/>
                <w:szCs w:val="20"/>
                <w:color w:val="auto"/>
              </w:rPr>
            </w:pPr>
            <w:r>
              <w:rPr>
                <w:rFonts w:ascii="Arial" w:cs="Arial" w:eastAsia="Arial" w:hAnsi="Arial"/>
                <w:sz w:val="18"/>
                <w:szCs w:val="18"/>
                <w:color w:val="auto"/>
              </w:rPr>
              <w:t>The plan trustee will vote your shares</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w w:val="99"/>
              </w:rPr>
              <w:t>The plan trustee will vote your shares in the same</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benefit plans</w:t>
            </w:r>
          </w:p>
        </w:tc>
        <w:tc>
          <w:tcPr>
            <w:tcW w:w="4120" w:type="dxa"/>
            <w:vAlign w:val="bottom"/>
          </w:tcPr>
          <w:p>
            <w:pPr>
              <w:ind w:left="240"/>
              <w:spacing w:after="0" w:line="202" w:lineRule="exact"/>
              <w:rPr>
                <w:sz w:val="20"/>
                <w:szCs w:val="20"/>
                <w:color w:val="auto"/>
              </w:rPr>
            </w:pPr>
            <w:r>
              <w:rPr>
                <w:rFonts w:ascii="Arial" w:cs="Arial" w:eastAsia="Arial" w:hAnsi="Arial"/>
                <w:sz w:val="18"/>
                <w:szCs w:val="18"/>
                <w:color w:val="auto"/>
              </w:rPr>
              <w:t>confidentially as you direct</w:t>
            </w:r>
          </w:p>
        </w:tc>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proportion as the votes actually cast by</w:t>
            </w:r>
          </w:p>
        </w:tc>
      </w:tr>
      <w:tr>
        <w:trPr>
          <w:trHeight w:val="217"/>
        </w:trPr>
        <w:tc>
          <w:tcPr>
            <w:tcW w:w="3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participants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6073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3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Proposal Three—Advisory Approval of our Executive Compensation and Proposal Four—Advisory Approval of the Frequency of the 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What Does It Mean If I Receive More Than One Notice or Set of Proxy Materials?</w:t>
      </w:r>
    </w:p>
    <w:p>
      <w:pPr>
        <w:spacing w:after="0" w:line="234"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Can I Revoke or Change My Vote?</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or change your vote at any time before your shares are voted by one of the following methods: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40" w:type="dxa"/>
            <w:vAlign w:val="bottom"/>
            <w:tcBorders>
              <w:bottom w:val="single" w:sz="8" w:color="C00000"/>
            </w:tcBorders>
            <w:shd w:val="clear" w:color="auto" w:fill="C00000"/>
          </w:tcPr>
          <w:p>
            <w:pPr>
              <w:ind w:left="20"/>
              <w:spacing w:after="0"/>
              <w:rPr>
                <w:sz w:val="20"/>
                <w:szCs w:val="20"/>
                <w:color w:val="auto"/>
              </w:rPr>
            </w:pPr>
            <w:r>
              <w:rPr>
                <w:rFonts w:ascii="Arial" w:cs="Arial" w:eastAsia="Arial" w:hAnsi="Arial"/>
                <w:sz w:val="14"/>
                <w:szCs w:val="14"/>
                <w:b w:val="1"/>
                <w:bCs w:val="1"/>
                <w:color w:val="FFFFFF"/>
              </w:rPr>
              <w:t>How Your Shares are Held</w:t>
            </w:r>
          </w:p>
        </w:tc>
        <w:tc>
          <w:tcPr>
            <w:tcW w:w="8560" w:type="dxa"/>
            <w:vAlign w:val="bottom"/>
            <w:tcBorders>
              <w:bottom w:val="single" w:sz="8" w:color="C00000"/>
            </w:tcBorders>
            <w:gridSpan w:val="2"/>
            <w:shd w:val="clear" w:color="auto" w:fill="C00000"/>
          </w:tcPr>
          <w:p>
            <w:pPr>
              <w:ind w:left="34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Shares registered in your name</w:t>
            </w:r>
          </w:p>
        </w:tc>
        <w:tc>
          <w:tcPr>
            <w:tcW w:w="46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8100" w:type="dxa"/>
            <w:vAlign w:val="bottom"/>
          </w:tcPr>
          <w:p>
            <w:pPr>
              <w:ind w:left="60"/>
              <w:spacing w:after="0" w:line="201" w:lineRule="exact"/>
              <w:rPr>
                <w:sz w:val="20"/>
                <w:szCs w:val="20"/>
                <w:color w:val="auto"/>
              </w:rPr>
            </w:pPr>
            <w:r>
              <w:rPr>
                <w:rFonts w:ascii="Arial" w:cs="Arial" w:eastAsia="Arial" w:hAnsi="Arial"/>
                <w:sz w:val="18"/>
                <w:szCs w:val="18"/>
                <w:color w:val="auto"/>
              </w:rPr>
              <w:t>Submit another proper proxy with a more recent date than that of the proxy first given by following</w:t>
            </w: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100" w:type="dxa"/>
            <w:vAlign w:val="bottom"/>
          </w:tcPr>
          <w:p>
            <w:pPr>
              <w:ind w:left="60"/>
              <w:spacing w:after="0" w:line="202" w:lineRule="exact"/>
              <w:rPr>
                <w:sz w:val="20"/>
                <w:szCs w:val="20"/>
                <w:color w:val="auto"/>
              </w:rPr>
            </w:pPr>
            <w:r>
              <w:rPr>
                <w:rFonts w:ascii="Arial" w:cs="Arial" w:eastAsia="Arial" w:hAnsi="Arial"/>
                <w:sz w:val="18"/>
                <w:szCs w:val="18"/>
                <w:color w:val="auto"/>
              </w:rPr>
              <w:t>the Internet or telephone voting instructions or complete, sign, date and mail a proxy card;</w:t>
            </w: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8100" w:type="dxa"/>
            <w:vAlign w:val="bottom"/>
          </w:tcPr>
          <w:p>
            <w:pPr>
              <w:ind w:left="60"/>
              <w:spacing w:after="0" w:line="202" w:lineRule="exact"/>
              <w:rPr>
                <w:sz w:val="20"/>
                <w:szCs w:val="20"/>
                <w:color w:val="auto"/>
              </w:rPr>
            </w:pPr>
            <w:r>
              <w:rPr>
                <w:rFonts w:ascii="Arial" w:cs="Arial" w:eastAsia="Arial" w:hAnsi="Arial"/>
                <w:sz w:val="18"/>
                <w:szCs w:val="18"/>
                <w:color w:val="auto"/>
              </w:rPr>
              <w:t>Send written notice of revocation to our Vice President, Secretary and General Counsel; or</w:t>
            </w:r>
          </w:p>
        </w:tc>
      </w:tr>
      <w:tr>
        <w:trPr>
          <w:trHeight w:val="217"/>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 Attend the annual meeting in person and vote by ballot</w:t>
            </w:r>
          </w:p>
        </w:tc>
      </w:tr>
      <w:tr>
        <w:trPr>
          <w:trHeight w:val="203"/>
        </w:trPr>
        <w:tc>
          <w:tcPr>
            <w:tcW w:w="20" w:type="dxa"/>
            <w:vAlign w:val="bottom"/>
          </w:tcPr>
          <w:p>
            <w:pPr>
              <w:spacing w:after="0"/>
              <w:rPr>
                <w:sz w:val="17"/>
                <w:szCs w:val="17"/>
                <w:color w:val="auto"/>
              </w:rPr>
            </w:pPr>
          </w:p>
        </w:tc>
        <w:tc>
          <w:tcPr>
            <w:tcW w:w="28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Shares held in street name</w:t>
            </w:r>
          </w:p>
        </w:tc>
        <w:tc>
          <w:tcPr>
            <w:tcW w:w="8560" w:type="dxa"/>
            <w:vAlign w:val="bottom"/>
            <w:gridSpan w:val="2"/>
            <w:shd w:val="clear" w:color="auto" w:fill="D9D9D9"/>
          </w:tcPr>
          <w:p>
            <w:pPr>
              <w:ind w:left="340"/>
              <w:spacing w:after="0" w:line="202" w:lineRule="exact"/>
              <w:rPr>
                <w:sz w:val="20"/>
                <w:szCs w:val="20"/>
                <w:color w:val="auto"/>
              </w:rPr>
            </w:pPr>
            <w:r>
              <w:rPr>
                <w:rFonts w:ascii="Arial" w:cs="Arial" w:eastAsia="Arial" w:hAnsi="Arial"/>
                <w:sz w:val="18"/>
                <w:szCs w:val="18"/>
                <w:color w:val="auto"/>
              </w:rPr>
              <w:t>Follow instructions provided by your broker, bank or other nominee</w:t>
            </w: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Shares held in certain Toro</w:t>
            </w:r>
          </w:p>
        </w:tc>
        <w:tc>
          <w:tcPr>
            <w:tcW w:w="85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Submit another proper proxy with a more recent date than that of the proxy first given by following the</w:t>
            </w:r>
          </w:p>
        </w:tc>
      </w:t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employee benefit plans</w:t>
            </w: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Internet or telephone voting instructions or complete, sign, date and mail a proxy card</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Will Count the Votes?</w:t>
      </w:r>
    </w:p>
    <w:p>
      <w:pPr>
        <w:spacing w:after="0" w:line="234" w:lineRule="exact"/>
        <w:rPr>
          <w:sz w:val="20"/>
          <w:szCs w:val="20"/>
          <w:color w:val="auto"/>
        </w:rPr>
      </w:pPr>
    </w:p>
    <w:p>
      <w:pPr>
        <w:ind w:right="240" w:firstLine="456"/>
        <w:spacing w:after="0" w:line="246" w:lineRule="auto"/>
        <w:rPr>
          <w:sz w:val="20"/>
          <w:szCs w:val="20"/>
          <w:color w:val="auto"/>
        </w:rPr>
      </w:pPr>
      <w:r>
        <w:rPr>
          <w:rFonts w:ascii="Arial" w:cs="Arial" w:eastAsia="Arial" w:hAnsi="Arial"/>
          <w:sz w:val="18"/>
          <w:szCs w:val="18"/>
          <w:color w:val="auto"/>
        </w:rPr>
        <w:t>Broadridge Financial Solutions, Inc. has been engaged to tabulate shareholder votes and act as our independent inspector of elections for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Will Business Be Conducted at the Annual Meeting?</w:t>
      </w:r>
    </w:p>
    <w:p>
      <w:pPr>
        <w:spacing w:after="0" w:line="23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 In order for a shareholder proposal to have been included in our proxy statement for the annual meeting, our Vice President, Secretary and General Counsel must have received such proposal not later than October 5, 2016. Under our Amended and Restated Bylaws, complete and timely written notice of a proposed nominee for election to our Board at the annual meeting or a proposal for any other business to be brought before the annual meeting must have been received by our Vice President, Secretary and General Counsel not later than December 15, 2016, nor earlier than November 15, 2016, and must have contained the specific information required by our Amended and Restated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Can I Attend the Annual Meeting?</w:t>
      </w:r>
    </w:p>
    <w:p>
      <w:pPr>
        <w:spacing w:after="0" w:line="23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provide the opportunity for our shareholders to attend the annual meeting in person. Only registered shareholders of our common stock or beneficial shareholders holding shares in street name at the close of business on the record date (January 23, 2017), or their duly appointed proxies, may attend the annual meeting in person. Doors will open approximately fifteen minutes prior to the start of the annual meeting and will close once the meeting has started, at which time admission to the annual meeting will no longer be permitted. For admission to the meeting you may be asked to provide identification and establish proof of ownership. If you are a registered shareholder, your name may be verified against our list of registered shareholders. If you hold your shares in street name, please bring one of the following: an account statement showing your ownership as of the record date; a voting instruction form provided by your broker, trustee, bank or nominee holding your shares containing a valid control number; the Notice of Internet Availability of Proxy Materials that you received in the mail containing a valid control number; a copy of the email you received with instructions containing a link to the website where our proxy materials are available, a link to the proxy voting website and a valid control number; or a letter from a broker, trustee, bank or nominee holding your shares confirming your ownership as of the record date. If you are serving as a legal proxy, please bring a legal proxy containing a valid control number or a letter from a registered shareholder naming you as proxy. Rules governing the conduct of the annual meeting will be distributed at the annual meeting along with an agenda.</w:t>
      </w:r>
    </w:p>
    <w:p>
      <w:pPr>
        <w:spacing w:after="0" w:line="204"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Shareholders unable to attend the annual meeting in person have the opportunity to listen to our live, listen-only audio webcast of the annual meeting. A link to the webcast may be found on our website at www.thetorocompany.com.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STOCK OWNERSHIP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Significant Beneficial Owners</w:t>
      </w:r>
    </w:p>
    <w:p>
      <w:pPr>
        <w:spacing w:after="0" w:line="234" w:lineRule="exact"/>
        <w:rPr>
          <w:sz w:val="20"/>
          <w:szCs w:val="20"/>
          <w:color w:val="auto"/>
        </w:rPr>
      </w:pPr>
    </w:p>
    <w:p>
      <w:pPr>
        <w:ind w:right="640" w:firstLine="456"/>
        <w:spacing w:after="0"/>
        <w:rPr>
          <w:sz w:val="20"/>
          <w:szCs w:val="20"/>
          <w:color w:val="auto"/>
        </w:rPr>
      </w:pPr>
      <w:r>
        <w:rPr>
          <w:rFonts w:ascii="Arial" w:cs="Arial" w:eastAsia="Arial" w:hAnsi="Arial"/>
          <w:sz w:val="18"/>
          <w:szCs w:val="18"/>
          <w:color w:val="auto"/>
        </w:rPr>
        <w:t>The following table sets forth information known to us as of January 31, 2017, as to entities that have reported to the SEC or have otherwise advised us that they are a beneficial owner, as defined by the SEC’s rules and regulations, of more than five percent of our outstanding common stock.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shd w:val="clear" w:color="auto" w:fill="C00000"/>
          </w:tcPr>
          <w:p>
            <w:pPr>
              <w:spacing w:after="0"/>
              <w:rPr>
                <w:sz w:val="16"/>
                <w:szCs w:val="16"/>
                <w:color w:val="auto"/>
              </w:rPr>
            </w:pPr>
          </w:p>
        </w:tc>
        <w:tc>
          <w:tcPr>
            <w:tcW w:w="4560" w:type="dxa"/>
            <w:vAlign w:val="bottom"/>
            <w:shd w:val="clear" w:color="auto" w:fill="C00000"/>
          </w:tcPr>
          <w:p>
            <w:pPr>
              <w:ind w:left="820"/>
              <w:spacing w:after="0"/>
              <w:rPr>
                <w:sz w:val="20"/>
                <w:szCs w:val="20"/>
                <w:color w:val="auto"/>
              </w:rPr>
            </w:pPr>
            <w:r>
              <w:rPr>
                <w:rFonts w:ascii="Arial" w:cs="Arial" w:eastAsia="Arial" w:hAnsi="Arial"/>
                <w:sz w:val="14"/>
                <w:szCs w:val="14"/>
                <w:b w:val="1"/>
                <w:bCs w:val="1"/>
                <w:color w:val="FFFFFF"/>
              </w:rPr>
              <w:t>Name and Address</w:t>
            </w:r>
          </w:p>
        </w:tc>
        <w:tc>
          <w:tcPr>
            <w:tcW w:w="3460" w:type="dxa"/>
            <w:vAlign w:val="bottom"/>
            <w:shd w:val="clear" w:color="auto" w:fill="C00000"/>
          </w:tcPr>
          <w:p>
            <w:pPr>
              <w:jc w:val="center"/>
              <w:ind w:left="917"/>
              <w:spacing w:after="0"/>
              <w:rPr>
                <w:sz w:val="20"/>
                <w:szCs w:val="20"/>
                <w:color w:val="auto"/>
              </w:rPr>
            </w:pPr>
            <w:r>
              <w:rPr>
                <w:rFonts w:ascii="Arial" w:cs="Arial" w:eastAsia="Arial" w:hAnsi="Arial"/>
                <w:sz w:val="14"/>
                <w:szCs w:val="14"/>
                <w:b w:val="1"/>
                <w:bCs w:val="1"/>
                <w:color w:val="FFFFFF"/>
              </w:rPr>
              <w:t>Amount and Nature</w:t>
            </w:r>
          </w:p>
        </w:tc>
        <w:tc>
          <w:tcPr>
            <w:tcW w:w="1340" w:type="dxa"/>
            <w:vAlign w:val="bottom"/>
            <w:shd w:val="clear" w:color="auto" w:fill="C00000"/>
          </w:tcPr>
          <w:p>
            <w:pPr>
              <w:jc w:val="center"/>
              <w:ind w:left="77"/>
              <w:spacing w:after="0"/>
              <w:rPr>
                <w:sz w:val="20"/>
                <w:szCs w:val="20"/>
                <w:color w:val="auto"/>
              </w:rPr>
            </w:pPr>
            <w:r>
              <w:rPr>
                <w:rFonts w:ascii="Arial" w:cs="Arial" w:eastAsia="Arial" w:hAnsi="Arial"/>
                <w:sz w:val="14"/>
                <w:szCs w:val="14"/>
                <w:b w:val="1"/>
                <w:bCs w:val="1"/>
                <w:color w:val="FFFFFF"/>
              </w:rPr>
              <w:t>Percent</w:t>
            </w:r>
          </w:p>
        </w:tc>
      </w:tr>
      <w:tr>
        <w:trPr>
          <w:trHeight w:val="233"/>
        </w:trPr>
        <w:tc>
          <w:tcPr>
            <w:tcW w:w="20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Title of Class</w:t>
            </w:r>
          </w:p>
        </w:tc>
        <w:tc>
          <w:tcPr>
            <w:tcW w:w="4560" w:type="dxa"/>
            <w:vAlign w:val="bottom"/>
            <w:shd w:val="clear" w:color="auto" w:fill="C00000"/>
          </w:tcPr>
          <w:p>
            <w:pPr>
              <w:ind w:left="820"/>
              <w:spacing w:after="0"/>
              <w:rPr>
                <w:sz w:val="20"/>
                <w:szCs w:val="20"/>
                <w:color w:val="auto"/>
              </w:rPr>
            </w:pPr>
            <w:r>
              <w:rPr>
                <w:rFonts w:ascii="Arial" w:cs="Arial" w:eastAsia="Arial" w:hAnsi="Arial"/>
                <w:sz w:val="14"/>
                <w:szCs w:val="14"/>
                <w:b w:val="1"/>
                <w:bCs w:val="1"/>
                <w:color w:val="FFFFFF"/>
              </w:rPr>
              <w:t>of Beneficial Owner</w:t>
            </w:r>
          </w:p>
        </w:tc>
        <w:tc>
          <w:tcPr>
            <w:tcW w:w="3460" w:type="dxa"/>
            <w:vAlign w:val="bottom"/>
            <w:shd w:val="clear" w:color="auto" w:fill="C00000"/>
          </w:tcPr>
          <w:p>
            <w:pPr>
              <w:jc w:val="center"/>
              <w:ind w:left="937"/>
              <w:spacing w:after="0"/>
              <w:rPr>
                <w:sz w:val="20"/>
                <w:szCs w:val="20"/>
                <w:color w:val="auto"/>
              </w:rPr>
            </w:pPr>
            <w:r>
              <w:rPr>
                <w:rFonts w:ascii="Arial" w:cs="Arial" w:eastAsia="Arial" w:hAnsi="Arial"/>
                <w:sz w:val="14"/>
                <w:szCs w:val="14"/>
                <w:b w:val="1"/>
                <w:bCs w:val="1"/>
                <w:color w:val="FFFFFF"/>
              </w:rPr>
              <w:t>of Beneficial Ownership</w:t>
            </w:r>
          </w:p>
        </w:tc>
        <w:tc>
          <w:tcPr>
            <w:tcW w:w="1340" w:type="dxa"/>
            <w:vAlign w:val="bottom"/>
            <w:shd w:val="clear" w:color="auto" w:fill="C00000"/>
          </w:tcPr>
          <w:p>
            <w:pPr>
              <w:jc w:val="center"/>
              <w:ind w:left="77"/>
              <w:spacing w:after="0" w:line="233" w:lineRule="exact"/>
              <w:rPr>
                <w:sz w:val="20"/>
                <w:szCs w:val="20"/>
                <w:color w:val="auto"/>
              </w:rPr>
            </w:pPr>
            <w:r>
              <w:rPr>
                <w:rFonts w:ascii="Arial" w:cs="Arial" w:eastAsia="Arial" w:hAnsi="Arial"/>
                <w:sz w:val="14"/>
                <w:szCs w:val="14"/>
                <w:b w:val="1"/>
                <w:bCs w:val="1"/>
                <w:color w:val="FFFFFF"/>
                <w:w w:val="94"/>
              </w:rPr>
              <w:t>of Class</w:t>
            </w:r>
            <w:r>
              <w:rPr>
                <w:rFonts w:ascii="Arial" w:cs="Arial" w:eastAsia="Arial" w:hAnsi="Arial"/>
                <w:sz w:val="24"/>
                <w:szCs w:val="24"/>
                <w:b w:val="1"/>
                <w:bCs w:val="1"/>
                <w:color w:val="FFFFFF"/>
                <w:w w:val="94"/>
                <w:vertAlign w:val="superscript"/>
              </w:rPr>
              <w:t>(1)</w:t>
            </w: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4560" w:type="dxa"/>
            <w:vAlign w:val="bottom"/>
          </w:tcPr>
          <w:p>
            <w:pPr>
              <w:ind w:left="820"/>
              <w:spacing w:after="0" w:line="201" w:lineRule="exact"/>
              <w:rPr>
                <w:sz w:val="20"/>
                <w:szCs w:val="20"/>
                <w:color w:val="auto"/>
              </w:rPr>
            </w:pPr>
            <w:r>
              <w:rPr>
                <w:rFonts w:ascii="Arial" w:cs="Arial" w:eastAsia="Arial" w:hAnsi="Arial"/>
                <w:sz w:val="18"/>
                <w:szCs w:val="18"/>
                <w:color w:val="auto"/>
              </w:rPr>
              <w:t>The Vanguard Group, Inc.</w:t>
            </w:r>
          </w:p>
        </w:tc>
        <w:tc>
          <w:tcPr>
            <w:tcW w:w="3460" w:type="dxa"/>
            <w:vAlign w:val="bottom"/>
          </w:tcPr>
          <w:p>
            <w:pPr>
              <w:jc w:val="center"/>
              <w:ind w:left="917"/>
              <w:spacing w:after="0" w:line="201" w:lineRule="exact"/>
              <w:rPr>
                <w:sz w:val="20"/>
                <w:szCs w:val="20"/>
                <w:color w:val="auto"/>
              </w:rPr>
            </w:pPr>
            <w:r>
              <w:rPr>
                <w:rFonts w:ascii="Arial" w:cs="Arial" w:eastAsia="Arial" w:hAnsi="Arial"/>
                <w:sz w:val="18"/>
                <w:szCs w:val="18"/>
                <w:color w:val="auto"/>
                <w:w w:val="99"/>
              </w:rPr>
              <w:t>8,549,400</w:t>
            </w:r>
            <w:r>
              <w:rPr>
                <w:rFonts w:ascii="Arial" w:cs="Arial" w:eastAsia="Arial" w:hAnsi="Arial"/>
                <w:sz w:val="15"/>
                <w:szCs w:val="15"/>
                <w:color w:val="auto"/>
                <w:w w:val="99"/>
              </w:rPr>
              <w:t>(2)</w:t>
            </w:r>
          </w:p>
        </w:tc>
        <w:tc>
          <w:tcPr>
            <w:tcW w:w="1340" w:type="dxa"/>
            <w:vAlign w:val="bottom"/>
          </w:tcPr>
          <w:p>
            <w:pPr>
              <w:jc w:val="center"/>
              <w:ind w:left="77"/>
              <w:spacing w:after="0" w:line="201" w:lineRule="exact"/>
              <w:rPr>
                <w:sz w:val="20"/>
                <w:szCs w:val="20"/>
                <w:color w:val="auto"/>
              </w:rPr>
            </w:pPr>
            <w:r>
              <w:rPr>
                <w:rFonts w:ascii="Arial" w:cs="Arial" w:eastAsia="Arial" w:hAnsi="Arial"/>
                <w:sz w:val="18"/>
                <w:szCs w:val="18"/>
                <w:color w:val="auto"/>
                <w:w w:val="97"/>
              </w:rPr>
              <w:t>7.90%</w:t>
            </w:r>
          </w:p>
        </w:tc>
      </w:tr>
      <w:tr>
        <w:trPr>
          <w:trHeight w:val="203"/>
        </w:trPr>
        <w:tc>
          <w:tcPr>
            <w:tcW w:w="2060" w:type="dxa"/>
            <w:vAlign w:val="bottom"/>
          </w:tcPr>
          <w:p>
            <w:pPr>
              <w:spacing w:after="0"/>
              <w:rPr>
                <w:sz w:val="17"/>
                <w:szCs w:val="17"/>
                <w:color w:val="auto"/>
              </w:rPr>
            </w:pPr>
          </w:p>
        </w:tc>
        <w:tc>
          <w:tcPr>
            <w:tcW w:w="4560" w:type="dxa"/>
            <w:vAlign w:val="bottom"/>
          </w:tcPr>
          <w:p>
            <w:pPr>
              <w:ind w:left="820"/>
              <w:spacing w:after="0" w:line="202" w:lineRule="exact"/>
              <w:rPr>
                <w:sz w:val="20"/>
                <w:szCs w:val="20"/>
                <w:color w:val="auto"/>
              </w:rPr>
            </w:pPr>
            <w:r>
              <w:rPr>
                <w:rFonts w:ascii="Arial" w:cs="Arial" w:eastAsia="Arial" w:hAnsi="Arial"/>
                <w:sz w:val="18"/>
                <w:szCs w:val="18"/>
                <w:color w:val="auto"/>
              </w:rPr>
              <w:t>100 Vanguard Blvd.</w:t>
            </w:r>
          </w:p>
        </w:tc>
        <w:tc>
          <w:tcPr>
            <w:tcW w:w="3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4560" w:type="dxa"/>
            <w:vAlign w:val="bottom"/>
          </w:tcPr>
          <w:p>
            <w:pPr>
              <w:ind w:left="820"/>
              <w:spacing w:after="0" w:line="203" w:lineRule="exact"/>
              <w:rPr>
                <w:sz w:val="20"/>
                <w:szCs w:val="20"/>
                <w:color w:val="auto"/>
              </w:rPr>
            </w:pPr>
            <w:r>
              <w:rPr>
                <w:rFonts w:ascii="Arial" w:cs="Arial" w:eastAsia="Arial" w:hAnsi="Arial"/>
                <w:sz w:val="18"/>
                <w:szCs w:val="18"/>
                <w:color w:val="auto"/>
              </w:rPr>
              <w:t>Malvern, PA 19355</w:t>
            </w:r>
          </w:p>
        </w:tc>
        <w:tc>
          <w:tcPr>
            <w:tcW w:w="3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2"/>
        </w:trPr>
        <w:tc>
          <w:tcPr>
            <w:tcW w:w="206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Common Stock</w:t>
            </w:r>
          </w:p>
        </w:tc>
        <w:tc>
          <w:tcPr>
            <w:tcW w:w="4560" w:type="dxa"/>
            <w:vAlign w:val="bottom"/>
            <w:shd w:val="clear" w:color="auto" w:fill="D9D9D9"/>
          </w:tcPr>
          <w:p>
            <w:pPr>
              <w:ind w:left="820"/>
              <w:spacing w:after="0" w:line="201" w:lineRule="exact"/>
              <w:rPr>
                <w:sz w:val="20"/>
                <w:szCs w:val="20"/>
                <w:color w:val="auto"/>
              </w:rPr>
            </w:pPr>
            <w:r>
              <w:rPr>
                <w:rFonts w:ascii="Arial" w:cs="Arial" w:eastAsia="Arial" w:hAnsi="Arial"/>
                <w:sz w:val="18"/>
                <w:szCs w:val="18"/>
                <w:color w:val="auto"/>
              </w:rPr>
              <w:t>BlackRock, Inc.</w:t>
            </w:r>
          </w:p>
        </w:tc>
        <w:tc>
          <w:tcPr>
            <w:tcW w:w="3460" w:type="dxa"/>
            <w:vAlign w:val="bottom"/>
            <w:shd w:val="clear" w:color="auto" w:fill="D9D9D9"/>
          </w:tcPr>
          <w:p>
            <w:pPr>
              <w:jc w:val="center"/>
              <w:ind w:left="917"/>
              <w:spacing w:after="0" w:line="201" w:lineRule="exact"/>
              <w:rPr>
                <w:sz w:val="20"/>
                <w:szCs w:val="20"/>
                <w:color w:val="auto"/>
              </w:rPr>
            </w:pPr>
            <w:r>
              <w:rPr>
                <w:rFonts w:ascii="Arial" w:cs="Arial" w:eastAsia="Arial" w:hAnsi="Arial"/>
                <w:sz w:val="18"/>
                <w:szCs w:val="18"/>
                <w:color w:val="auto"/>
                <w:w w:val="99"/>
              </w:rPr>
              <w:t>8,114,628</w:t>
            </w:r>
            <w:r>
              <w:rPr>
                <w:rFonts w:ascii="Arial" w:cs="Arial" w:eastAsia="Arial" w:hAnsi="Arial"/>
                <w:sz w:val="15"/>
                <w:szCs w:val="15"/>
                <w:color w:val="auto"/>
                <w:w w:val="99"/>
              </w:rPr>
              <w:t>(3)</w:t>
            </w:r>
          </w:p>
        </w:tc>
        <w:tc>
          <w:tcPr>
            <w:tcW w:w="1340" w:type="dxa"/>
            <w:vAlign w:val="bottom"/>
            <w:shd w:val="clear" w:color="auto" w:fill="D9D9D9"/>
          </w:tcPr>
          <w:p>
            <w:pPr>
              <w:jc w:val="center"/>
              <w:ind w:left="77"/>
              <w:spacing w:after="0" w:line="201" w:lineRule="exact"/>
              <w:rPr>
                <w:sz w:val="20"/>
                <w:szCs w:val="20"/>
                <w:color w:val="auto"/>
              </w:rPr>
            </w:pPr>
            <w:r>
              <w:rPr>
                <w:rFonts w:ascii="Arial" w:cs="Arial" w:eastAsia="Arial" w:hAnsi="Arial"/>
                <w:sz w:val="18"/>
                <w:szCs w:val="18"/>
                <w:color w:val="auto"/>
                <w:w w:val="97"/>
              </w:rPr>
              <w:t>7.50%</w:t>
            </w:r>
          </w:p>
        </w:tc>
      </w:tr>
      <w:tr>
        <w:trPr>
          <w:trHeight w:val="203"/>
        </w:trPr>
        <w:tc>
          <w:tcPr>
            <w:tcW w:w="2060" w:type="dxa"/>
            <w:vAlign w:val="bottom"/>
            <w:shd w:val="clear" w:color="auto" w:fill="D9D9D9"/>
          </w:tcPr>
          <w:p>
            <w:pPr>
              <w:spacing w:after="0"/>
              <w:rPr>
                <w:sz w:val="17"/>
                <w:szCs w:val="17"/>
                <w:color w:val="auto"/>
              </w:rPr>
            </w:pPr>
          </w:p>
        </w:tc>
        <w:tc>
          <w:tcPr>
            <w:tcW w:w="4560" w:type="dxa"/>
            <w:vAlign w:val="bottom"/>
            <w:shd w:val="clear" w:color="auto" w:fill="D9D9D9"/>
          </w:tcPr>
          <w:p>
            <w:pPr>
              <w:ind w:left="820"/>
              <w:spacing w:after="0" w:line="202" w:lineRule="exact"/>
              <w:rPr>
                <w:sz w:val="20"/>
                <w:szCs w:val="20"/>
                <w:color w:val="auto"/>
              </w:rPr>
            </w:pPr>
            <w:r>
              <w:rPr>
                <w:rFonts w:ascii="Arial" w:cs="Arial" w:eastAsia="Arial" w:hAnsi="Arial"/>
                <w:sz w:val="18"/>
                <w:szCs w:val="18"/>
                <w:color w:val="auto"/>
              </w:rPr>
              <w:t>55 East 52nd St.</w:t>
            </w:r>
          </w:p>
        </w:tc>
        <w:tc>
          <w:tcPr>
            <w:tcW w:w="346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r>
      <w:tr>
        <w:trPr>
          <w:trHeight w:val="203"/>
        </w:trPr>
        <w:tc>
          <w:tcPr>
            <w:tcW w:w="2060" w:type="dxa"/>
            <w:vAlign w:val="bottom"/>
            <w:shd w:val="clear" w:color="auto" w:fill="D9D9D9"/>
          </w:tcPr>
          <w:p>
            <w:pPr>
              <w:spacing w:after="0"/>
              <w:rPr>
                <w:sz w:val="17"/>
                <w:szCs w:val="17"/>
                <w:color w:val="auto"/>
              </w:rPr>
            </w:pPr>
          </w:p>
        </w:tc>
        <w:tc>
          <w:tcPr>
            <w:tcW w:w="4560" w:type="dxa"/>
            <w:vAlign w:val="bottom"/>
            <w:shd w:val="clear" w:color="auto" w:fill="D9D9D9"/>
          </w:tcPr>
          <w:p>
            <w:pPr>
              <w:ind w:left="820"/>
              <w:spacing w:after="0" w:line="203" w:lineRule="exact"/>
              <w:rPr>
                <w:sz w:val="20"/>
                <w:szCs w:val="20"/>
                <w:color w:val="auto"/>
              </w:rPr>
            </w:pPr>
            <w:r>
              <w:rPr>
                <w:rFonts w:ascii="Arial" w:cs="Arial" w:eastAsia="Arial" w:hAnsi="Arial"/>
                <w:sz w:val="18"/>
                <w:szCs w:val="18"/>
                <w:color w:val="auto"/>
              </w:rPr>
              <w:t>New York, NY 10055</w:t>
            </w:r>
          </w:p>
        </w:tc>
        <w:tc>
          <w:tcPr>
            <w:tcW w:w="346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4560" w:type="dxa"/>
            <w:vAlign w:val="bottom"/>
          </w:tcPr>
          <w:p>
            <w:pPr>
              <w:ind w:left="820"/>
              <w:spacing w:after="0" w:line="201" w:lineRule="exact"/>
              <w:rPr>
                <w:sz w:val="20"/>
                <w:szCs w:val="20"/>
                <w:color w:val="auto"/>
              </w:rPr>
            </w:pPr>
            <w:r>
              <w:rPr>
                <w:rFonts w:ascii="Arial" w:cs="Arial" w:eastAsia="Arial" w:hAnsi="Arial"/>
                <w:sz w:val="18"/>
                <w:szCs w:val="18"/>
                <w:color w:val="auto"/>
              </w:rPr>
              <w:t>T Rowe Price Associates Inc.</w:t>
            </w:r>
          </w:p>
        </w:tc>
        <w:tc>
          <w:tcPr>
            <w:tcW w:w="3460" w:type="dxa"/>
            <w:vAlign w:val="bottom"/>
          </w:tcPr>
          <w:p>
            <w:pPr>
              <w:jc w:val="center"/>
              <w:ind w:left="917"/>
              <w:spacing w:after="0" w:line="201" w:lineRule="exact"/>
              <w:rPr>
                <w:sz w:val="20"/>
                <w:szCs w:val="20"/>
                <w:color w:val="auto"/>
              </w:rPr>
            </w:pPr>
            <w:r>
              <w:rPr>
                <w:rFonts w:ascii="Arial" w:cs="Arial" w:eastAsia="Arial" w:hAnsi="Arial"/>
                <w:sz w:val="18"/>
                <w:szCs w:val="18"/>
                <w:color w:val="auto"/>
                <w:w w:val="99"/>
              </w:rPr>
              <w:t>7,530,113</w:t>
            </w:r>
            <w:r>
              <w:rPr>
                <w:rFonts w:ascii="Arial" w:cs="Arial" w:eastAsia="Arial" w:hAnsi="Arial"/>
                <w:sz w:val="15"/>
                <w:szCs w:val="15"/>
                <w:color w:val="auto"/>
                <w:w w:val="99"/>
              </w:rPr>
              <w:t>(4)</w:t>
            </w:r>
          </w:p>
        </w:tc>
        <w:tc>
          <w:tcPr>
            <w:tcW w:w="1340" w:type="dxa"/>
            <w:vAlign w:val="bottom"/>
          </w:tcPr>
          <w:p>
            <w:pPr>
              <w:jc w:val="center"/>
              <w:ind w:left="77"/>
              <w:spacing w:after="0" w:line="201" w:lineRule="exact"/>
              <w:rPr>
                <w:sz w:val="20"/>
                <w:szCs w:val="20"/>
                <w:color w:val="auto"/>
              </w:rPr>
            </w:pPr>
            <w:r>
              <w:rPr>
                <w:rFonts w:ascii="Arial" w:cs="Arial" w:eastAsia="Arial" w:hAnsi="Arial"/>
                <w:sz w:val="18"/>
                <w:szCs w:val="18"/>
                <w:color w:val="auto"/>
                <w:w w:val="97"/>
              </w:rPr>
              <w:t>6.96%</w:t>
            </w:r>
          </w:p>
        </w:tc>
      </w:tr>
      <w:tr>
        <w:trPr>
          <w:trHeight w:val="203"/>
        </w:trPr>
        <w:tc>
          <w:tcPr>
            <w:tcW w:w="2060" w:type="dxa"/>
            <w:vAlign w:val="bottom"/>
          </w:tcPr>
          <w:p>
            <w:pPr>
              <w:spacing w:after="0"/>
              <w:rPr>
                <w:sz w:val="17"/>
                <w:szCs w:val="17"/>
                <w:color w:val="auto"/>
              </w:rPr>
            </w:pPr>
          </w:p>
        </w:tc>
        <w:tc>
          <w:tcPr>
            <w:tcW w:w="4560" w:type="dxa"/>
            <w:vAlign w:val="bottom"/>
          </w:tcPr>
          <w:p>
            <w:pPr>
              <w:ind w:left="820"/>
              <w:spacing w:after="0" w:line="202" w:lineRule="exact"/>
              <w:rPr>
                <w:sz w:val="20"/>
                <w:szCs w:val="20"/>
                <w:color w:val="auto"/>
              </w:rPr>
            </w:pPr>
            <w:r>
              <w:rPr>
                <w:rFonts w:ascii="Arial" w:cs="Arial" w:eastAsia="Arial" w:hAnsi="Arial"/>
                <w:sz w:val="18"/>
                <w:szCs w:val="18"/>
                <w:color w:val="auto"/>
              </w:rPr>
              <w:t>100 East Pratt St.</w:t>
            </w:r>
          </w:p>
        </w:tc>
        <w:tc>
          <w:tcPr>
            <w:tcW w:w="3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2060" w:type="dxa"/>
            <w:vAlign w:val="bottom"/>
          </w:tcPr>
          <w:p>
            <w:pPr>
              <w:spacing w:after="0"/>
              <w:rPr>
                <w:sz w:val="18"/>
                <w:szCs w:val="18"/>
                <w:color w:val="auto"/>
              </w:rPr>
            </w:pPr>
          </w:p>
        </w:tc>
        <w:tc>
          <w:tcPr>
            <w:tcW w:w="4560" w:type="dxa"/>
            <w:vAlign w:val="bottom"/>
          </w:tcPr>
          <w:p>
            <w:pPr>
              <w:ind w:left="820"/>
              <w:spacing w:after="0"/>
              <w:rPr>
                <w:sz w:val="20"/>
                <w:szCs w:val="20"/>
                <w:color w:val="auto"/>
              </w:rPr>
            </w:pPr>
            <w:r>
              <w:rPr>
                <w:rFonts w:ascii="Arial" w:cs="Arial" w:eastAsia="Arial" w:hAnsi="Arial"/>
                <w:sz w:val="18"/>
                <w:szCs w:val="18"/>
                <w:color w:val="auto"/>
              </w:rPr>
              <w:t>Baltimore, MD 21202</w:t>
            </w:r>
          </w:p>
        </w:tc>
        <w:tc>
          <w:tcPr>
            <w:tcW w:w="34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607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is based on 108,205,116 shares outstanding as of our record date.</w:t>
      </w:r>
    </w:p>
    <w:p>
      <w:pPr>
        <w:spacing w:after="0" w:line="238" w:lineRule="exact"/>
        <w:rPr>
          <w:rFonts w:ascii="Arial" w:cs="Arial" w:eastAsia="Arial" w:hAnsi="Arial"/>
          <w:sz w:val="18"/>
          <w:szCs w:val="18"/>
          <w:color w:val="auto"/>
        </w:rPr>
      </w:pPr>
    </w:p>
    <w:p>
      <w:pPr>
        <w:ind w:left="460" w:right="180" w:hanging="452"/>
        <w:spacing w:after="0" w:line="23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adviser, filed with the SEC on November 14, 2016, reflecting beneficial ownership as of September 30, 2016, with sole investment discretion but no voting authority with respect to 8,457,154 shares, sole investment discretion and voting authority with respect to 4,878 shares, shared investment discretion but sole voting authority with respect to 75,550 shares and shared discretion and voting authority with respect to 11,818 shares.</w:t>
      </w:r>
    </w:p>
    <w:p>
      <w:pPr>
        <w:spacing w:after="0" w:line="229" w:lineRule="exact"/>
        <w:rPr>
          <w:rFonts w:ascii="Arial" w:cs="Arial" w:eastAsia="Arial" w:hAnsi="Arial"/>
          <w:sz w:val="18"/>
          <w:szCs w:val="18"/>
          <w:color w:val="auto"/>
        </w:rPr>
      </w:pPr>
    </w:p>
    <w:p>
      <w:pPr>
        <w:ind w:left="460" w:right="120" w:hanging="452"/>
        <w:spacing w:after="0" w:line="23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27, 2017, reflecting beneficial ownership as of December 31, 2016, of 8,114,628 shares, with sole investment discretion with respect to all such shares and sole voting authority with respect to 7,737,782 shares. BlackRock, Inc. does not have shared voting or dispositive power over any of the shares.</w:t>
      </w:r>
    </w:p>
    <w:p>
      <w:pPr>
        <w:spacing w:after="0" w:line="228" w:lineRule="exact"/>
        <w:rPr>
          <w:rFonts w:ascii="Arial" w:cs="Arial" w:eastAsia="Arial" w:hAnsi="Arial"/>
          <w:sz w:val="18"/>
          <w:szCs w:val="18"/>
          <w:color w:val="auto"/>
        </w:rPr>
      </w:pPr>
    </w:p>
    <w:p>
      <w:pPr>
        <w:ind w:left="460" w:right="180" w:hanging="452"/>
        <w:spacing w:after="0" w:line="23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Amendment No. 1 to Schedule 13F of T Rowe Price Associates Inc., an investment adviser, filed with the SEC on November 17, 2016, reflecting beneficial ownership as of September 30, 2016, with sole investment discretion with respect to all such shares, sole voting authority with respect to 1,567,784 shares and no voting authority with respect to 5,962,329 shares.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Directors and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31, 2017, by</w:t>
      </w:r>
    </w:p>
    <w:p>
      <w:pPr>
        <w:ind w:right="180" w:firstLine="8"/>
        <w:spacing w:after="0" w:line="239"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current non-employee directors (including our non-employee director nominees), (ii) individuals who served as our “principal executive officer” or “principal financial officer” during fiscal 2016 and the next three most highly compensated executive officers named in the “Summary Compensation Table” beginning on page 49 (we collectively refer to these persons as our “named executive officers”), and our employee directors (including our employee director nominee), and (iii) all directors and executive officers as a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shd w:val="clear" w:color="auto" w:fill="C00000"/>
          </w:tcPr>
          <w:p>
            <w:pPr>
              <w:spacing w:after="0"/>
              <w:rPr>
                <w:sz w:val="16"/>
                <w:szCs w:val="16"/>
                <w:color w:val="auto"/>
              </w:rPr>
            </w:pPr>
          </w:p>
        </w:tc>
        <w:tc>
          <w:tcPr>
            <w:tcW w:w="5620" w:type="dxa"/>
            <w:vAlign w:val="bottom"/>
            <w:shd w:val="clear" w:color="auto" w:fill="C00000"/>
          </w:tcPr>
          <w:p>
            <w:pPr>
              <w:spacing w:after="0"/>
              <w:rPr>
                <w:sz w:val="16"/>
                <w:szCs w:val="16"/>
                <w:color w:val="auto"/>
              </w:rPr>
            </w:pPr>
          </w:p>
        </w:tc>
        <w:tc>
          <w:tcPr>
            <w:tcW w:w="3220" w:type="dxa"/>
            <w:vAlign w:val="bottom"/>
            <w:shd w:val="clear" w:color="auto" w:fill="C00000"/>
          </w:tcPr>
          <w:p>
            <w:pPr>
              <w:jc w:val="center"/>
              <w:ind w:left="934"/>
              <w:spacing w:after="0"/>
              <w:rPr>
                <w:sz w:val="20"/>
                <w:szCs w:val="20"/>
                <w:color w:val="auto"/>
              </w:rPr>
            </w:pPr>
            <w:r>
              <w:rPr>
                <w:rFonts w:ascii="Arial" w:cs="Arial" w:eastAsia="Arial" w:hAnsi="Arial"/>
                <w:sz w:val="14"/>
                <w:szCs w:val="14"/>
                <w:b w:val="1"/>
                <w:bCs w:val="1"/>
                <w:color w:val="FFFFFF"/>
              </w:rPr>
              <w:t>Amount and Nature of</w:t>
            </w:r>
          </w:p>
        </w:tc>
        <w:tc>
          <w:tcPr>
            <w:tcW w:w="1220" w:type="dxa"/>
            <w:vAlign w:val="bottom"/>
            <w:shd w:val="clear" w:color="auto" w:fill="C00000"/>
          </w:tcPr>
          <w:p>
            <w:pPr>
              <w:spacing w:after="0"/>
              <w:rPr>
                <w:sz w:val="16"/>
                <w:szCs w:val="16"/>
                <w:color w:val="auto"/>
              </w:rPr>
            </w:pPr>
          </w:p>
        </w:tc>
      </w:tr>
      <w:tr>
        <w:trPr>
          <w:trHeight w:val="159"/>
        </w:trPr>
        <w:tc>
          <w:tcPr>
            <w:tcW w:w="1360" w:type="dxa"/>
            <w:vAlign w:val="bottom"/>
            <w:shd w:val="clear" w:color="auto" w:fill="C00000"/>
          </w:tcPr>
          <w:p>
            <w:pPr>
              <w:spacing w:after="0"/>
              <w:rPr>
                <w:sz w:val="13"/>
                <w:szCs w:val="13"/>
                <w:color w:val="auto"/>
              </w:rPr>
            </w:pPr>
          </w:p>
        </w:tc>
        <w:tc>
          <w:tcPr>
            <w:tcW w:w="5620" w:type="dxa"/>
            <w:vAlign w:val="bottom"/>
            <w:shd w:val="clear" w:color="auto" w:fill="C00000"/>
          </w:tcPr>
          <w:p>
            <w:pPr>
              <w:spacing w:after="0"/>
              <w:rPr>
                <w:sz w:val="13"/>
                <w:szCs w:val="13"/>
                <w:color w:val="auto"/>
              </w:rPr>
            </w:pPr>
          </w:p>
        </w:tc>
        <w:tc>
          <w:tcPr>
            <w:tcW w:w="3220" w:type="dxa"/>
            <w:vAlign w:val="bottom"/>
            <w:shd w:val="clear" w:color="auto" w:fill="C00000"/>
          </w:tcPr>
          <w:p>
            <w:pPr>
              <w:jc w:val="center"/>
              <w:ind w:left="914"/>
              <w:spacing w:after="0" w:line="159" w:lineRule="exact"/>
              <w:rPr>
                <w:sz w:val="20"/>
                <w:szCs w:val="20"/>
                <w:color w:val="auto"/>
              </w:rPr>
            </w:pPr>
            <w:r>
              <w:rPr>
                <w:rFonts w:ascii="Arial" w:cs="Arial" w:eastAsia="Arial" w:hAnsi="Arial"/>
                <w:sz w:val="14"/>
                <w:szCs w:val="14"/>
                <w:b w:val="1"/>
                <w:bCs w:val="1"/>
                <w:color w:val="FFFFFF"/>
              </w:rPr>
              <w:t>Beneficial Ownership</w:t>
            </w:r>
          </w:p>
        </w:tc>
        <w:tc>
          <w:tcPr>
            <w:tcW w:w="122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Percent of</w:t>
            </w:r>
          </w:p>
        </w:tc>
      </w:tr>
      <w:tr>
        <w:trPr>
          <w:trHeight w:val="233"/>
        </w:trPr>
        <w:tc>
          <w:tcPr>
            <w:tcW w:w="13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Title of Class</w:t>
            </w:r>
          </w:p>
        </w:tc>
        <w:tc>
          <w:tcPr>
            <w:tcW w:w="562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Name of Beneficial Owner</w:t>
            </w:r>
          </w:p>
        </w:tc>
        <w:tc>
          <w:tcPr>
            <w:tcW w:w="3220" w:type="dxa"/>
            <w:vAlign w:val="bottom"/>
            <w:shd w:val="clear" w:color="auto" w:fill="C00000"/>
          </w:tcPr>
          <w:p>
            <w:pPr>
              <w:jc w:val="center"/>
              <w:ind w:left="934"/>
              <w:spacing w:after="0"/>
              <w:rPr>
                <w:sz w:val="20"/>
                <w:szCs w:val="20"/>
                <w:color w:val="auto"/>
              </w:rPr>
            </w:pPr>
            <w:r>
              <w:rPr>
                <w:rFonts w:ascii="Arial" w:cs="Arial" w:eastAsia="Arial" w:hAnsi="Arial"/>
                <w:sz w:val="12"/>
                <w:szCs w:val="12"/>
                <w:b w:val="1"/>
                <w:bCs w:val="1"/>
                <w:color w:val="FFFFFF"/>
              </w:rPr>
              <w:t>(1)(2)(3)(4)</w:t>
            </w:r>
          </w:p>
        </w:tc>
        <w:tc>
          <w:tcPr>
            <w:tcW w:w="1220" w:type="dxa"/>
            <w:vAlign w:val="bottom"/>
            <w:shd w:val="clear" w:color="auto" w:fill="C00000"/>
          </w:tcPr>
          <w:p>
            <w:pPr>
              <w:jc w:val="center"/>
              <w:spacing w:after="0" w:line="233" w:lineRule="exact"/>
              <w:rPr>
                <w:sz w:val="20"/>
                <w:szCs w:val="20"/>
                <w:color w:val="auto"/>
              </w:rPr>
            </w:pPr>
            <w:r>
              <w:rPr>
                <w:rFonts w:ascii="Arial" w:cs="Arial" w:eastAsia="Arial" w:hAnsi="Arial"/>
                <w:sz w:val="14"/>
                <w:szCs w:val="14"/>
                <w:b w:val="1"/>
                <w:bCs w:val="1"/>
                <w:color w:val="FFFFFF"/>
                <w:w w:val="91"/>
              </w:rPr>
              <w:t>Class</w:t>
            </w:r>
            <w:r>
              <w:rPr>
                <w:rFonts w:ascii="Arial" w:cs="Arial" w:eastAsia="Arial" w:hAnsi="Arial"/>
                <w:sz w:val="24"/>
                <w:szCs w:val="24"/>
                <w:b w:val="1"/>
                <w:bCs w:val="1"/>
                <w:color w:val="FFFFFF"/>
                <w:w w:val="91"/>
                <w:vertAlign w:val="superscript"/>
              </w:rPr>
              <w:t>(5)</w:t>
            </w:r>
          </w:p>
        </w:tc>
      </w:tr>
      <w:tr>
        <w:trPr>
          <w:trHeight w:val="203"/>
        </w:trPr>
        <w:tc>
          <w:tcPr>
            <w:tcW w:w="1360" w:type="dxa"/>
            <w:vAlign w:val="bottom"/>
          </w:tcPr>
          <w:p>
            <w:pPr>
              <w:spacing w:after="0"/>
              <w:rPr>
                <w:sz w:val="17"/>
                <w:szCs w:val="17"/>
                <w:color w:val="auto"/>
              </w:rPr>
            </w:pPr>
          </w:p>
        </w:tc>
        <w:tc>
          <w:tcPr>
            <w:tcW w:w="5620" w:type="dxa"/>
            <w:vAlign w:val="bottom"/>
          </w:tcPr>
          <w:p>
            <w:pPr>
              <w:ind w:left="120"/>
              <w:spacing w:after="0" w:line="202" w:lineRule="exact"/>
              <w:rPr>
                <w:sz w:val="20"/>
                <w:szCs w:val="20"/>
                <w:color w:val="auto"/>
              </w:rPr>
            </w:pPr>
            <w:r>
              <w:rPr>
                <w:rFonts w:ascii="Arial" w:cs="Arial" w:eastAsia="Arial" w:hAnsi="Arial"/>
                <w:sz w:val="18"/>
                <w:szCs w:val="18"/>
                <w:color w:val="auto"/>
              </w:rPr>
              <w:t>Non-Employee Directors:</w:t>
            </w:r>
          </w:p>
        </w:tc>
        <w:tc>
          <w:tcPr>
            <w:tcW w:w="3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Robert C. Buhrmaster</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133,407</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Janet K. Cooper</w:t>
            </w:r>
          </w:p>
        </w:tc>
        <w:tc>
          <w:tcPr>
            <w:tcW w:w="32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130,239</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Gary L. Ellis</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120,817</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Jeffrey M. Ettinger</w:t>
            </w:r>
          </w:p>
        </w:tc>
        <w:tc>
          <w:tcPr>
            <w:tcW w:w="32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70,055</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Katherine J. Harless</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133,122</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D. Christian Koch</w:t>
            </w:r>
          </w:p>
        </w:tc>
        <w:tc>
          <w:tcPr>
            <w:tcW w:w="32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1,268</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James C. O’Rourke</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25,568</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Gregg W. Steinhafel</w:t>
            </w:r>
          </w:p>
        </w:tc>
        <w:tc>
          <w:tcPr>
            <w:tcW w:w="32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69,751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Christopher A. Twomey</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136,740</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tcPr>
          <w:p>
            <w:pPr>
              <w:spacing w:after="0"/>
              <w:rPr>
                <w:sz w:val="17"/>
                <w:szCs w:val="17"/>
                <w:color w:val="auto"/>
              </w:rPr>
            </w:pPr>
          </w:p>
        </w:tc>
        <w:tc>
          <w:tcPr>
            <w:tcW w:w="5620" w:type="dxa"/>
            <w:vAlign w:val="bottom"/>
          </w:tcPr>
          <w:p>
            <w:pPr>
              <w:ind w:left="120"/>
              <w:spacing w:after="0" w:line="202" w:lineRule="exact"/>
              <w:rPr>
                <w:sz w:val="20"/>
                <w:szCs w:val="20"/>
                <w:color w:val="auto"/>
              </w:rPr>
            </w:pPr>
            <w:r>
              <w:rPr>
                <w:rFonts w:ascii="Arial" w:cs="Arial" w:eastAsia="Arial" w:hAnsi="Arial"/>
                <w:sz w:val="18"/>
                <w:szCs w:val="18"/>
                <w:color w:val="auto"/>
              </w:rPr>
              <w:t>Employee Directors and Named Executive Officers:</w:t>
            </w:r>
          </w:p>
        </w:tc>
        <w:tc>
          <w:tcPr>
            <w:tcW w:w="3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Michael J. Hoffman</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3,300,973</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rPr>
              <w:t>3.0%</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Renee J. Peterson</w:t>
            </w:r>
          </w:p>
        </w:tc>
        <w:tc>
          <w:tcPr>
            <w:tcW w:w="32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276,046</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Richard M. Olson</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127,760</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tcPr>
          <w:p>
            <w:pPr>
              <w:ind w:left="320"/>
              <w:spacing w:after="0" w:line="202" w:lineRule="exact"/>
              <w:rPr>
                <w:sz w:val="20"/>
                <w:szCs w:val="20"/>
                <w:color w:val="auto"/>
              </w:rPr>
            </w:pPr>
            <w:r>
              <w:rPr>
                <w:rFonts w:ascii="Arial" w:cs="Arial" w:eastAsia="Arial" w:hAnsi="Arial"/>
                <w:sz w:val="18"/>
                <w:szCs w:val="18"/>
                <w:color w:val="auto"/>
              </w:rPr>
              <w:t>William E. Brown, Jr.</w:t>
            </w:r>
          </w:p>
        </w:tc>
        <w:tc>
          <w:tcPr>
            <w:tcW w:w="32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358,327</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Common Stock</w:t>
            </w:r>
          </w:p>
        </w:tc>
        <w:tc>
          <w:tcPr>
            <w:tcW w:w="5620" w:type="dxa"/>
            <w:vAlign w:val="bottom"/>
            <w:shd w:val="clear" w:color="auto" w:fill="D9D9D9"/>
          </w:tcPr>
          <w:p>
            <w:pPr>
              <w:ind w:left="320"/>
              <w:spacing w:after="0" w:line="202" w:lineRule="exact"/>
              <w:rPr>
                <w:sz w:val="20"/>
                <w:szCs w:val="20"/>
                <w:color w:val="auto"/>
              </w:rPr>
            </w:pPr>
            <w:r>
              <w:rPr>
                <w:rFonts w:ascii="Arial" w:cs="Arial" w:eastAsia="Arial" w:hAnsi="Arial"/>
                <w:sz w:val="18"/>
                <w:szCs w:val="18"/>
                <w:color w:val="auto"/>
              </w:rPr>
              <w:t>Timothy P. Dordell</w:t>
            </w:r>
          </w:p>
        </w:tc>
        <w:tc>
          <w:tcPr>
            <w:tcW w:w="322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322,416</w:t>
            </w:r>
          </w:p>
        </w:tc>
        <w:tc>
          <w:tcPr>
            <w:tcW w:w="122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17"/>
        </w:trPr>
        <w:tc>
          <w:tcPr>
            <w:tcW w:w="13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All Directors and Executive Officers as a Group (24)</w:t>
            </w:r>
          </w:p>
        </w:tc>
        <w:tc>
          <w:tcPr>
            <w:tcW w:w="3220" w:type="dxa"/>
            <w:vAlign w:val="bottom"/>
          </w:tcPr>
          <w:p>
            <w:pPr>
              <w:jc w:val="right"/>
              <w:ind w:right="174"/>
              <w:spacing w:after="0"/>
              <w:rPr>
                <w:sz w:val="20"/>
                <w:szCs w:val="20"/>
                <w:color w:val="auto"/>
              </w:rPr>
            </w:pPr>
            <w:r>
              <w:rPr>
                <w:rFonts w:ascii="Arial" w:cs="Arial" w:eastAsia="Arial" w:hAnsi="Arial"/>
                <w:sz w:val="18"/>
                <w:szCs w:val="18"/>
                <w:color w:val="auto"/>
              </w:rPr>
              <w:t>6,352,088</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607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239" w:lineRule="exact"/>
        <w:rPr>
          <w:sz w:val="20"/>
          <w:szCs w:val="20"/>
          <w:color w:val="auto"/>
        </w:rPr>
      </w:pPr>
    </w:p>
    <w:p>
      <w:pPr>
        <w:ind w:left="460" w:right="14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228" w:lineRule="exact"/>
        <w:rPr>
          <w:rFonts w:ascii="Arial" w:cs="Arial" w:eastAsia="Arial" w:hAnsi="Arial"/>
          <w:sz w:val="18"/>
          <w:szCs w:val="18"/>
          <w:color w:val="auto"/>
        </w:rPr>
      </w:pPr>
    </w:p>
    <w:p>
      <w:pPr>
        <w:ind w:left="460" w:right="60" w:hanging="452"/>
        <w:spacing w:after="0" w:line="23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31, 2017, and, as such, includes shares that may be acquired upon exercise of stock options within 60 days of January 31, 2017; (b) shares allocated to executive officers under The Toro Company Investment, Savings and Employee Stock Ownership Plan, or IS&amp;ESOP; and (c) common stock units and performance share units, collectively referred to as units, credited under The Toro Company Deferred Compensation Plan for Non-Employee Directors, or the Deferred Plan for Directors, and The Toro Company Deferred Compensation Plan for Officers, or the Deferred Plan for Officers. The following table reflects the beneficial ownership by type of security held by our non-employee directors, named executive officers and employee directors, and all current directors and executive officers as a group:</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5300" w:type="dxa"/>
            <w:vAlign w:val="bottom"/>
            <w:shd w:val="clear" w:color="auto" w:fill="C00000"/>
          </w:tcPr>
          <w:p>
            <w:pPr>
              <w:spacing w:after="0"/>
              <w:rPr>
                <w:sz w:val="16"/>
                <w:szCs w:val="16"/>
                <w:color w:val="auto"/>
              </w:rPr>
            </w:pPr>
          </w:p>
        </w:tc>
        <w:tc>
          <w:tcPr>
            <w:tcW w:w="2220" w:type="dxa"/>
            <w:vAlign w:val="bottom"/>
            <w:shd w:val="clear" w:color="auto" w:fill="C00000"/>
          </w:tcPr>
          <w:p>
            <w:pPr>
              <w:spacing w:after="0"/>
              <w:rPr>
                <w:sz w:val="16"/>
                <w:szCs w:val="16"/>
                <w:color w:val="auto"/>
              </w:rPr>
            </w:pPr>
          </w:p>
        </w:tc>
        <w:tc>
          <w:tcPr>
            <w:tcW w:w="880" w:type="dxa"/>
            <w:vAlign w:val="bottom"/>
            <w:shd w:val="clear" w:color="auto" w:fill="C00000"/>
          </w:tcPr>
          <w:p>
            <w:pPr>
              <w:spacing w:after="0"/>
              <w:rPr>
                <w:sz w:val="16"/>
                <w:szCs w:val="16"/>
                <w:color w:val="auto"/>
              </w:rPr>
            </w:pP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under</w:t>
            </w:r>
          </w:p>
        </w:tc>
        <w:tc>
          <w:tcPr>
            <w:tcW w:w="10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under</w:t>
            </w:r>
          </w:p>
        </w:tc>
      </w:tr>
      <w:tr>
        <w:trPr>
          <w:trHeight w:val="162"/>
        </w:trPr>
        <w:tc>
          <w:tcPr>
            <w:tcW w:w="5300" w:type="dxa"/>
            <w:vAlign w:val="bottom"/>
            <w:shd w:val="clear" w:color="auto" w:fill="C00000"/>
          </w:tcPr>
          <w:p>
            <w:pPr>
              <w:spacing w:after="0"/>
              <w:rPr>
                <w:sz w:val="14"/>
                <w:szCs w:val="14"/>
                <w:color w:val="auto"/>
              </w:rPr>
            </w:pPr>
          </w:p>
        </w:tc>
        <w:tc>
          <w:tcPr>
            <w:tcW w:w="222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the Deferred</w:t>
            </w:r>
          </w:p>
        </w:tc>
        <w:tc>
          <w:tcPr>
            <w:tcW w:w="10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the Deferred</w:t>
            </w:r>
          </w:p>
        </w:tc>
      </w:tr>
      <w:tr>
        <w:trPr>
          <w:trHeight w:val="162"/>
        </w:trPr>
        <w:tc>
          <w:tcPr>
            <w:tcW w:w="5300" w:type="dxa"/>
            <w:vAlign w:val="bottom"/>
            <w:shd w:val="clear" w:color="auto" w:fill="C00000"/>
          </w:tcPr>
          <w:p>
            <w:pPr>
              <w:spacing w:after="0"/>
              <w:rPr>
                <w:sz w:val="14"/>
                <w:szCs w:val="14"/>
                <w:color w:val="auto"/>
              </w:rPr>
            </w:pPr>
          </w:p>
        </w:tc>
        <w:tc>
          <w:tcPr>
            <w:tcW w:w="222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Plan for</w:t>
            </w:r>
          </w:p>
        </w:tc>
        <w:tc>
          <w:tcPr>
            <w:tcW w:w="10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Plan for</w:t>
            </w:r>
          </w:p>
        </w:tc>
      </w:tr>
      <w:tr>
        <w:trPr>
          <w:trHeight w:val="209"/>
        </w:trPr>
        <w:tc>
          <w:tcPr>
            <w:tcW w:w="5300" w:type="dxa"/>
            <w:vAlign w:val="bottom"/>
            <w:tcBorders>
              <w:bottom w:val="single" w:sz="8" w:color="C00000"/>
            </w:tcBorders>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2220" w:type="dxa"/>
            <w:vAlign w:val="bottom"/>
            <w:tcBorders>
              <w:bottom w:val="single" w:sz="8" w:color="C00000"/>
            </w:tcBorders>
            <w:shd w:val="clear" w:color="auto" w:fill="C00000"/>
          </w:tcPr>
          <w:p>
            <w:pPr>
              <w:jc w:val="right"/>
              <w:ind w:right="31"/>
              <w:spacing w:after="0"/>
              <w:rPr>
                <w:sz w:val="20"/>
                <w:szCs w:val="20"/>
                <w:color w:val="auto"/>
              </w:rPr>
            </w:pPr>
            <w:r>
              <w:rPr>
                <w:rFonts w:ascii="Arial" w:cs="Arial" w:eastAsia="Arial" w:hAnsi="Arial"/>
                <w:sz w:val="14"/>
                <w:szCs w:val="14"/>
                <w:b w:val="1"/>
                <w:bCs w:val="1"/>
                <w:color w:val="FFFFFF"/>
              </w:rPr>
              <w:t>Stock Options</w:t>
            </w:r>
          </w:p>
        </w:tc>
        <w:tc>
          <w:tcPr>
            <w:tcW w:w="880" w:type="dxa"/>
            <w:vAlign w:val="bottom"/>
            <w:tcBorders>
              <w:bottom w:val="single" w:sz="8" w:color="C00000"/>
            </w:tcBorders>
            <w:shd w:val="clear" w:color="auto" w:fill="C00000"/>
          </w:tcPr>
          <w:p>
            <w:pPr>
              <w:jc w:val="right"/>
              <w:ind w:right="31"/>
              <w:spacing w:after="0"/>
              <w:rPr>
                <w:sz w:val="20"/>
                <w:szCs w:val="20"/>
                <w:color w:val="auto"/>
              </w:rPr>
            </w:pPr>
            <w:r>
              <w:rPr>
                <w:rFonts w:ascii="Arial" w:cs="Arial" w:eastAsia="Arial" w:hAnsi="Arial"/>
                <w:sz w:val="14"/>
                <w:szCs w:val="14"/>
                <w:b w:val="1"/>
                <w:bCs w:val="1"/>
                <w:color w:val="FFFFFF"/>
              </w:rPr>
              <w:t>IS&amp;ESOP</w:t>
            </w:r>
          </w:p>
        </w:tc>
        <w:tc>
          <w:tcPr>
            <w:tcW w:w="104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4"/>
                <w:szCs w:val="14"/>
                <w:b w:val="1"/>
                <w:bCs w:val="1"/>
                <w:color w:val="FFFFFF"/>
              </w:rPr>
              <w:t>Directors</w:t>
            </w:r>
          </w:p>
        </w:tc>
        <w:tc>
          <w:tcPr>
            <w:tcW w:w="106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4"/>
                <w:szCs w:val="14"/>
                <w:b w:val="1"/>
                <w:bCs w:val="1"/>
                <w:color w:val="FFFFFF"/>
              </w:rPr>
              <w:t>Officers</w:t>
            </w:r>
          </w:p>
        </w:tc>
      </w:tr>
      <w:tr>
        <w:trPr>
          <w:trHeight w:val="203"/>
        </w:trPr>
        <w:tc>
          <w:tcPr>
            <w:tcW w:w="5300" w:type="dxa"/>
            <w:vAlign w:val="bottom"/>
          </w:tcPr>
          <w:p>
            <w:pPr>
              <w:ind w:left="60"/>
              <w:spacing w:after="0" w:line="202" w:lineRule="exact"/>
              <w:rPr>
                <w:sz w:val="20"/>
                <w:szCs w:val="20"/>
                <w:color w:val="auto"/>
              </w:rPr>
            </w:pPr>
            <w:r>
              <w:rPr>
                <w:rFonts w:ascii="Arial" w:cs="Arial" w:eastAsia="Arial" w:hAnsi="Arial"/>
                <w:sz w:val="18"/>
                <w:szCs w:val="18"/>
                <w:color w:val="auto"/>
              </w:rPr>
              <w:t>Non-Employee Directors:</w:t>
            </w:r>
          </w:p>
        </w:tc>
        <w:tc>
          <w:tcPr>
            <w:tcW w:w="2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Robert C. Buhrmaster</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64,832</w:t>
            </w:r>
          </w:p>
        </w:tc>
        <w:tc>
          <w:tcPr>
            <w:tcW w:w="880" w:type="dxa"/>
            <w:vAlign w:val="bottom"/>
            <w:shd w:val="clear" w:color="auto" w:fill="D9D9D9"/>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17,884</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Janet K. Cooper</w:t>
            </w:r>
          </w:p>
        </w:tc>
        <w:tc>
          <w:tcPr>
            <w:tcW w:w="2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57,832</w:t>
            </w:r>
          </w:p>
        </w:tc>
        <w:tc>
          <w:tcPr>
            <w:tcW w:w="880" w:type="dxa"/>
            <w:vAlign w:val="bottom"/>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44,249</w:t>
            </w:r>
          </w:p>
        </w:tc>
        <w:tc>
          <w:tcPr>
            <w:tcW w:w="10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Gary L. Ellis</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75,324</w:t>
            </w:r>
          </w:p>
        </w:tc>
        <w:tc>
          <w:tcPr>
            <w:tcW w:w="880" w:type="dxa"/>
            <w:vAlign w:val="bottom"/>
            <w:shd w:val="clear" w:color="auto" w:fill="D9D9D9"/>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3,681</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Jeffrey M. Ettinger</w:t>
            </w:r>
          </w:p>
        </w:tc>
        <w:tc>
          <w:tcPr>
            <w:tcW w:w="2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36,376</w:t>
            </w:r>
          </w:p>
        </w:tc>
        <w:tc>
          <w:tcPr>
            <w:tcW w:w="880" w:type="dxa"/>
            <w:vAlign w:val="bottom"/>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Katherine J. Harless</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64,832</w:t>
            </w:r>
          </w:p>
        </w:tc>
        <w:tc>
          <w:tcPr>
            <w:tcW w:w="880" w:type="dxa"/>
            <w:vAlign w:val="bottom"/>
            <w:shd w:val="clear" w:color="auto" w:fill="D9D9D9"/>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6,394</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D. Christian Koch</w:t>
            </w:r>
          </w:p>
        </w:tc>
        <w:tc>
          <w:tcPr>
            <w:tcW w:w="2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880" w:type="dxa"/>
            <w:vAlign w:val="bottom"/>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James C. O’Rourke</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17,084</w:t>
            </w:r>
          </w:p>
        </w:tc>
        <w:tc>
          <w:tcPr>
            <w:tcW w:w="880" w:type="dxa"/>
            <w:vAlign w:val="bottom"/>
            <w:shd w:val="clear" w:color="auto" w:fill="D9D9D9"/>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Gregg W. Steinhafel</w:t>
            </w:r>
          </w:p>
        </w:tc>
        <w:tc>
          <w:tcPr>
            <w:tcW w:w="2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17,084</w:t>
            </w:r>
          </w:p>
        </w:tc>
        <w:tc>
          <w:tcPr>
            <w:tcW w:w="880" w:type="dxa"/>
            <w:vAlign w:val="bottom"/>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5,503</w:t>
            </w:r>
          </w:p>
        </w:tc>
        <w:tc>
          <w:tcPr>
            <w:tcW w:w="10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Christopher A. Twomey</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64,832</w:t>
            </w:r>
          </w:p>
        </w:tc>
        <w:tc>
          <w:tcPr>
            <w:tcW w:w="880" w:type="dxa"/>
            <w:vAlign w:val="bottom"/>
            <w:shd w:val="clear" w:color="auto" w:fill="D9D9D9"/>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9,630</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ind w:left="60"/>
              <w:spacing w:after="0" w:line="202" w:lineRule="exact"/>
              <w:rPr>
                <w:sz w:val="20"/>
                <w:szCs w:val="20"/>
                <w:color w:val="auto"/>
              </w:rPr>
            </w:pPr>
            <w:r>
              <w:rPr>
                <w:rFonts w:ascii="Arial" w:cs="Arial" w:eastAsia="Arial" w:hAnsi="Arial"/>
                <w:sz w:val="18"/>
                <w:szCs w:val="18"/>
                <w:color w:val="auto"/>
              </w:rPr>
              <w:t>Employee Directors and Named Executive Officers:</w:t>
            </w:r>
          </w:p>
        </w:tc>
        <w:tc>
          <w:tcPr>
            <w:tcW w:w="2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Michael J. Hoffman</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1,710,866</w:t>
            </w:r>
          </w:p>
        </w:tc>
        <w:tc>
          <w:tcPr>
            <w:tcW w:w="8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137,395</w:t>
            </w:r>
          </w:p>
        </w:tc>
        <w:tc>
          <w:tcPr>
            <w:tcW w:w="1040" w:type="dxa"/>
            <w:vAlign w:val="bottom"/>
            <w:shd w:val="clear" w:color="auto" w:fill="D9D9D9"/>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ind w:right="14"/>
              <w:spacing w:after="0" w:line="202" w:lineRule="exact"/>
              <w:rPr>
                <w:sz w:val="20"/>
                <w:szCs w:val="20"/>
                <w:color w:val="auto"/>
              </w:rPr>
            </w:pPr>
            <w:r>
              <w:rPr>
                <w:rFonts w:ascii="Arial" w:cs="Arial" w:eastAsia="Arial" w:hAnsi="Arial"/>
                <w:sz w:val="18"/>
                <w:szCs w:val="18"/>
                <w:color w:val="auto"/>
              </w:rPr>
              <w:t>0</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Renee J. Peterson</w:t>
            </w:r>
          </w:p>
        </w:tc>
        <w:tc>
          <w:tcPr>
            <w:tcW w:w="2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155,264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503</w:t>
            </w:r>
          </w:p>
        </w:tc>
        <w:tc>
          <w:tcPr>
            <w:tcW w:w="104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400"/>
              <w:spacing w:after="0" w:line="202" w:lineRule="exact"/>
              <w:rPr>
                <w:sz w:val="20"/>
                <w:szCs w:val="20"/>
                <w:color w:val="auto"/>
              </w:rPr>
            </w:pPr>
            <w:r>
              <w:rPr>
                <w:rFonts w:ascii="Arial" w:cs="Arial" w:eastAsia="Arial" w:hAnsi="Arial"/>
                <w:sz w:val="18"/>
                <w:szCs w:val="18"/>
                <w:color w:val="auto"/>
              </w:rPr>
              <w:t>65,517</w:t>
            </w: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Richard M. Olson</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87,712</w:t>
            </w:r>
          </w:p>
        </w:tc>
        <w:tc>
          <w:tcPr>
            <w:tcW w:w="8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15,517</w:t>
            </w:r>
          </w:p>
        </w:tc>
        <w:tc>
          <w:tcPr>
            <w:tcW w:w="1040" w:type="dxa"/>
            <w:vAlign w:val="bottom"/>
            <w:shd w:val="clear" w:color="auto" w:fill="D9D9D9"/>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22,814</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William E. Brown, Jr.</w:t>
            </w:r>
          </w:p>
        </w:tc>
        <w:tc>
          <w:tcPr>
            <w:tcW w:w="2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167,266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104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w:t>
            </w:r>
          </w:p>
        </w:tc>
      </w:tr>
      <w:tr>
        <w:trPr>
          <w:trHeight w:val="203"/>
        </w:trPr>
        <w:tc>
          <w:tcPr>
            <w:tcW w:w="5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Timothy P. Dordell</w:t>
            </w:r>
          </w:p>
        </w:tc>
        <w:tc>
          <w:tcPr>
            <w:tcW w:w="222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233,466</w:t>
            </w:r>
          </w:p>
        </w:tc>
        <w:tc>
          <w:tcPr>
            <w:tcW w:w="8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c>
          <w:tcPr>
            <w:tcW w:w="1040" w:type="dxa"/>
            <w:vAlign w:val="bottom"/>
            <w:shd w:val="clear" w:color="auto" w:fill="D9D9D9"/>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ind w:left="400"/>
              <w:spacing w:after="0" w:line="202" w:lineRule="exact"/>
              <w:rPr>
                <w:sz w:val="20"/>
                <w:szCs w:val="20"/>
                <w:color w:val="auto"/>
              </w:rPr>
            </w:pPr>
            <w:r>
              <w:rPr>
                <w:rFonts w:ascii="Arial" w:cs="Arial" w:eastAsia="Arial" w:hAnsi="Arial"/>
                <w:sz w:val="18"/>
                <w:szCs w:val="18"/>
                <w:color w:val="auto"/>
              </w:rPr>
              <w:t>88,651</w:t>
            </w:r>
          </w:p>
        </w:tc>
      </w:tr>
      <w:tr>
        <w:trPr>
          <w:trHeight w:val="217"/>
        </w:trPr>
        <w:tc>
          <w:tcPr>
            <w:tcW w:w="5300" w:type="dxa"/>
            <w:vAlign w:val="bottom"/>
          </w:tcPr>
          <w:p>
            <w:pPr>
              <w:ind w:left="40"/>
              <w:spacing w:after="0"/>
              <w:rPr>
                <w:sz w:val="20"/>
                <w:szCs w:val="20"/>
                <w:color w:val="auto"/>
              </w:rPr>
            </w:pPr>
            <w:r>
              <w:rPr>
                <w:rFonts w:ascii="Arial" w:cs="Arial" w:eastAsia="Arial" w:hAnsi="Arial"/>
                <w:sz w:val="18"/>
                <w:szCs w:val="18"/>
                <w:color w:val="auto"/>
              </w:rPr>
              <w:t>All Directors and Executive Officers as a Group (24)</w:t>
            </w:r>
          </w:p>
        </w:tc>
        <w:tc>
          <w:tcPr>
            <w:tcW w:w="2220" w:type="dxa"/>
            <w:vAlign w:val="bottom"/>
          </w:tcPr>
          <w:p>
            <w:pPr>
              <w:jc w:val="right"/>
              <w:ind w:right="31"/>
              <w:spacing w:after="0"/>
              <w:rPr>
                <w:sz w:val="20"/>
                <w:szCs w:val="20"/>
                <w:color w:val="auto"/>
              </w:rPr>
            </w:pPr>
            <w:r>
              <w:rPr>
                <w:rFonts w:ascii="Arial" w:cs="Arial" w:eastAsia="Arial" w:hAnsi="Arial"/>
                <w:sz w:val="18"/>
                <w:szCs w:val="18"/>
                <w:color w:val="auto"/>
              </w:rPr>
              <w:t>3,332,884</w:t>
            </w:r>
          </w:p>
        </w:tc>
        <w:tc>
          <w:tcPr>
            <w:tcW w:w="880" w:type="dxa"/>
            <w:vAlign w:val="bottom"/>
          </w:tcPr>
          <w:p>
            <w:pPr>
              <w:jc w:val="right"/>
              <w:spacing w:after="0"/>
              <w:rPr>
                <w:sz w:val="20"/>
                <w:szCs w:val="20"/>
                <w:color w:val="auto"/>
              </w:rPr>
            </w:pPr>
            <w:r>
              <w:rPr>
                <w:rFonts w:ascii="Arial" w:cs="Arial" w:eastAsia="Arial" w:hAnsi="Arial"/>
                <w:sz w:val="18"/>
                <w:szCs w:val="18"/>
                <w:color w:val="auto"/>
              </w:rPr>
              <w:t>303,604</w:t>
            </w:r>
          </w:p>
        </w:tc>
        <w:tc>
          <w:tcPr>
            <w:tcW w:w="1040" w:type="dxa"/>
            <w:vAlign w:val="bottom"/>
          </w:tcPr>
          <w:p>
            <w:pPr>
              <w:jc w:val="right"/>
              <w:spacing w:after="0"/>
              <w:rPr>
                <w:sz w:val="20"/>
                <w:szCs w:val="20"/>
                <w:color w:val="auto"/>
              </w:rPr>
            </w:pPr>
            <w:r>
              <w:rPr>
                <w:rFonts w:ascii="Arial" w:cs="Arial" w:eastAsia="Arial" w:hAnsi="Arial"/>
                <w:sz w:val="18"/>
                <w:szCs w:val="18"/>
                <w:color w:val="auto"/>
              </w:rPr>
              <w:t>87,341</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340,971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6073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4" w:lineRule="exact"/>
        <w:rPr>
          <w:sz w:val="20"/>
          <w:szCs w:val="20"/>
          <w:color w:val="auto"/>
        </w:rPr>
      </w:pPr>
    </w:p>
    <w:p>
      <w:pPr>
        <w:ind w:left="460" w:hanging="452"/>
        <w:spacing w:after="0" w:line="23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36,912 shares for Mr. Buhrmaster, 21,930 shares for Ms. Cooper, 53,220 shares for Ms. Harless, 1,268 shares for Mr. Koch, 57,508 shares for Mr. Twomey, 253,182 shares for Mr. Hoffman, 299 shares for Mr. Dordell and 432,411 shares for all directors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her spouse with respect to the shares held in trust. Mr. Twomey has shared voting and investment power with respect to the shares held in trust. In addition, includes 4,770 shares for Mr. Twomey that are held by a family foundation and Mr. Twomey has shared voting and investment power with respect to the shares held by the family foundation.</w:t>
      </w:r>
    </w:p>
    <w:p>
      <w:pPr>
        <w:spacing w:after="0" w:line="235"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47,164 shares for Mr. Steinhafel, 54,302 shares for Mr. Brown and 106,373 shares for all directors and executive officers as a group. In addition, includes 40 shares for Mr. Hoffman that are held by his son and Mr. Hoffman’s spouse has shared voting and investment power for these shares.</w:t>
      </w:r>
    </w:p>
    <w:p>
      <w:pPr>
        <w:spacing w:after="0" w:line="228" w:lineRule="exact"/>
        <w:rPr>
          <w:rFonts w:ascii="Arial" w:cs="Arial" w:eastAsia="Arial" w:hAnsi="Arial"/>
          <w:sz w:val="18"/>
          <w:szCs w:val="18"/>
          <w:color w:val="auto"/>
        </w:rPr>
      </w:pPr>
    </w:p>
    <w:p>
      <w:pPr>
        <w:ind w:left="460" w:hanging="452"/>
        <w:spacing w:after="0" w:line="23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Securities Exchange Act of 1934, as amended, or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31, 2017,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Stock Ownership Guidelines</w:t>
      </w:r>
    </w:p>
    <w:p>
      <w:pPr>
        <w:spacing w:after="0" w:line="234"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31, 2017, each of our non-employee directors and executive officers who is required to meet a stock ownership guideline met such guideline.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shd w:val="clear" w:color="auto" w:fill="C00000"/>
          </w:tcPr>
          <w:p>
            <w:pPr>
              <w:spacing w:after="0"/>
              <w:rPr>
                <w:sz w:val="18"/>
                <w:szCs w:val="18"/>
                <w:color w:val="auto"/>
              </w:rPr>
            </w:pPr>
          </w:p>
        </w:tc>
        <w:tc>
          <w:tcPr>
            <w:tcW w:w="4180" w:type="dxa"/>
            <w:vAlign w:val="bottom"/>
            <w:shd w:val="clear" w:color="auto" w:fill="C00000"/>
          </w:tcPr>
          <w:p>
            <w:pPr>
              <w:ind w:left="760"/>
              <w:spacing w:after="0"/>
              <w:rPr>
                <w:sz w:val="20"/>
                <w:szCs w:val="20"/>
                <w:color w:val="auto"/>
              </w:rPr>
            </w:pPr>
            <w:r>
              <w:rPr>
                <w:rFonts w:ascii="Arial" w:cs="Arial" w:eastAsia="Arial" w:hAnsi="Arial"/>
                <w:sz w:val="14"/>
                <w:szCs w:val="14"/>
                <w:b w:val="1"/>
                <w:bCs w:val="1"/>
                <w:color w:val="FFFFFF"/>
              </w:rPr>
              <w:t>Stock Ownership Guidelines by Position</w:t>
            </w:r>
          </w:p>
        </w:tc>
        <w:tc>
          <w:tcPr>
            <w:tcW w:w="3660" w:type="dxa"/>
            <w:vAlign w:val="bottom"/>
            <w:shd w:val="clear" w:color="auto" w:fill="C00000"/>
          </w:tcPr>
          <w:p>
            <w:pPr>
              <w:spacing w:after="0"/>
              <w:rPr>
                <w:sz w:val="18"/>
                <w:szCs w:val="18"/>
                <w:color w:val="auto"/>
              </w:rPr>
            </w:pPr>
          </w:p>
        </w:tc>
      </w:tr>
      <w:tr>
        <w:trPr>
          <w:trHeight w:val="296"/>
        </w:trPr>
        <w:tc>
          <w:tcPr>
            <w:tcW w:w="3580" w:type="dxa"/>
            <w:vAlign w:val="bottom"/>
            <w:shd w:val="clear" w:color="auto" w:fill="C00000"/>
          </w:tcPr>
          <w:p>
            <w:pPr>
              <w:jc w:val="center"/>
              <w:ind w:left="19"/>
              <w:spacing w:after="0"/>
              <w:rPr>
                <w:sz w:val="20"/>
                <w:szCs w:val="20"/>
                <w:color w:val="auto"/>
              </w:rPr>
            </w:pPr>
            <w:r>
              <w:rPr>
                <w:rFonts w:ascii="Arial" w:cs="Arial" w:eastAsia="Arial" w:hAnsi="Arial"/>
                <w:sz w:val="14"/>
                <w:szCs w:val="14"/>
                <w:b w:val="1"/>
                <w:bCs w:val="1"/>
                <w:color w:val="FFFFFF"/>
              </w:rPr>
              <w:t>Non-Employee Directors</w:t>
            </w:r>
          </w:p>
        </w:tc>
        <w:tc>
          <w:tcPr>
            <w:tcW w:w="4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Chairman and CEO</w:t>
            </w:r>
          </w:p>
        </w:tc>
        <w:tc>
          <w:tcPr>
            <w:tcW w:w="3660" w:type="dxa"/>
            <w:vAlign w:val="bottom"/>
            <w:shd w:val="clear" w:color="auto" w:fill="C00000"/>
          </w:tcPr>
          <w:p>
            <w:pPr>
              <w:jc w:val="center"/>
              <w:ind w:right="19"/>
              <w:spacing w:after="0"/>
              <w:rPr>
                <w:sz w:val="20"/>
                <w:szCs w:val="20"/>
                <w:color w:val="auto"/>
              </w:rPr>
            </w:pPr>
            <w:r>
              <w:rPr>
                <w:rFonts w:ascii="Arial" w:cs="Arial" w:eastAsia="Arial" w:hAnsi="Arial"/>
                <w:sz w:val="14"/>
                <w:szCs w:val="14"/>
                <w:b w:val="1"/>
                <w:bCs w:val="1"/>
                <w:color w:val="FFFFFF"/>
              </w:rPr>
              <w:t>Other Executive Officers</w:t>
            </w:r>
          </w:p>
        </w:tc>
      </w:tr>
      <w:tr>
        <w:trPr>
          <w:trHeight w:val="217"/>
        </w:trPr>
        <w:tc>
          <w:tcPr>
            <w:tcW w:w="3580" w:type="dxa"/>
            <w:vAlign w:val="bottom"/>
          </w:tcPr>
          <w:p>
            <w:pPr>
              <w:jc w:val="center"/>
              <w:ind w:left="19"/>
              <w:spacing w:after="0"/>
              <w:rPr>
                <w:sz w:val="20"/>
                <w:szCs w:val="20"/>
                <w:color w:val="auto"/>
              </w:rPr>
            </w:pPr>
            <w:r>
              <w:rPr>
                <w:rFonts w:ascii="Arial" w:cs="Arial" w:eastAsia="Arial" w:hAnsi="Arial"/>
                <w:sz w:val="18"/>
                <w:szCs w:val="18"/>
                <w:color w:val="auto"/>
              </w:rPr>
              <w:t>5x annual board retainer</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5x annual base salary</w:t>
            </w:r>
          </w:p>
        </w:tc>
        <w:tc>
          <w:tcPr>
            <w:tcW w:w="3660" w:type="dxa"/>
            <w:vAlign w:val="bottom"/>
          </w:tcPr>
          <w:p>
            <w:pPr>
              <w:jc w:val="center"/>
              <w:ind w:right="19"/>
              <w:spacing w:after="0"/>
              <w:rPr>
                <w:sz w:val="20"/>
                <w:szCs w:val="20"/>
                <w:color w:val="auto"/>
              </w:rPr>
            </w:pPr>
            <w:r>
              <w:rPr>
                <w:rFonts w:ascii="Arial" w:cs="Arial" w:eastAsia="Arial" w:hAnsi="Arial"/>
                <w:sz w:val="18"/>
                <w:szCs w:val="18"/>
                <w:color w:val="auto"/>
                <w:w w:val="99"/>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-342900</wp:posOffset>
            </wp:positionV>
            <wp:extent cx="1757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Section 16(a) Beneficial Ownership Reporting Compliance</w:t>
      </w:r>
    </w:p>
    <w:p>
      <w:pPr>
        <w:spacing w:after="0" w:line="234"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2016, or fiscal 2016, except that one Form 4 reporting the vesting of restricted stock unit awards on December 5, 2015 and December 6, 2015 for Amy E. Dahl was not filed on a timely basis due to administrative error. Such vestings were subsequently disclosed in a Form 4 filed on December 9, 2015, one day after such Form 4 should have been filed.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PROPOSAL ONE—ELECTION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Number of Directors; Board Structure</w:t>
      </w:r>
    </w:p>
    <w:p>
      <w:pPr>
        <w:spacing w:after="0" w:line="234"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eleven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Current Term Ending at 2017</w:t>
            </w:r>
          </w:p>
        </w:tc>
        <w:tc>
          <w:tcPr>
            <w:tcW w:w="3880" w:type="dxa"/>
            <w:vAlign w:val="bottom"/>
            <w:shd w:val="clear" w:color="auto" w:fill="C00000"/>
          </w:tcPr>
          <w:p>
            <w:pPr>
              <w:jc w:val="center"/>
              <w:ind w:left="37"/>
              <w:spacing w:after="0"/>
              <w:rPr>
                <w:sz w:val="20"/>
                <w:szCs w:val="20"/>
                <w:color w:val="auto"/>
              </w:rPr>
            </w:pPr>
            <w:r>
              <w:rPr>
                <w:rFonts w:ascii="Arial" w:cs="Arial" w:eastAsia="Arial" w:hAnsi="Arial"/>
                <w:sz w:val="14"/>
                <w:szCs w:val="14"/>
                <w:b w:val="1"/>
                <w:bCs w:val="1"/>
                <w:color w:val="FFFFFF"/>
              </w:rPr>
              <w:t>Current Term Ending at 2018</w:t>
            </w:r>
          </w:p>
        </w:tc>
        <w:tc>
          <w:tcPr>
            <w:tcW w:w="3760" w:type="dxa"/>
            <w:vAlign w:val="bottom"/>
            <w:shd w:val="clear" w:color="auto" w:fill="C00000"/>
          </w:tcPr>
          <w:p>
            <w:pPr>
              <w:jc w:val="center"/>
              <w:ind w:left="36"/>
              <w:spacing w:after="0"/>
              <w:rPr>
                <w:sz w:val="20"/>
                <w:szCs w:val="20"/>
                <w:color w:val="auto"/>
              </w:rPr>
            </w:pPr>
            <w:r>
              <w:rPr>
                <w:rFonts w:ascii="Arial" w:cs="Arial" w:eastAsia="Arial" w:hAnsi="Arial"/>
                <w:sz w:val="14"/>
                <w:szCs w:val="14"/>
                <w:b w:val="1"/>
                <w:bCs w:val="1"/>
                <w:color w:val="FFFFFF"/>
              </w:rPr>
              <w:t>Current Term Ending at 2019</w:t>
            </w:r>
          </w:p>
        </w:tc>
      </w:tr>
      <w:tr>
        <w:trPr>
          <w:trHeight w:val="209"/>
        </w:trPr>
        <w:tc>
          <w:tcPr>
            <w:tcW w:w="378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4"/>
                <w:szCs w:val="14"/>
                <w:b w:val="1"/>
                <w:bCs w:val="1"/>
                <w:color w:val="FFFFFF"/>
              </w:rPr>
              <w:t>Annual Meeting</w:t>
            </w:r>
          </w:p>
        </w:tc>
        <w:tc>
          <w:tcPr>
            <w:tcW w:w="3880" w:type="dxa"/>
            <w:vAlign w:val="bottom"/>
            <w:tcBorders>
              <w:bottom w:val="single" w:sz="8" w:color="C00000"/>
            </w:tcBorders>
            <w:shd w:val="clear" w:color="auto" w:fill="C00000"/>
          </w:tcPr>
          <w:p>
            <w:pPr>
              <w:jc w:val="center"/>
              <w:ind w:left="37"/>
              <w:spacing w:after="0"/>
              <w:rPr>
                <w:sz w:val="20"/>
                <w:szCs w:val="20"/>
                <w:color w:val="auto"/>
              </w:rPr>
            </w:pPr>
            <w:r>
              <w:rPr>
                <w:rFonts w:ascii="Arial" w:cs="Arial" w:eastAsia="Arial" w:hAnsi="Arial"/>
                <w:sz w:val="14"/>
                <w:szCs w:val="14"/>
                <w:b w:val="1"/>
                <w:bCs w:val="1"/>
                <w:color w:val="FFFFFF"/>
              </w:rPr>
              <w:t>Annual Meeting</w:t>
            </w:r>
          </w:p>
        </w:tc>
        <w:tc>
          <w:tcPr>
            <w:tcW w:w="3760" w:type="dxa"/>
            <w:vAlign w:val="bottom"/>
            <w:tcBorders>
              <w:bottom w:val="single" w:sz="8" w:color="C00000"/>
            </w:tcBorders>
            <w:shd w:val="clear" w:color="auto" w:fill="C00000"/>
          </w:tcPr>
          <w:p>
            <w:pPr>
              <w:jc w:val="center"/>
              <w:ind w:left="36"/>
              <w:spacing w:after="0"/>
              <w:rPr>
                <w:sz w:val="20"/>
                <w:szCs w:val="20"/>
                <w:color w:val="auto"/>
              </w:rPr>
            </w:pPr>
            <w:r>
              <w:rPr>
                <w:rFonts w:ascii="Arial" w:cs="Arial" w:eastAsia="Arial" w:hAnsi="Arial"/>
                <w:sz w:val="14"/>
                <w:szCs w:val="14"/>
                <w:b w:val="1"/>
                <w:bCs w:val="1"/>
                <w:color w:val="FFFFFF"/>
              </w:rPr>
              <w:t>Annual Meeting</w:t>
            </w:r>
          </w:p>
        </w:tc>
      </w:tr>
      <w:tr>
        <w:trPr>
          <w:trHeight w:val="202"/>
        </w:trPr>
        <w:tc>
          <w:tcPr>
            <w:tcW w:w="378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Jeffrey M. Ettinger</w:t>
            </w:r>
          </w:p>
        </w:tc>
        <w:tc>
          <w:tcPr>
            <w:tcW w:w="3880" w:type="dxa"/>
            <w:vAlign w:val="bottom"/>
          </w:tcPr>
          <w:p>
            <w:pPr>
              <w:jc w:val="center"/>
              <w:ind w:left="37"/>
              <w:spacing w:after="0" w:line="201" w:lineRule="exact"/>
              <w:rPr>
                <w:sz w:val="20"/>
                <w:szCs w:val="20"/>
                <w:color w:val="auto"/>
              </w:rPr>
            </w:pPr>
            <w:r>
              <w:rPr>
                <w:rFonts w:ascii="Arial" w:cs="Arial" w:eastAsia="Arial" w:hAnsi="Arial"/>
                <w:sz w:val="18"/>
                <w:szCs w:val="18"/>
                <w:color w:val="auto"/>
              </w:rPr>
              <w:t>Janet C. Cooper</w:t>
            </w:r>
          </w:p>
        </w:tc>
        <w:tc>
          <w:tcPr>
            <w:tcW w:w="3760" w:type="dxa"/>
            <w:vAlign w:val="bottom"/>
            <w:shd w:val="clear" w:color="auto" w:fill="D9D9D9"/>
          </w:tcPr>
          <w:p>
            <w:pPr>
              <w:jc w:val="center"/>
              <w:ind w:left="36"/>
              <w:spacing w:after="0" w:line="201" w:lineRule="exact"/>
              <w:rPr>
                <w:sz w:val="20"/>
                <w:szCs w:val="20"/>
                <w:color w:val="auto"/>
              </w:rPr>
            </w:pPr>
            <w:r>
              <w:rPr>
                <w:rFonts w:ascii="Arial" w:cs="Arial" w:eastAsia="Arial" w:hAnsi="Arial"/>
                <w:sz w:val="18"/>
                <w:szCs w:val="18"/>
                <w:color w:val="auto"/>
              </w:rPr>
              <w:t>Robert C. Buhrmaster</w:t>
            </w:r>
          </w:p>
        </w:tc>
      </w:tr>
      <w:tr>
        <w:trPr>
          <w:trHeight w:val="203"/>
        </w:trPr>
        <w:tc>
          <w:tcPr>
            <w:tcW w:w="37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Katherine J. Harless</w:t>
            </w:r>
          </w:p>
        </w:tc>
        <w:tc>
          <w:tcPr>
            <w:tcW w:w="388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8"/>
              </w:rPr>
              <w:t>Gary L. Ellis</w:t>
            </w:r>
          </w:p>
        </w:tc>
        <w:tc>
          <w:tcPr>
            <w:tcW w:w="3760" w:type="dxa"/>
            <w:vAlign w:val="bottom"/>
            <w:shd w:val="clear" w:color="auto" w:fill="D9D9D9"/>
          </w:tcPr>
          <w:p>
            <w:pPr>
              <w:jc w:val="center"/>
              <w:ind w:left="36"/>
              <w:spacing w:after="0" w:line="202" w:lineRule="exact"/>
              <w:rPr>
                <w:sz w:val="20"/>
                <w:szCs w:val="20"/>
                <w:color w:val="auto"/>
              </w:rPr>
            </w:pPr>
            <w:r>
              <w:rPr>
                <w:rFonts w:ascii="Arial" w:cs="Arial" w:eastAsia="Arial" w:hAnsi="Arial"/>
                <w:sz w:val="18"/>
                <w:szCs w:val="18"/>
                <w:color w:val="auto"/>
              </w:rPr>
              <w:t>Richard M. Olson</w:t>
            </w:r>
          </w:p>
        </w:tc>
      </w:tr>
      <w:tr>
        <w:trPr>
          <w:trHeight w:val="203"/>
        </w:trPr>
        <w:tc>
          <w:tcPr>
            <w:tcW w:w="37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Michael J. Hoffman</w:t>
            </w:r>
          </w:p>
        </w:tc>
        <w:tc>
          <w:tcPr>
            <w:tcW w:w="388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8"/>
              </w:rPr>
              <w:t>Gregg W. Steinhafel</w:t>
            </w:r>
          </w:p>
        </w:tc>
        <w:tc>
          <w:tcPr>
            <w:tcW w:w="3760" w:type="dxa"/>
            <w:vAlign w:val="bottom"/>
            <w:shd w:val="clear" w:color="auto" w:fill="D9D9D9"/>
          </w:tcPr>
          <w:p>
            <w:pPr>
              <w:jc w:val="center"/>
              <w:ind w:left="36"/>
              <w:spacing w:after="0" w:line="202" w:lineRule="exact"/>
              <w:rPr>
                <w:sz w:val="20"/>
                <w:szCs w:val="20"/>
                <w:color w:val="auto"/>
              </w:rPr>
            </w:pPr>
            <w:r>
              <w:rPr>
                <w:rFonts w:ascii="Arial" w:cs="Arial" w:eastAsia="Arial" w:hAnsi="Arial"/>
                <w:sz w:val="18"/>
                <w:szCs w:val="18"/>
                <w:color w:val="auto"/>
                <w:w w:val="99"/>
              </w:rPr>
              <w:t>James C. O’Rourke</w:t>
            </w:r>
          </w:p>
        </w:tc>
      </w:tr>
      <w:tr>
        <w:trPr>
          <w:trHeight w:val="203"/>
        </w:trPr>
        <w:tc>
          <w:tcPr>
            <w:tcW w:w="378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w w:val="99"/>
              </w:rPr>
              <w:t>D. Christian Koch</w:t>
            </w:r>
          </w:p>
        </w:tc>
        <w:tc>
          <w:tcPr>
            <w:tcW w:w="3880" w:type="dxa"/>
            <w:vAlign w:val="bottom"/>
          </w:tcPr>
          <w:p>
            <w:pPr>
              <w:spacing w:after="0"/>
              <w:rPr>
                <w:sz w:val="17"/>
                <w:szCs w:val="17"/>
                <w:color w:val="auto"/>
              </w:rPr>
            </w:pPr>
          </w:p>
        </w:tc>
        <w:tc>
          <w:tcPr>
            <w:tcW w:w="3760" w:type="dxa"/>
            <w:vAlign w:val="bottom"/>
            <w:shd w:val="clear" w:color="auto" w:fill="D9D9D9"/>
          </w:tcPr>
          <w:p>
            <w:pPr>
              <w:jc w:val="center"/>
              <w:ind w:left="36"/>
              <w:spacing w:after="0" w:line="203" w:lineRule="exact"/>
              <w:rPr>
                <w:sz w:val="20"/>
                <w:szCs w:val="20"/>
                <w:color w:val="auto"/>
              </w:rPr>
            </w:pPr>
            <w:r>
              <w:rPr>
                <w:rFonts w:ascii="Arial" w:cs="Arial" w:eastAsia="Arial" w:hAnsi="Arial"/>
                <w:sz w:val="18"/>
                <w:szCs w:val="18"/>
                <w:color w:val="auto"/>
                <w:w w:val="99"/>
              </w:rPr>
              <w:t>Christopher A. Twomey</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Nominees for Director</w:t>
      </w:r>
    </w:p>
    <w:p>
      <w:pPr>
        <w:spacing w:after="0" w:line="23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Board has nominated each of Jeffrey M. Ettinger, Katherine J. Harless, Michael J. Hoffman and D. Christian Koch for election to the Board to serve for a three-year term ending at the 2020 Annual Meeting of Shareholders. Each of these nominees is a current member of the Board and has consented to serve if elected. Proxies only can be voted for the number of persons named as nominees in this proxy statement, which is four.</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222" w:lineRule="exact"/>
        <w:rPr>
          <w:sz w:val="20"/>
          <w:szCs w:val="20"/>
          <w:color w:val="auto"/>
        </w:rPr>
      </w:pPr>
    </w:p>
    <w:p>
      <w:pPr>
        <w:ind w:left="700"/>
        <w:spacing w:after="0" w:line="207" w:lineRule="exact"/>
        <w:tabs>
          <w:tab w:leader="none" w:pos="10960" w:val="left"/>
        </w:tabs>
        <w:rPr>
          <w:sz w:val="20"/>
          <w:szCs w:val="20"/>
          <w:color w:val="auto"/>
        </w:rPr>
      </w:pPr>
      <w:r>
        <w:rPr>
          <w:rFonts w:ascii="Arial" w:cs="Arial" w:eastAsia="Arial" w:hAnsi="Arial"/>
          <w:sz w:val="18"/>
          <w:szCs w:val="18"/>
          <w:b w:val="1"/>
          <w:bCs w:val="1"/>
          <w:color w:val="FFFFFF"/>
        </w:rPr>
        <w:t>The Board of Directors Recommends a Vote FOR Each Nominee for Director</w:t>
      </w:r>
      <w:r>
        <w:rPr>
          <w:sz w:val="20"/>
          <w:szCs w:val="20"/>
          <w:color w:val="auto"/>
        </w:rPr>
        <w:tab/>
      </w:r>
      <w:r>
        <w:rPr>
          <w:rFonts w:ascii="MS PGothic" w:cs="MS PGothic" w:eastAsia="MS PGothic" w:hAnsi="MS PGothic"/>
          <w:sz w:val="19"/>
          <w:szCs w:val="19"/>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About Board Nominees and Continuing Directors</w:t>
      </w:r>
    </w:p>
    <w:p>
      <w:pPr>
        <w:spacing w:after="0" w:line="234"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The following pages provide information about each nominee for election to the Board at the annual meeting and each other member of the Board. We believe that all of our director nominees and continuing directors display:</w:t>
      </w:r>
    </w:p>
    <w:p>
      <w:pPr>
        <w:spacing w:after="0" w:line="22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levels of education and business experience;</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business acumen;</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appropriate level of understanding of our business, industry and other industries relevant to our business;</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to devote adequate time to the work of our Board and its committees;</w:t>
      </w:r>
    </w:p>
    <w:p>
      <w:pPr>
        <w:spacing w:after="0" w:line="238" w:lineRule="exact"/>
        <w:rPr>
          <w:rFonts w:ascii="Arial" w:cs="Arial" w:eastAsia="Arial" w:hAnsi="Arial"/>
          <w:sz w:val="18"/>
          <w:szCs w:val="18"/>
          <w:color w:val="auto"/>
        </w:rPr>
      </w:pPr>
    </w:p>
    <w:p>
      <w:pPr>
        <w:ind w:left="780" w:right="160" w:hanging="326"/>
        <w:spacing w:after="0" w:line="24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thinking and a willingness to share ideas;</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diversity of experiences, expertise and background;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represent the interests of all of our shareholders.</w:t>
      </w:r>
    </w:p>
    <w:p>
      <w:pPr>
        <w:spacing w:after="0" w:line="212"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The information presented below regarding each director nominee or continuing director also sets forth specific experience, qualifications, attributes and skills that led our Board to conclude that he or she should serve as a director in light of our business and structure.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C00000"/>
        </w:rPr>
        <w:t>Nominees for Election to the Board—Current Term Ending at the 2017 Annual Meeting.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-1530985</wp:posOffset>
            </wp:positionV>
            <wp:extent cx="2392680" cy="1560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2680" cy="156083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80" w:hanging="172"/>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Jeffrey M. Ettinger is the non-executive Chairman of the Board of Hormel Foods Corporation, Austin, Minnesota (a multinational manufacturer and marketer of consumer-branded food and meat products), a position he has held since October 31, 2016. Mr. Ettinger served as Chairman of the Board and Chief Executive Officer of Hormel Foods from January 2006 until his retirement in October 2016. Previously he also served as President of Hormel Foods from 2004 until October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as an experienced public company director and former executive of a public company, he contributes knowledge of public company requirements and issues, including those related to corporate governance and executive compensation matters.</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-1522730</wp:posOffset>
            </wp:positionV>
            <wp:extent cx="2392680" cy="1551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92680" cy="155194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w:t>
      </w:r>
    </w:p>
    <w:p>
      <w:pPr>
        <w:ind w:left="180" w:hanging="172"/>
        <w:spacing w:after="0"/>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20" w:type="dxa"/>
            <w:vAlign w:val="bottom"/>
            <w:tcBorders>
              <w:top w:val="single" w:sz="8" w:color="C00000"/>
            </w:tcBorders>
          </w:tcPr>
          <w:p>
            <w:pPr>
              <w:jc w:val="center"/>
              <w:ind w:right="270"/>
              <w:spacing w:after="0"/>
              <w:rPr>
                <w:sz w:val="20"/>
                <w:szCs w:val="20"/>
                <w:color w:val="auto"/>
              </w:rPr>
            </w:pPr>
            <w:r>
              <w:rPr>
                <w:rFonts w:ascii="Arial" w:cs="Arial" w:eastAsia="Arial" w:hAnsi="Arial"/>
                <w:sz w:val="18"/>
                <w:szCs w:val="18"/>
                <w:b w:val="1"/>
                <w:bCs w:val="1"/>
                <w:color w:val="auto"/>
              </w:rPr>
              <w:t>Current</w:t>
            </w:r>
          </w:p>
        </w:tc>
        <w:tc>
          <w:tcPr>
            <w:tcW w:w="3500" w:type="dxa"/>
            <w:vAlign w:val="bottom"/>
            <w:tcBorders>
              <w:top w:val="single" w:sz="8" w:color="C00000"/>
            </w:tcBorders>
          </w:tcPr>
          <w:p>
            <w:pPr>
              <w:jc w:val="center"/>
              <w:ind w:right="15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402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 Hormel Foods Corporation</w:t>
            </w:r>
          </w:p>
        </w:tc>
        <w:tc>
          <w:tcPr>
            <w:tcW w:w="3500" w:type="dxa"/>
            <w:vAlign w:val="bottom"/>
          </w:tcPr>
          <w:p>
            <w:pPr>
              <w:jc w:val="center"/>
              <w:ind w:right="170"/>
              <w:spacing w:after="0" w:line="202" w:lineRule="exact"/>
              <w:rPr>
                <w:sz w:val="20"/>
                <w:szCs w:val="20"/>
                <w:color w:val="auto"/>
              </w:rPr>
            </w:pPr>
            <w:r>
              <w:rPr>
                <w:rFonts w:ascii="Arial" w:cs="Arial" w:eastAsia="Arial" w:hAnsi="Arial"/>
                <w:sz w:val="18"/>
                <w:szCs w:val="18"/>
                <w:color w:val="auto"/>
              </w:rPr>
              <w:t>None</w:t>
            </w:r>
          </w:p>
        </w:tc>
      </w:tr>
      <w:tr>
        <w:trPr>
          <w:trHeight w:val="217"/>
        </w:trPr>
        <w:tc>
          <w:tcPr>
            <w:tcW w:w="4020" w:type="dxa"/>
            <w:vAlign w:val="bottom"/>
          </w:tcPr>
          <w:p>
            <w:pPr>
              <w:jc w:val="center"/>
              <w:ind w:right="290"/>
              <w:spacing w:after="0"/>
              <w:rPr>
                <w:sz w:val="20"/>
                <w:szCs w:val="20"/>
                <w:color w:val="auto"/>
              </w:rPr>
            </w:pPr>
            <w:r>
              <w:rPr>
                <w:rFonts w:ascii="Arial" w:cs="Arial" w:eastAsia="Arial" w:hAnsi="Arial"/>
                <w:sz w:val="18"/>
                <w:szCs w:val="18"/>
                <w:color w:val="auto"/>
                <w:w w:val="99"/>
              </w:rPr>
              <w:t>• Ecolab Inc.</w:t>
            </w:r>
          </w:p>
        </w:tc>
        <w:tc>
          <w:tcPr>
            <w:tcW w:w="3500" w:type="dxa"/>
            <w:vAlign w:val="bottom"/>
          </w:tcPr>
          <w:p>
            <w:pPr>
              <w:spacing w:after="0"/>
              <w:rPr>
                <w:sz w:val="18"/>
                <w:szCs w:val="18"/>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Katherine J. Harless was the President and Chief Executive Officer of Idearc Inc., Dallas/Fort Worth, Texas (a provider of sales, publishing and related services including Verizon Yellow Pages and SuperPages.com), from November 2006 until her retirement in February 2008. She previously served as President of Verizon Information Services Inc. from 2000 to November 2006, when it was spun off by Verizon Communications, Inc. to become Idearc, and was a director of Idearc from November 2006 to May 2008. On December 31, 2009, Idearc emerged from voluntary Chapter 11 bankruptcy proceedings that it filed in the United States Bankruptcy Court for the Northern District of Texas, Dallas Division, on March 31, 2009, which was after Ms. Harless retired from Idearc. Ms. Harless is a director of the North Texas Chapter of the National Association of Corporate Directors (“NACD”) and is an NACD Board Leadership Fellow.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Ms. Harless brings to our Board executive leadership experience, management skills and knowledge of financial, executive compensation, corporate governance and issues applicable to public companies. Ms. Harless provides a seasoned business perspective and provides valuable business, leadership and management insights with respect to our strategic direction.</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3900" w:type="dxa"/>
        <w:tblCellMar>
          <w:top w:w="0" w:type="dxa"/>
          <w:left w:w="0" w:type="dxa"/>
          <w:bottom w:w="0" w:type="dxa"/>
          <w:right w:w="0" w:type="dxa"/>
        </w:tblCellMar>
      </w:tblPr>
      <w:tr>
        <w:trPr>
          <w:trHeight w:val="209"/>
        </w:trPr>
        <w:tc>
          <w:tcPr>
            <w:tcW w:w="364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rPr>
              <w:t>Current</w:t>
            </w:r>
          </w:p>
        </w:tc>
        <w:tc>
          <w:tcPr>
            <w:tcW w:w="3880" w:type="dxa"/>
            <w:vAlign w:val="bottom"/>
            <w:tcBorders>
              <w:top w:val="single" w:sz="8" w:color="C00000"/>
            </w:tcBorders>
          </w:tcPr>
          <w:p>
            <w:pPr>
              <w:jc w:val="center"/>
              <w:ind w:left="5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64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3880" w:type="dxa"/>
            <w:vAlign w:val="bottom"/>
          </w:tcPr>
          <w:p>
            <w:pPr>
              <w:jc w:val="center"/>
              <w:ind w:left="30"/>
              <w:spacing w:after="0"/>
              <w:rPr>
                <w:sz w:val="20"/>
                <w:szCs w:val="20"/>
                <w:color w:val="auto"/>
              </w:rPr>
            </w:pPr>
            <w:r>
              <w:rPr>
                <w:rFonts w:ascii="Arial" w:cs="Arial" w:eastAsia="Arial" w:hAnsi="Arial"/>
                <w:sz w:val="18"/>
                <w:szCs w:val="18"/>
                <w:color w:val="auto"/>
              </w:rPr>
              <w:t>None</w:t>
            </w:r>
          </w:p>
        </w:tc>
      </w:tr>
      <w:tr>
        <w:trPr>
          <w:trHeight w:val="365"/>
        </w:trPr>
        <w:tc>
          <w:tcPr>
            <w:tcW w:w="36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3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15060" cy="1397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506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926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Committees</w:t>
      </w:r>
    </w:p>
    <w:p>
      <w:pPr>
        <w:ind w:left="1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1115060" cy="1406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506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926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right="1220"/>
        <w:spacing w:after="0" w:line="251" w:lineRule="auto"/>
        <w:rPr>
          <w:sz w:val="20"/>
          <w:szCs w:val="20"/>
          <w:color w:val="auto"/>
        </w:rPr>
      </w:pPr>
      <w:r>
        <w:rPr>
          <w:rFonts w:ascii="Arial" w:cs="Arial" w:eastAsia="Arial" w:hAnsi="Arial"/>
          <w:sz w:val="18"/>
          <w:szCs w:val="18"/>
          <w:color w:val="auto"/>
        </w:rPr>
        <w:t>Director since April 2016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3926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w:t>
      </w: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-656590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Michael J. Hoffman is our Chairman of the Board, a position he has held since March 2006. He previously served as our Chief Executive Officer from March 2005 through October 2016, and also served as President from October 2004 through August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his more than 39 years with our Company, Mr. Hoffman has developed and brings to our Board leadership experience and extensive knowledge of all aspects of our Company, business, industry, markets and operations. As a result of his former dual role as Chairman and CEO, Mr. Hoffman provides invaluable insight into our Company’s future strategies, opportunities and challenges, including those related to innovation, manufacturing and marketing. In addition, as our executive Chairman, Mr. Hoffman serves as a unifying element between the leadership and strategic direction provided by our Board and the implementation of our business strategies by Management. Mr. Hoffman is also an experienced public company director, having served on the boards of each of our Company and Donaldson Company, Inc.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Borders>
              <w:top w:val="single" w:sz="8" w:color="C00000"/>
            </w:tcBorders>
          </w:tcPr>
          <w:p>
            <w:pPr>
              <w:jc w:val="center"/>
              <w:ind w:right="230"/>
              <w:spacing w:after="0"/>
              <w:rPr>
                <w:sz w:val="20"/>
                <w:szCs w:val="20"/>
                <w:color w:val="auto"/>
              </w:rPr>
            </w:pPr>
            <w:r>
              <w:rPr>
                <w:rFonts w:ascii="Arial" w:cs="Arial" w:eastAsia="Arial" w:hAnsi="Arial"/>
                <w:sz w:val="18"/>
                <w:szCs w:val="18"/>
                <w:b w:val="1"/>
                <w:bCs w:val="1"/>
                <w:color w:val="auto"/>
              </w:rPr>
              <w:t>Current</w:t>
            </w:r>
          </w:p>
        </w:tc>
        <w:tc>
          <w:tcPr>
            <w:tcW w:w="3540" w:type="dxa"/>
            <w:vAlign w:val="bottom"/>
            <w:tcBorders>
              <w:top w:val="single" w:sz="8" w:color="C00000"/>
            </w:tcBorders>
          </w:tcPr>
          <w:p>
            <w:pPr>
              <w:jc w:val="center"/>
              <w:ind w:right="11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980" w:type="dxa"/>
            <w:vAlign w:val="bottom"/>
          </w:tcPr>
          <w:p>
            <w:pPr>
              <w:jc w:val="center"/>
              <w:ind w:right="230"/>
              <w:spacing w:after="0"/>
              <w:rPr>
                <w:sz w:val="20"/>
                <w:szCs w:val="20"/>
                <w:color w:val="auto"/>
              </w:rPr>
            </w:pPr>
            <w:r>
              <w:rPr>
                <w:rFonts w:ascii="Arial" w:cs="Arial" w:eastAsia="Arial" w:hAnsi="Arial"/>
                <w:sz w:val="18"/>
                <w:szCs w:val="18"/>
                <w:color w:val="auto"/>
                <w:w w:val="99"/>
              </w:rPr>
              <w:t>Donaldson Company, Inc.</w:t>
            </w:r>
          </w:p>
        </w:tc>
        <w:tc>
          <w:tcPr>
            <w:tcW w:w="3540" w:type="dxa"/>
            <w:vAlign w:val="bottom"/>
          </w:tcPr>
          <w:p>
            <w:pPr>
              <w:jc w:val="center"/>
              <w:ind w:right="130"/>
              <w:spacing w:after="0"/>
              <w:rPr>
                <w:sz w:val="20"/>
                <w:szCs w:val="20"/>
                <w:color w:val="auto"/>
              </w:rPr>
            </w:pPr>
            <w:r>
              <w:rPr>
                <w:rFonts w:ascii="Arial" w:cs="Arial" w:eastAsia="Arial" w:hAnsi="Arial"/>
                <w:sz w:val="18"/>
                <w:szCs w:val="18"/>
                <w:color w:val="auto"/>
              </w:rPr>
              <w:t>None</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 Christian Koch is the President and Chief Executive Officer of Carlisle Companies Incorporated, Scottsdale, Arizona (a diversified manufacturing company that manufactures and distributes a broad range of products), a position he has held since January 2016. Previously, he served in a variety of positions with Carlisle, including as President and Chief Operating Officer from May 2014 to January 2016; Group President, Carlisle Diversified Products from June 2012 to May 2014; President, Carlisle Brake &amp; Friction from January 2009 to June 2012; and President, Carlisle Asia-Pacific from February 2008 to January 2009. Prior to his employment at Carlisle, Mr. Koch held a variety of senior management positions at each of Graco Inc. and H.B. Fuller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Koch brings to our Board his experience as a seasoned executive with strong business acumen and significant experience managing manufacturing and sales operations around the world as well as with mergers and acquisitions. In addition, as a public company director and executive, Mr. Koch contributes a solid understanding of financial oversight requirements and strategic planning.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40" w:type="dxa"/>
            <w:vAlign w:val="bottom"/>
            <w:tcBorders>
              <w:top w:val="single" w:sz="8" w:color="C00000"/>
            </w:tcBorders>
          </w:tcPr>
          <w:p>
            <w:pPr>
              <w:jc w:val="center"/>
              <w:ind w:right="190"/>
              <w:spacing w:after="0"/>
              <w:rPr>
                <w:sz w:val="20"/>
                <w:szCs w:val="20"/>
                <w:color w:val="auto"/>
              </w:rPr>
            </w:pPr>
            <w:r>
              <w:rPr>
                <w:rFonts w:ascii="Arial" w:cs="Arial" w:eastAsia="Arial" w:hAnsi="Arial"/>
                <w:sz w:val="18"/>
                <w:szCs w:val="18"/>
                <w:b w:val="1"/>
                <w:bCs w:val="1"/>
                <w:color w:val="auto"/>
              </w:rPr>
              <w:t>Current</w:t>
            </w:r>
          </w:p>
        </w:tc>
        <w:tc>
          <w:tcPr>
            <w:tcW w:w="3580" w:type="dxa"/>
            <w:vAlign w:val="bottom"/>
            <w:tcBorders>
              <w:top w:val="single" w:sz="8" w:color="C00000"/>
            </w:tcBorders>
          </w:tcPr>
          <w:p>
            <w:pPr>
              <w:jc w:val="center"/>
              <w:ind w:right="7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940" w:type="dxa"/>
            <w:vAlign w:val="bottom"/>
          </w:tcPr>
          <w:p>
            <w:pPr>
              <w:jc w:val="center"/>
              <w:ind w:right="190"/>
              <w:spacing w:after="0"/>
              <w:rPr>
                <w:sz w:val="20"/>
                <w:szCs w:val="20"/>
                <w:color w:val="auto"/>
              </w:rPr>
            </w:pPr>
            <w:r>
              <w:rPr>
                <w:rFonts w:ascii="Arial" w:cs="Arial" w:eastAsia="Arial" w:hAnsi="Arial"/>
                <w:sz w:val="18"/>
                <w:szCs w:val="18"/>
                <w:color w:val="auto"/>
                <w:w w:val="99"/>
              </w:rPr>
              <w:t>Carlisle Companies Inc.</w:t>
            </w:r>
          </w:p>
        </w:tc>
        <w:tc>
          <w:tcPr>
            <w:tcW w:w="3580" w:type="dxa"/>
            <w:vAlign w:val="bottom"/>
          </w:tcPr>
          <w:p>
            <w:pPr>
              <w:jc w:val="center"/>
              <w:ind w:right="90"/>
              <w:spacing w:after="0"/>
              <w:rPr>
                <w:sz w:val="20"/>
                <w:szCs w:val="20"/>
                <w:color w:val="auto"/>
              </w:rPr>
            </w:pPr>
            <w:r>
              <w:rPr>
                <w:rFonts w:ascii="Arial" w:cs="Arial" w:eastAsia="Arial" w:hAnsi="Arial"/>
                <w:sz w:val="18"/>
                <w:szCs w:val="18"/>
                <w:color w:val="auto"/>
                <w:w w:val="99"/>
              </w:rPr>
              <w:t>Arctic Cat Inc.</w:t>
            </w:r>
          </w:p>
        </w:tc>
      </w:tr>
      <w:tr>
        <w:trPr>
          <w:trHeight w:val="365"/>
        </w:trPr>
        <w:tc>
          <w:tcPr>
            <w:tcW w:w="3940" w:type="dxa"/>
            <w:vAlign w:val="bottom"/>
          </w:tcPr>
          <w:p>
            <w:pPr>
              <w:jc w:val="center"/>
              <w:ind w:right="210"/>
              <w:spacing w:after="0"/>
              <w:rPr>
                <w:sz w:val="20"/>
                <w:szCs w:val="20"/>
                <w:color w:val="auto"/>
              </w:rPr>
            </w:pPr>
            <w:r>
              <w:rPr>
                <w:rFonts w:ascii="Arial" w:cs="Arial" w:eastAsia="Arial" w:hAnsi="Arial"/>
                <w:sz w:val="18"/>
                <w:szCs w:val="18"/>
                <w:color w:val="auto"/>
                <w:w w:val="99"/>
              </w:rPr>
              <w:t>11</w:t>
            </w:r>
          </w:p>
        </w:tc>
        <w:tc>
          <w:tcPr>
            <w:tcW w:w="3580" w:type="dxa"/>
            <w:vAlign w:val="bottom"/>
          </w:tcPr>
          <w:p>
            <w:pPr>
              <w:spacing w:after="0"/>
              <w:rPr>
                <w:sz w:val="24"/>
                <w:szCs w:val="24"/>
                <w:color w:val="auto"/>
              </w:rPr>
            </w:pPr>
          </w:p>
        </w:tc>
      </w:tr>
    </w:tbl>
    <w:p>
      <w:pPr>
        <w:sectPr>
          <w:pgSz w:w="11900" w:h="16838" w:orient="portrait"/>
          <w:cols w:equalWidth="0" w:num="2">
            <w:col w:w="3180" w:space="720"/>
            <w:col w:w="75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C00000"/>
        </w:rPr>
        <w:t>Continuing Members of the Board—Current Term Ending at the 2018 Annual Meeting.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-1505585</wp:posOffset>
            </wp:positionV>
            <wp:extent cx="2392680" cy="15347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92680" cy="15347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(Chair)</w:t>
      </w: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Janet K. Cooper was the Senior Vice President and Treasurer of Qwest Communications International Inc., Denver, Colorado (a U.S.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Through her experience in various senior level financial positions, Ms. Cooper has developed substantial financial and accounting knowledge and expertise. Ms. Cooper’s experience as a public company director and audit committee member and her financial expertise and acumen in capital markets, audit, tax, accounting, treasury and risk-management matters assists our Board in providing oversight to Management on these matters. Ms. Cooper’s senior leadership experience also enables her to provide strategic input to our Board, in addition to her financial expertise, discipline and oversight.</w:t>
      </w:r>
    </w:p>
    <w:p>
      <w:pPr>
        <w:spacing w:after="0" w:line="221"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-1522730</wp:posOffset>
            </wp:positionV>
            <wp:extent cx="2392680" cy="1551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92680" cy="155194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Finance (Chair)</w:t>
      </w: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Borders>
              <w:top w:val="single" w:sz="8" w:color="C00000"/>
            </w:tcBorders>
          </w:tcPr>
          <w:p>
            <w:pPr>
              <w:jc w:val="center"/>
              <w:ind w:right="250"/>
              <w:spacing w:after="0"/>
              <w:rPr>
                <w:sz w:val="20"/>
                <w:szCs w:val="20"/>
                <w:color w:val="auto"/>
              </w:rPr>
            </w:pPr>
            <w:r>
              <w:rPr>
                <w:rFonts w:ascii="Arial" w:cs="Arial" w:eastAsia="Arial" w:hAnsi="Arial"/>
                <w:sz w:val="18"/>
                <w:szCs w:val="18"/>
                <w:b w:val="1"/>
                <w:bCs w:val="1"/>
                <w:color w:val="auto"/>
              </w:rPr>
              <w:t>Current</w:t>
            </w:r>
          </w:p>
        </w:tc>
        <w:tc>
          <w:tcPr>
            <w:tcW w:w="3520" w:type="dxa"/>
            <w:vAlign w:val="bottom"/>
            <w:tcBorders>
              <w:top w:val="single" w:sz="8" w:color="C00000"/>
            </w:tcBorders>
          </w:tcPr>
          <w:p>
            <w:pPr>
              <w:jc w:val="center"/>
              <w:ind w:right="13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400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 Lennox International Inc.</w:t>
            </w:r>
          </w:p>
        </w:tc>
        <w:tc>
          <w:tcPr>
            <w:tcW w:w="3520" w:type="dxa"/>
            <w:vAlign w:val="bottom"/>
          </w:tcPr>
          <w:p>
            <w:pPr>
              <w:jc w:val="center"/>
              <w:ind w:right="150"/>
              <w:spacing w:after="0" w:line="202" w:lineRule="exact"/>
              <w:rPr>
                <w:sz w:val="20"/>
                <w:szCs w:val="20"/>
                <w:color w:val="auto"/>
              </w:rPr>
            </w:pPr>
            <w:r>
              <w:rPr>
                <w:rFonts w:ascii="Arial" w:cs="Arial" w:eastAsia="Arial" w:hAnsi="Arial"/>
                <w:sz w:val="18"/>
                <w:szCs w:val="18"/>
                <w:color w:val="auto"/>
              </w:rPr>
              <w:t>None</w:t>
            </w:r>
          </w:p>
        </w:tc>
      </w:tr>
      <w:tr>
        <w:trPr>
          <w:trHeight w:val="217"/>
        </w:trPr>
        <w:tc>
          <w:tcPr>
            <w:tcW w:w="4000" w:type="dxa"/>
            <w:vAlign w:val="bottom"/>
          </w:tcPr>
          <w:p>
            <w:pPr>
              <w:jc w:val="center"/>
              <w:ind w:right="250"/>
              <w:spacing w:after="0"/>
              <w:rPr>
                <w:sz w:val="20"/>
                <w:szCs w:val="20"/>
                <w:color w:val="auto"/>
              </w:rPr>
            </w:pPr>
            <w:r>
              <w:rPr>
                <w:rFonts w:ascii="Arial" w:cs="Arial" w:eastAsia="Arial" w:hAnsi="Arial"/>
                <w:sz w:val="18"/>
                <w:szCs w:val="18"/>
                <w:color w:val="auto"/>
                <w:w w:val="99"/>
              </w:rPr>
              <w:t>• Resonant Inc.</w:t>
            </w:r>
          </w:p>
        </w:tc>
        <w:tc>
          <w:tcPr>
            <w:tcW w:w="3520" w:type="dxa"/>
            <w:vAlign w:val="bottom"/>
          </w:tcPr>
          <w:p>
            <w:pPr>
              <w:spacing w:after="0"/>
              <w:rPr>
                <w:sz w:val="18"/>
                <w:szCs w:val="18"/>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Gary L. Ellis was the Executive Vice President, Global Operations, Information Technology and Facilities &amp; Real Estate of Medtronic plc, Dublin, Ireland (a global medical technology company), from June 2016 until his retirement in December 2016. Previously, he was the Executive Vice President and Chief Financial Officer of Medtronic, Inc., from April 2014 to June 2016, Senior Vice President and Chief Financial Officer of Medtronic, Inc. from May 2005 to April 2014, and Vice President, Corporate Controller and Treasurer of Medtronic, Inc. from 1999 to May 2005.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Mr. Ellis possesses and brings relevant financial leadership experience and expertise to our Board which provides oversight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 worldwide financial operations and analyzing financial implications of merger and acquisition transactions, as well as aligning business strategies and financial decisions.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rPr>
              <w:t>Current</w:t>
            </w:r>
          </w:p>
        </w:tc>
        <w:tc>
          <w:tcPr>
            <w:tcW w:w="3880" w:type="dxa"/>
            <w:vAlign w:val="bottom"/>
            <w:tcBorders>
              <w:top w:val="single" w:sz="8" w:color="C00000"/>
            </w:tcBorders>
          </w:tcPr>
          <w:p>
            <w:pPr>
              <w:jc w:val="center"/>
              <w:ind w:left="5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64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3880" w:type="dxa"/>
            <w:vAlign w:val="bottom"/>
          </w:tcPr>
          <w:p>
            <w:pPr>
              <w:jc w:val="center"/>
              <w:ind w:left="30"/>
              <w:spacing w:after="0"/>
              <w:rPr>
                <w:sz w:val="20"/>
                <w:szCs w:val="20"/>
                <w:color w:val="auto"/>
              </w:rPr>
            </w:pPr>
            <w:r>
              <w:rPr>
                <w:rFonts w:ascii="Arial" w:cs="Arial" w:eastAsia="Arial" w:hAnsi="Arial"/>
                <w:sz w:val="18"/>
                <w:szCs w:val="18"/>
                <w:color w:val="auto"/>
              </w:rPr>
              <w:t>None</w:t>
            </w:r>
          </w:p>
        </w:tc>
      </w:tr>
      <w:tr>
        <w:trPr>
          <w:trHeight w:val="365"/>
        </w:trPr>
        <w:tc>
          <w:tcPr>
            <w:tcW w:w="36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3880" w:type="dxa"/>
            <w:vAlign w:val="bottom"/>
          </w:tcPr>
          <w:p>
            <w:pPr>
              <w:spacing w:after="0"/>
              <w:rPr>
                <w:sz w:val="24"/>
                <w:szCs w:val="24"/>
                <w:color w:val="auto"/>
              </w:rPr>
            </w:pPr>
          </w:p>
        </w:tc>
      </w:tr>
    </w:tbl>
    <w:p>
      <w:pPr>
        <w:sectPr>
          <w:pgSz w:w="11900" w:h="16838" w:orient="portrait"/>
          <w:cols w:equalWidth="0" w:num="2">
            <w:col w:w="3180" w:space="720"/>
            <w:col w:w="75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15060" cy="1406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506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983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983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-656590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Gregg W. Steinhafel was the Chairman, President and Chief Executive Officer of Target Corporation, Minneapolis, Minnesota (a variety retailing company) until May 2014. Mr. Steinhafel was appointed as Chairman of Target in February 2009, was elected as Chief Executive Officer of Target in May 2008, was appointed a director of Target in January 2007, and was elected as President of Target in 1999. In January 2015, after Mr. Steinhafel left Target, Target Canada Co., an indirect wholly owned subsidiary of Target, filed an application for protection under the Companies’ Creditors Arrangement Act with the Ontario Superior Court of Justice in Toronto.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Mr. Steinhafel brings to our Board meaningful leadership experience and retail knowledge that he developed in his more than 30 years with Target, including a deep understanding of the value of strong brand recognition, devotion to innovation, strong supply chain initiatives, and a disciplined approach to business management and investment in future growth. In addition, he contributes decision-making skills and valuable strategic planning expertise, as well as significant and relevant knowledge of public company requirements and issues, including those related to corporate governance and executive compensation matters. Mr. Steinhafel’s significant retail knowledge assists our Board in providing guidance with respect to our residential business, which is affected by consumer confidence and spending levels, changing buying patterns of customers and product placement at mass retailers.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Borders>
              <w:top w:val="single" w:sz="8" w:color="C00000"/>
            </w:tcBorders>
          </w:tcPr>
          <w:p>
            <w:pPr>
              <w:jc w:val="center"/>
              <w:ind w:left="90"/>
              <w:spacing w:after="0"/>
              <w:rPr>
                <w:sz w:val="20"/>
                <w:szCs w:val="20"/>
                <w:color w:val="auto"/>
              </w:rPr>
            </w:pPr>
            <w:r>
              <w:rPr>
                <w:rFonts w:ascii="Arial" w:cs="Arial" w:eastAsia="Arial" w:hAnsi="Arial"/>
                <w:sz w:val="18"/>
                <w:szCs w:val="18"/>
                <w:b w:val="1"/>
                <w:bCs w:val="1"/>
                <w:color w:val="auto"/>
                <w:w w:val="98"/>
              </w:rPr>
              <w:t>Current</w:t>
            </w:r>
          </w:p>
        </w:tc>
        <w:tc>
          <w:tcPr>
            <w:tcW w:w="4140" w:type="dxa"/>
            <w:vAlign w:val="bottom"/>
            <w:tcBorders>
              <w:top w:val="single" w:sz="8" w:color="C00000"/>
            </w:tcBorders>
          </w:tcPr>
          <w:p>
            <w:pPr>
              <w:jc w:val="center"/>
              <w:ind w:left="19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780" w:type="dxa"/>
            <w:vAlign w:val="bottom"/>
          </w:tcPr>
          <w:p>
            <w:pPr>
              <w:jc w:val="center"/>
              <w:ind w:left="90"/>
              <w:spacing w:after="0"/>
              <w:rPr>
                <w:sz w:val="20"/>
                <w:szCs w:val="20"/>
                <w:color w:val="auto"/>
              </w:rPr>
            </w:pPr>
            <w:r>
              <w:rPr>
                <w:rFonts w:ascii="Arial" w:cs="Arial" w:eastAsia="Arial" w:hAnsi="Arial"/>
                <w:sz w:val="18"/>
                <w:szCs w:val="18"/>
                <w:color w:val="auto"/>
              </w:rPr>
              <w:t>None</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7"/>
              </w:rPr>
              <w:t>Target Corporation</w:t>
            </w:r>
          </w:p>
        </w:tc>
      </w:tr>
      <w:tr>
        <w:trPr>
          <w:trHeight w:val="365"/>
        </w:trPr>
        <w:tc>
          <w:tcPr>
            <w:tcW w:w="3780" w:type="dxa"/>
            <w:vAlign w:val="bottom"/>
          </w:tcPr>
          <w:p>
            <w:pPr>
              <w:jc w:val="right"/>
              <w:ind w:right="1370"/>
              <w:spacing w:after="0"/>
              <w:rPr>
                <w:sz w:val="20"/>
                <w:szCs w:val="20"/>
                <w:color w:val="auto"/>
              </w:rPr>
            </w:pPr>
            <w:r>
              <w:rPr>
                <w:rFonts w:ascii="Arial" w:cs="Arial" w:eastAsia="Arial" w:hAnsi="Arial"/>
                <w:sz w:val="18"/>
                <w:szCs w:val="18"/>
                <w:color w:val="auto"/>
              </w:rPr>
              <w:t>13</w:t>
            </w:r>
          </w:p>
        </w:tc>
        <w:tc>
          <w:tcPr>
            <w:tcW w:w="4140" w:type="dxa"/>
            <w:vAlign w:val="bottom"/>
          </w:tcPr>
          <w:p>
            <w:pPr>
              <w:spacing w:after="0"/>
              <w:rPr>
                <w:sz w:val="24"/>
                <w:szCs w:val="24"/>
                <w:color w:val="auto"/>
              </w:rPr>
            </w:pPr>
          </w:p>
        </w:tc>
      </w:tr>
    </w:tbl>
    <w:p>
      <w:pPr>
        <w:sectPr>
          <w:pgSz w:w="11900" w:h="16838" w:orient="portrait"/>
          <w:cols w:equalWidth="0" w:num="2">
            <w:col w:w="3040" w:space="460"/>
            <w:col w:w="79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Continuing Members of the Board—Current Term Ending at the 2019 Annual Meeting.</w:t>
      </w:r>
    </w:p>
    <w:p>
      <w:pPr>
        <w:spacing w:after="0" w:line="23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14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14780"/>
                    </a:xfrm>
                    <a:prstGeom prst="rect">
                      <a:avLst/>
                    </a:prstGeom>
                    <a:noFill/>
                  </pic:spPr>
                </pic:pic>
              </a:graphicData>
            </a:graphic>
          </wp:anchor>
        </w:drawing>
      </w:r>
    </w:p>
    <w:p>
      <w:pPr>
        <w:spacing w:after="0" w:line="38" w:lineRule="exact"/>
        <w:rPr>
          <w:sz w:val="20"/>
          <w:szCs w:val="20"/>
          <w:color w:val="auto"/>
        </w:rPr>
      </w:pPr>
    </w:p>
    <w:p>
      <w:pPr>
        <w:ind w:left="3500"/>
        <w:spacing w:after="0" w:line="238" w:lineRule="auto"/>
        <w:rPr>
          <w:sz w:val="20"/>
          <w:szCs w:val="20"/>
          <w:color w:val="auto"/>
        </w:rPr>
      </w:pPr>
      <w:r>
        <w:rPr>
          <w:rFonts w:ascii="Arial" w:cs="Arial" w:eastAsia="Arial" w:hAnsi="Arial"/>
          <w:sz w:val="18"/>
          <w:szCs w:val="18"/>
          <w:color w:val="auto"/>
        </w:rPr>
        <w:t>Robert C. Buhrmaster was the Chairman and Chief Executive Officer of Jostens, Inc., Minneapolis, Minnesota (a designer and producer of athletic championship and scholastic products), until his retirement in 2004. Mr. Buhrmaster was appointed Chairman of Jostens in 1998 and was elected as Chief Executive Officer in 1994. He also served as President of Jostens from 1994 to January 2003.</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983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Lead Independent Director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983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Nominating &amp; Governance (Chair)</w:t>
      </w:r>
    </w:p>
    <w:p>
      <w:pPr>
        <w:ind w:left="180" w:hanging="172"/>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1115060" cy="1431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506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983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Committees</w:t>
      </w:r>
    </w:p>
    <w:p>
      <w:pPr>
        <w:ind w:left="1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Mr. Buhrmaster has developed and brings to our Board strong business leadership, corporate strategy and operational expertise that he acquired throughout his long career at Jostens. Additionally, as an experienced public company director and former executive of a public company, Mr. Buhrmaster contributes an enhanced knowledge of public company requirements and issues, including corporate governance and executive compensation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40" w:type="dxa"/>
            <w:vAlign w:val="bottom"/>
            <w:tcBorders>
              <w:top w:val="single" w:sz="8" w:color="C00000"/>
            </w:tcBorders>
          </w:tcPr>
          <w:p>
            <w:pPr>
              <w:jc w:val="center"/>
              <w:ind w:left="30"/>
              <w:spacing w:after="0"/>
              <w:rPr>
                <w:sz w:val="20"/>
                <w:szCs w:val="20"/>
                <w:color w:val="auto"/>
              </w:rPr>
            </w:pPr>
            <w:r>
              <w:rPr>
                <w:rFonts w:ascii="Arial" w:cs="Arial" w:eastAsia="Arial" w:hAnsi="Arial"/>
                <w:sz w:val="18"/>
                <w:szCs w:val="18"/>
                <w:b w:val="1"/>
                <w:bCs w:val="1"/>
                <w:color w:val="auto"/>
                <w:w w:val="98"/>
              </w:rPr>
              <w:t>Current</w:t>
            </w:r>
          </w:p>
        </w:tc>
        <w:tc>
          <w:tcPr>
            <w:tcW w:w="4080" w:type="dxa"/>
            <w:vAlign w:val="bottom"/>
            <w:tcBorders>
              <w:top w:val="single" w:sz="8" w:color="C00000"/>
            </w:tcBorders>
          </w:tcPr>
          <w:p>
            <w:pPr>
              <w:jc w:val="center"/>
              <w:ind w:left="13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840" w:type="dxa"/>
            <w:vAlign w:val="bottom"/>
          </w:tcPr>
          <w:p>
            <w:pPr>
              <w:jc w:val="center"/>
              <w:ind w:left="30"/>
              <w:spacing w:after="0"/>
              <w:rPr>
                <w:sz w:val="20"/>
                <w:szCs w:val="20"/>
                <w:color w:val="auto"/>
              </w:rPr>
            </w:pPr>
            <w:r>
              <w:rPr>
                <w:rFonts w:ascii="Arial" w:cs="Arial" w:eastAsia="Arial" w:hAnsi="Arial"/>
                <w:sz w:val="18"/>
                <w:szCs w:val="18"/>
                <w:color w:val="auto"/>
              </w:rPr>
              <w:t>None</w:t>
            </w:r>
          </w:p>
        </w:tc>
        <w:tc>
          <w:tcPr>
            <w:tcW w:w="4080" w:type="dxa"/>
            <w:vAlign w:val="bottom"/>
          </w:tcPr>
          <w:p>
            <w:pPr>
              <w:jc w:val="center"/>
              <w:ind w:left="150"/>
              <w:spacing w:after="0"/>
              <w:rPr>
                <w:sz w:val="20"/>
                <w:szCs w:val="20"/>
                <w:color w:val="auto"/>
              </w:rPr>
            </w:pPr>
            <w:r>
              <w:rPr>
                <w:rFonts w:ascii="Arial" w:cs="Arial" w:eastAsia="Arial" w:hAnsi="Arial"/>
                <w:sz w:val="18"/>
                <w:szCs w:val="18"/>
                <w:color w:val="auto"/>
                <w:w w:val="99"/>
              </w:rPr>
              <w:t>SurModics, Inc.</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Richard M. Olson became our President and Chief Executive Officer in November 2016. Previously, he served as President and Chief Operating Officer from September 2015 through October 2016. Mr. Olson served as Group Vice President, International Business, Micro Irrigation Business and Distributor Development from June 2014 to September 2015, Vice President, International Business from March 2013 to June 2014, Vice President, Exmark from March 2012 to March 2013, and General Manager, Exmark from September 2010 to March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his more than 30 years with our Company, Mr. Olson has developed and brings to our Board rich knowledge of the Company, including, in particular, our global business and operations, manufacturing processes and product development strategies. In addition, the broad experience he has gained through his past leadership of our various businesses and manufacturing operations provides him with a unique perspective regarding our growth initiatives and strategic direction. Also, in his capacity as our President and CEO, he has extensive knowledge of all aspects of our Company, businesses, industry and day-to-day operations and, together with Mr. Hoffman, serves as a unifying element between our Board and Management.</w:t>
      </w:r>
    </w:p>
    <w:p>
      <w:pPr>
        <w:spacing w:after="0" w:line="200" w:lineRule="exact"/>
        <w:rPr>
          <w:sz w:val="20"/>
          <w:szCs w:val="20"/>
          <w:color w:val="auto"/>
        </w:rPr>
      </w:pPr>
    </w:p>
    <w:p>
      <w:pPr>
        <w:sectPr>
          <w:pgSz w:w="11900" w:h="16838" w:orient="portrait"/>
          <w:cols w:equalWidth="0" w:num="2">
            <w:col w:w="3040" w:space="460"/>
            <w:col w:w="7920"/>
          </w:cols>
          <w:pgMar w:left="240" w:top="459" w:right="239" w:bottom="1440" w:gutter="0" w:footer="0" w:header="0"/>
          <w:type w:val="continuous"/>
        </w:sectPr>
      </w:pP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3500" w:type="dxa"/>
        <w:tblCellMar>
          <w:top w:w="0" w:type="dxa"/>
          <w:left w:w="0" w:type="dxa"/>
          <w:bottom w:w="0" w:type="dxa"/>
          <w:right w:w="0" w:type="dxa"/>
        </w:tblCellMar>
      </w:tblPr>
      <w:tr>
        <w:trPr>
          <w:trHeight w:val="209"/>
        </w:trPr>
        <w:tc>
          <w:tcPr>
            <w:tcW w:w="388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040" w:type="dxa"/>
            <w:vAlign w:val="bottom"/>
            <w:tcBorders>
              <w:top w:val="single" w:sz="8" w:color="C00000"/>
            </w:tcBorders>
          </w:tcPr>
          <w:p>
            <w:pPr>
              <w:jc w:val="center"/>
              <w:ind w:left="9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880" w:type="dxa"/>
            <w:vAlign w:val="bottom"/>
          </w:tcPr>
          <w:p>
            <w:pPr>
              <w:jc w:val="center"/>
              <w:spacing w:after="0"/>
              <w:rPr>
                <w:sz w:val="20"/>
                <w:szCs w:val="20"/>
                <w:color w:val="auto"/>
              </w:rPr>
            </w:pPr>
            <w:r>
              <w:rPr>
                <w:rFonts w:ascii="Arial" w:cs="Arial" w:eastAsia="Arial" w:hAnsi="Arial"/>
                <w:sz w:val="18"/>
                <w:szCs w:val="18"/>
                <w:color w:val="auto"/>
              </w:rPr>
              <w:t>None</w:t>
            </w:r>
          </w:p>
        </w:tc>
        <w:tc>
          <w:tcPr>
            <w:tcW w:w="4040" w:type="dxa"/>
            <w:vAlign w:val="bottom"/>
          </w:tcPr>
          <w:p>
            <w:pPr>
              <w:jc w:val="center"/>
              <w:ind w:left="110"/>
              <w:spacing w:after="0"/>
              <w:rPr>
                <w:sz w:val="20"/>
                <w:szCs w:val="20"/>
                <w:color w:val="auto"/>
              </w:rPr>
            </w:pPr>
            <w:r>
              <w:rPr>
                <w:rFonts w:ascii="Arial" w:cs="Arial" w:eastAsia="Arial" w:hAnsi="Arial"/>
                <w:sz w:val="18"/>
                <w:szCs w:val="18"/>
                <w:color w:val="auto"/>
              </w:rPr>
              <w:t>None</w:t>
            </w:r>
          </w:p>
        </w:tc>
      </w:tr>
      <w:tr>
        <w:trPr>
          <w:trHeight w:val="365"/>
        </w:trPr>
        <w:tc>
          <w:tcPr>
            <w:tcW w:w="3880" w:type="dxa"/>
            <w:vAlign w:val="bottom"/>
          </w:tcPr>
          <w:p>
            <w:pPr>
              <w:jc w:val="right"/>
              <w:ind w:right="1470"/>
              <w:spacing w:after="0"/>
              <w:rPr>
                <w:sz w:val="20"/>
                <w:szCs w:val="20"/>
                <w:color w:val="auto"/>
              </w:rPr>
            </w:pPr>
            <w:r>
              <w:rPr>
                <w:rFonts w:ascii="Arial" w:cs="Arial" w:eastAsia="Arial" w:hAnsi="Arial"/>
                <w:sz w:val="18"/>
                <w:szCs w:val="18"/>
                <w:color w:val="auto"/>
              </w:rPr>
              <w:t>14</w:t>
            </w:r>
          </w:p>
        </w:tc>
        <w:tc>
          <w:tcPr>
            <w:tcW w:w="4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15060" cy="1406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506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983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983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w:t>
      </w: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1115060" cy="1372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506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983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983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983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ind w:left="180" w:hanging="172"/>
        <w:spacing w:after="0" w:line="234" w:lineRule="auto"/>
        <w:tabs>
          <w:tab w:leader="none" w:pos="1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&amp; Human Resources (Chair)</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-656590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James C. O’Rourke is the President and Chief Executive Officer of The Mosaic Company, Plymouth, Minnesota (a global producer and marketer of combined concentrated phosphate and potash crop nutrients for the global agriculture industry), a position he has held since August 2015. Previously, he served as Mosaic’s Executive Vice President—Operations and Chief Operating Officer from August 2012 to August 2015 and as Executive Vice President— Operations from January 2009, when he joined Mosaic, to August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5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O’Rourke has developed and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financial oversight requirements, risk management and financial condition and strategic policies.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0" w:lineRule="exact"/>
        <w:rPr>
          <w:sz w:val="20"/>
          <w:szCs w:val="20"/>
          <w:color w:val="auto"/>
        </w:rPr>
      </w:pPr>
    </w:p>
    <w:p>
      <w:pPr>
        <w:ind w:left="1660"/>
        <w:spacing w:after="0"/>
        <w:tabs>
          <w:tab w:leader="none" w:pos="544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8" w:lineRule="exact"/>
        <w:rPr>
          <w:sz w:val="20"/>
          <w:szCs w:val="20"/>
          <w:color w:val="auto"/>
        </w:rPr>
      </w:pPr>
    </w:p>
    <w:p>
      <w:pPr>
        <w:ind w:left="1100"/>
        <w:spacing w:after="0"/>
        <w:tabs>
          <w:tab w:leader="none" w:pos="5760" w:val="left"/>
        </w:tabs>
        <w:rPr>
          <w:sz w:val="20"/>
          <w:szCs w:val="20"/>
          <w:color w:val="auto"/>
        </w:rPr>
      </w:pPr>
      <w:r>
        <w:rPr>
          <w:rFonts w:ascii="Arial" w:cs="Arial" w:eastAsia="Arial" w:hAnsi="Arial"/>
          <w:sz w:val="18"/>
          <w:szCs w:val="18"/>
          <w:color w:val="auto"/>
        </w:rPr>
        <w:t>The Mosaic Company</w:t>
      </w:r>
      <w:r>
        <w:rPr>
          <w:sz w:val="20"/>
          <w:szCs w:val="20"/>
          <w:color w:val="auto"/>
        </w:rPr>
        <w:tab/>
      </w: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Christopher A. Twomey was the Chairman of the Board of Arctic Cat Inc., Thief River Falls, Minnesota (a manufacturer of all-terrain vehicles and snowmobiles), from June 2014 until his retirement in August 2015. He served as interim President and Chief Executive Officer of Arctic Cat from June 2014 until December 2014; Chairman of the Board from August 2003 until August 2012; and Chief Executive Officer from 1986 until he first retired in December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0342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Mr. Twomey brings to our Board meaningful strategic, management and operational experience and knowledge.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Additionally, as an experienced public company director and former executive of a public company, Mr. Twomey contributes an enhanced knowledge of public company requirements and issues, including executive compensation and corporate governance matters.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Borders>
              <w:top w:val="single" w:sz="8" w:color="C00000"/>
            </w:tcBorders>
          </w:tcPr>
          <w:p>
            <w:pPr>
              <w:jc w:val="center"/>
              <w:ind w:left="190"/>
              <w:spacing w:after="0"/>
              <w:rPr>
                <w:sz w:val="20"/>
                <w:szCs w:val="20"/>
                <w:color w:val="auto"/>
              </w:rPr>
            </w:pPr>
            <w:r>
              <w:rPr>
                <w:rFonts w:ascii="Arial" w:cs="Arial" w:eastAsia="Arial" w:hAnsi="Arial"/>
                <w:sz w:val="18"/>
                <w:szCs w:val="18"/>
                <w:b w:val="1"/>
                <w:bCs w:val="1"/>
                <w:color w:val="auto"/>
                <w:w w:val="98"/>
              </w:rPr>
              <w:t>Current</w:t>
            </w:r>
          </w:p>
        </w:tc>
        <w:tc>
          <w:tcPr>
            <w:tcW w:w="4240" w:type="dxa"/>
            <w:vAlign w:val="bottom"/>
            <w:tcBorders>
              <w:top w:val="single" w:sz="8" w:color="C00000"/>
            </w:tcBorders>
          </w:tcPr>
          <w:p>
            <w:pPr>
              <w:ind w:left="1780"/>
              <w:spacing w:after="0"/>
              <w:rPr>
                <w:sz w:val="20"/>
                <w:szCs w:val="20"/>
                <w:color w:val="auto"/>
              </w:rPr>
            </w:pPr>
            <w:r>
              <w:rPr>
                <w:rFonts w:ascii="Arial" w:cs="Arial" w:eastAsia="Arial" w:hAnsi="Arial"/>
                <w:sz w:val="18"/>
                <w:szCs w:val="18"/>
                <w:b w:val="1"/>
                <w:bCs w:val="1"/>
                <w:color w:val="auto"/>
              </w:rPr>
              <w:t>Past 5 Years</w:t>
            </w:r>
          </w:p>
        </w:tc>
      </w:tr>
      <w:tr>
        <w:trPr>
          <w:trHeight w:val="203"/>
        </w:trPr>
        <w:tc>
          <w:tcPr>
            <w:tcW w:w="3680" w:type="dxa"/>
            <w:vAlign w:val="bottom"/>
          </w:tcPr>
          <w:p>
            <w:pPr>
              <w:jc w:val="center"/>
              <w:ind w:left="190"/>
              <w:spacing w:after="0" w:line="202" w:lineRule="exact"/>
              <w:rPr>
                <w:sz w:val="20"/>
                <w:szCs w:val="20"/>
                <w:color w:val="auto"/>
              </w:rPr>
            </w:pPr>
            <w:r>
              <w:rPr>
                <w:rFonts w:ascii="Arial" w:cs="Arial" w:eastAsia="Arial" w:hAnsi="Arial"/>
                <w:sz w:val="18"/>
                <w:szCs w:val="18"/>
                <w:color w:val="auto"/>
              </w:rPr>
              <w:t>None</w:t>
            </w:r>
          </w:p>
        </w:tc>
        <w:tc>
          <w:tcPr>
            <w:tcW w:w="424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8"/>
              </w:rPr>
              <w:t>• Arctic Cat Inc.</w:t>
            </w:r>
          </w:p>
        </w:tc>
      </w:tr>
      <w:tr>
        <w:trPr>
          <w:trHeight w:val="217"/>
        </w:trPr>
        <w:tc>
          <w:tcPr>
            <w:tcW w:w="3680" w:type="dxa"/>
            <w:vAlign w:val="bottom"/>
          </w:tcPr>
          <w:p>
            <w:pPr>
              <w:spacing w:after="0"/>
              <w:rPr>
                <w:sz w:val="18"/>
                <w:szCs w:val="18"/>
                <w:color w:val="auto"/>
              </w:rPr>
            </w:pPr>
          </w:p>
        </w:tc>
        <w:tc>
          <w:tcPr>
            <w:tcW w:w="4240" w:type="dxa"/>
            <w:vAlign w:val="bottom"/>
          </w:tcPr>
          <w:p>
            <w:pPr>
              <w:jc w:val="center"/>
              <w:ind w:left="210"/>
              <w:spacing w:after="0"/>
              <w:rPr>
                <w:sz w:val="20"/>
                <w:szCs w:val="20"/>
                <w:color w:val="auto"/>
              </w:rPr>
            </w:pPr>
            <w:r>
              <w:rPr>
                <w:rFonts w:ascii="Arial" w:cs="Arial" w:eastAsia="Arial" w:hAnsi="Arial"/>
                <w:sz w:val="18"/>
                <w:szCs w:val="18"/>
                <w:color w:val="auto"/>
                <w:w w:val="99"/>
              </w:rPr>
              <w:t>• MCBC Holdings, Inc.</w:t>
            </w:r>
          </w:p>
        </w:tc>
      </w:tr>
      <w:tr>
        <w:trPr>
          <w:trHeight w:val="365"/>
        </w:trPr>
        <w:tc>
          <w:tcPr>
            <w:tcW w:w="3680" w:type="dxa"/>
            <w:vAlign w:val="bottom"/>
          </w:tcPr>
          <w:p>
            <w:pPr>
              <w:jc w:val="right"/>
              <w:ind w:right="1270"/>
              <w:spacing w:after="0"/>
              <w:rPr>
                <w:sz w:val="20"/>
                <w:szCs w:val="20"/>
                <w:color w:val="auto"/>
              </w:rPr>
            </w:pPr>
            <w:r>
              <w:rPr>
                <w:rFonts w:ascii="Arial" w:cs="Arial" w:eastAsia="Arial" w:hAnsi="Arial"/>
                <w:sz w:val="18"/>
                <w:szCs w:val="18"/>
                <w:color w:val="auto"/>
              </w:rPr>
              <w:t>15</w:t>
            </w:r>
          </w:p>
        </w:tc>
        <w:tc>
          <w:tcPr>
            <w:tcW w:w="4240" w:type="dxa"/>
            <w:vAlign w:val="bottom"/>
          </w:tcPr>
          <w:p>
            <w:pPr>
              <w:spacing w:after="0"/>
              <w:rPr>
                <w:sz w:val="24"/>
                <w:szCs w:val="24"/>
                <w:color w:val="auto"/>
              </w:rPr>
            </w:pPr>
          </w:p>
        </w:tc>
      </w:tr>
    </w:tbl>
    <w:p>
      <w:pPr>
        <w:sectPr>
          <w:pgSz w:w="11900" w:h="16838" w:orient="portrait"/>
          <w:cols w:equalWidth="0" w:num="2">
            <w:col w:w="3040" w:space="460"/>
            <w:col w:w="79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Corporate Governance Guidelines</w:t>
      </w:r>
    </w:p>
    <w:p>
      <w:pPr>
        <w:spacing w:after="0" w:line="234"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access to officers and employees; compensation; independence and related party transactions; CEO evaluation and management succession; and Board annual self-evaluation. Our Corporate Governance Guidelines provide, among other things, that:</w:t>
      </w:r>
    </w:p>
    <w:p>
      <w:pPr>
        <w:spacing w:after="0" w:line="230" w:lineRule="exact"/>
        <w:rPr>
          <w:sz w:val="20"/>
          <w:szCs w:val="20"/>
          <w:color w:val="auto"/>
        </w:rPr>
      </w:pPr>
    </w:p>
    <w:p>
      <w:pPr>
        <w:ind w:left="780" w:right="380" w:hanging="32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law, the SEC and the NYSE listing standards;</w:t>
      </w:r>
    </w:p>
    <w:p>
      <w:pPr>
        <w:spacing w:after="0" w:line="223" w:lineRule="exact"/>
        <w:rPr>
          <w:rFonts w:ascii="Arial" w:cs="Arial" w:eastAsia="Arial" w:hAnsi="Arial"/>
          <w:sz w:val="18"/>
          <w:szCs w:val="18"/>
          <w:color w:val="auto"/>
        </w:rPr>
      </w:pPr>
    </w:p>
    <w:p>
      <w:pPr>
        <w:ind w:left="780" w:right="66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shall offer their resignation in writing, providing an opportunity for the Board, through the Nominating &amp; Governance Committee, to review the continued appropriateness of Board membership under the circumstances;</w:t>
      </w:r>
    </w:p>
    <w:p>
      <w:pPr>
        <w:spacing w:after="0" w:line="229" w:lineRule="exact"/>
        <w:rPr>
          <w:rFonts w:ascii="Arial" w:cs="Arial" w:eastAsia="Arial" w:hAnsi="Arial"/>
          <w:sz w:val="18"/>
          <w:szCs w:val="18"/>
          <w:color w:val="auto"/>
        </w:rPr>
      </w:pPr>
    </w:p>
    <w:p>
      <w:pPr>
        <w:ind w:left="780" w:right="620" w:hanging="32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director shall sit on boards of directors of more than four publicly held companies without the approval of the Nominating &amp; Governance Committee;</w:t>
      </w:r>
    </w:p>
    <w:p>
      <w:pPr>
        <w:spacing w:after="0" w:line="223" w:lineRule="exact"/>
        <w:rPr>
          <w:rFonts w:ascii="Arial" w:cs="Arial" w:eastAsia="Arial" w:hAnsi="Arial"/>
          <w:sz w:val="18"/>
          <w:szCs w:val="18"/>
          <w:color w:val="auto"/>
        </w:rPr>
      </w:pPr>
    </w:p>
    <w:p>
      <w:pPr>
        <w:ind w:left="780" w:right="120" w:hanging="32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shall serve as a director of more than two other publicly held companies and there shall be no interlocking board memberships without the approval of the Nominating &amp; Governance Committee;</w:t>
      </w:r>
    </w:p>
    <w:p>
      <w:pPr>
        <w:spacing w:after="0" w:line="223" w:lineRule="exact"/>
        <w:rPr>
          <w:rFonts w:ascii="Arial" w:cs="Arial" w:eastAsia="Arial" w:hAnsi="Arial"/>
          <w:sz w:val="18"/>
          <w:szCs w:val="18"/>
          <w:color w:val="auto"/>
        </w:rPr>
      </w:pPr>
    </w:p>
    <w:p>
      <w:pPr>
        <w:ind w:left="780" w:right="260" w:hanging="32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223"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term limits, the Chair of the Nominating &amp; Governance Committee, after conferring with the Chairman of the Board, will review with the Committee, and the Committee will make a recommendation to the full Board, regarding each director’s continuation on the Board before the annual meeting at which a director is to be proposed for re-election;</w:t>
      </w:r>
    </w:p>
    <w:p>
      <w:pPr>
        <w:spacing w:after="0" w:line="228" w:lineRule="exact"/>
        <w:rPr>
          <w:rFonts w:ascii="Arial" w:cs="Arial" w:eastAsia="Arial" w:hAnsi="Arial"/>
          <w:sz w:val="18"/>
          <w:szCs w:val="18"/>
          <w:color w:val="auto"/>
        </w:rPr>
      </w:pPr>
    </w:p>
    <w:p>
      <w:pPr>
        <w:ind w:left="780" w:right="140" w:hanging="32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Within five years of joining the Board, each non-management director is expected to own a dollar value of Toro common stock equal to at least five times the amount of the director’s annual cash retainer for Board service;</w:t>
      </w:r>
    </w:p>
    <w:p>
      <w:pPr>
        <w:spacing w:after="0" w:line="223"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any time that (i) the offices of Chairman of the Board and CEO are held by the same person, or (ii) the Chairman of the Board does not meet the criteria for “independence” as established by law, the rules and regulations of the SEC or the NYSE listing standards, then the Board, upon recommendation of the Nominating &amp; Governance Committee, shall appoint a presiding non-management director, or Lead Director;</w:t>
      </w:r>
    </w:p>
    <w:p>
      <w:pPr>
        <w:spacing w:after="0" w:line="228" w:lineRule="exact"/>
        <w:rPr>
          <w:rFonts w:ascii="Arial" w:cs="Arial" w:eastAsia="Arial" w:hAnsi="Arial"/>
          <w:sz w:val="18"/>
          <w:szCs w:val="18"/>
          <w:color w:val="auto"/>
        </w:rPr>
      </w:pPr>
    </w:p>
    <w:p>
      <w:pPr>
        <w:ind w:left="780" w:right="180" w:hanging="32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Lead Director shall have such duties as are described in the Corporate Governance Guidelines or otherwise determined by the Board;</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238" w:lineRule="exact"/>
        <w:rPr>
          <w:rFonts w:ascii="Arial" w:cs="Arial" w:eastAsia="Arial" w:hAnsi="Arial"/>
          <w:sz w:val="18"/>
          <w:szCs w:val="18"/>
          <w:color w:val="auto"/>
        </w:rPr>
      </w:pPr>
    </w:p>
    <w:p>
      <w:pPr>
        <w:ind w:left="780" w:right="26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will have at all times an Audit Committee, Compensation &amp; Human Resources Committee and a Nominating &amp; Governance Committee, each of which shall have the authority, and discharge the responsibilities, established by the NYSE listing standards;</w:t>
      </w:r>
    </w:p>
    <w:p>
      <w:pPr>
        <w:spacing w:after="0" w:line="229" w:lineRule="exact"/>
        <w:rPr>
          <w:rFonts w:ascii="Arial" w:cs="Arial" w:eastAsia="Arial" w:hAnsi="Arial"/>
          <w:sz w:val="18"/>
          <w:szCs w:val="18"/>
          <w:color w:val="auto"/>
        </w:rPr>
      </w:pPr>
    </w:p>
    <w:p>
      <w:pPr>
        <w:ind w:left="780" w:right="14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229"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212" w:lineRule="exact"/>
        <w:rPr>
          <w:sz w:val="20"/>
          <w:szCs w:val="20"/>
          <w:color w:val="auto"/>
        </w:rPr>
      </w:pPr>
    </w:p>
    <w:p>
      <w:pPr>
        <w:jc w:val="both"/>
        <w:ind w:right="160" w:firstLine="456"/>
        <w:spacing w:after="0"/>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Leadership Structure</w:t>
      </w:r>
    </w:p>
    <w:p>
      <w:pPr>
        <w:spacing w:after="0" w:line="234" w:lineRule="exact"/>
        <w:rPr>
          <w:sz w:val="20"/>
          <w:szCs w:val="20"/>
          <w:color w:val="auto"/>
        </w:rPr>
      </w:pPr>
    </w:p>
    <w:p>
      <w:pPr>
        <w:ind w:right="300" w:firstLine="456"/>
        <w:spacing w:after="0" w:line="234"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w:t>
      </w:r>
    </w:p>
    <w:p>
      <w:pPr>
        <w:spacing w:after="0" w:line="2" w:lineRule="exact"/>
        <w:rPr>
          <w:sz w:val="20"/>
          <w:szCs w:val="20"/>
          <w:color w:val="auto"/>
        </w:rPr>
      </w:pPr>
    </w:p>
    <w:p>
      <w:pPr>
        <w:ind w:firstLine="8"/>
        <w:spacing w:after="0" w:line="236"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Director when the Chairman is not independent. On November 1, 2016, Mr. Olson was elected as CEO and Mr. Hoffman remained as Chairman of our Board and continues to serve as an executive officer of our Company. Mr. Hoffman has been our Chairman since March 2006 and previously was our CEO from March 2005 through October 2016. In addition, Mr. Buhrmaster continues as our Lead Director. With more than 20 years of continuous service on our Board, Mr. Buhrmaster has considerable knowledge of our Company, our business and our industry. Mr. Buhrmaster also has significant public company board experience. In addition to serving as our Lead Director, Mr. Buhrmaster serves as the Chair of our Nominating &amp; Governance Committee.</w:t>
      </w:r>
    </w:p>
    <w:p>
      <w:pPr>
        <w:spacing w:after="0" w:line="205" w:lineRule="exact"/>
        <w:rPr>
          <w:sz w:val="20"/>
          <w:szCs w:val="20"/>
          <w:color w:val="auto"/>
        </w:rPr>
      </w:pPr>
    </w:p>
    <w:p>
      <w:pPr>
        <w:ind w:right="120" w:firstLine="456"/>
        <w:spacing w:after="0" w:line="234" w:lineRule="auto"/>
        <w:rPr>
          <w:sz w:val="20"/>
          <w:szCs w:val="20"/>
          <w:color w:val="auto"/>
        </w:rPr>
      </w:pPr>
      <w:r>
        <w:rPr>
          <w:rFonts w:ascii="Arial" w:cs="Arial" w:eastAsia="Arial" w:hAnsi="Arial"/>
          <w:sz w:val="18"/>
          <w:szCs w:val="18"/>
          <w:color w:val="auto"/>
        </w:rPr>
        <w:t>Our Nominating &amp; Governance Committee and Board have assessed the division of the responsibilities among the Chairman, CEO, and Lead Director and have determined that our current Board structure ensures a strong and independent Board of Directors, provides effective governance, and creates appropriate oversight for the long-term benefit of our shareholders. In addition, the Board believes our current leadership structure benefits our Company at this time because it allows Mr. Olson to focus on the Company’s operations and day-to-day management while Mr. Hoffman focuses on the leadership of the Board, while each of them serves as a unifying element between the leadership and strategic direction provided by our Board and the implementation of our business strategies by Management. In particular, our Nominating &amp; Governance Committee and full Board believe that our current leadership structure is appropriate for several reasons, including:</w:t>
      </w:r>
    </w:p>
    <w:p>
      <w:pPr>
        <w:spacing w:after="0" w:line="5" w:lineRule="exact"/>
        <w:rPr>
          <w:sz w:val="20"/>
          <w:szCs w:val="20"/>
          <w:color w:val="auto"/>
        </w:rPr>
      </w:pPr>
    </w:p>
    <w:p>
      <w:pPr>
        <w:ind w:right="40" w:firstLine="8"/>
        <w:spacing w:after="0" w:line="239"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Hoffman’s extensive executive leadership experience, invaluable insight into our Company’s future strategies, opportunities and challenges, and experience guiding the Board as Chairman; (ii) Mr. Olson’s knowledge of all aspects of our Company, businesses, industry and day-to-day operations; and (iii) Mr. Buhrmaster’s role as an independent and engaged Lead Director which provides oversight and an appropriate balance of risks relating to concentration of authority.</w:t>
      </w:r>
    </w:p>
    <w:p>
      <w:pPr>
        <w:spacing w:after="0" w:line="202"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As Chairman, Mr. Hoffman works with the CEO, the Lead Director, the committee chairs, other Board members and Management to develop the agendas for Board meetings and presides over the meetings of the Board. As CEO, Mr. Olson supports our Chairman in developing agendas for Board and committee meetings. As our Lead Director, Mr. Buhrmaster (i) assists the Chairman in establishing the agendas for Board meetings and the schedule of agenda subjects to be discussed during the year, to the degree such subjects can be foreseen; (ii) presides at regularly scheduled executive sessions of the non-employee directors without Management present; (iii) together with the Chair of the Compensation &amp; Human Resources Committee, communicates to each of the Chairman and the CEO the results of his annual performance review and compensation; and (iv) leads the Board’s annual self-evaluation.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Independence</w:t>
      </w:r>
    </w:p>
    <w:p>
      <w:pPr>
        <w:spacing w:after="0" w:line="234" w:lineRule="exact"/>
        <w:rPr>
          <w:sz w:val="20"/>
          <w:szCs w:val="20"/>
          <w:color w:val="auto"/>
        </w:rPr>
      </w:pPr>
    </w:p>
    <w:p>
      <w:pPr>
        <w:ind w:right="240" w:firstLine="456"/>
        <w:spacing w:after="0" w:line="237"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any part of fiscal 2016 (Robert C. Buhrmaster, Janet K. Cooper, Gary L. Ellis, Jeffrey M. Ettinger, Katherine J. Harless, D. Christian Koch, James C. O’Rourke, Gregg W. Steinhafel and Christopher A. Twomey), other than Michael J. Hoffman, our Chairman of the Board, and Richard M. Olson, our CEO, is independent in that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regulations of the SEC and the NYSE listing standards. The Board has determined that each of Michael J. Hoffman and Richard M. Olson is not independent due to his status as an executive officer of our Company.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Attendance; Executive Sessions</w:t>
      </w:r>
    </w:p>
    <w:p>
      <w:pPr>
        <w:spacing w:after="0" w:line="234"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Board held six meetings during fiscal 2016 and took action by unanimous written consent three times in fiscal 2016. Each incumbent director attended at least 75% of the aggregate total number of meetings held by the Board and all committees on which he or she served. At each regular Board meeting our non-employee directors met in executive session without Management present and such meetings were presided over by our Lead Director.</w:t>
      </w:r>
    </w:p>
    <w:p>
      <w:pPr>
        <w:spacing w:after="0" w:line="202"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We expect all of our directors to attend our annual meeting of shareholders and we customarily schedule a regular Board meeting on the same day as our annual meeting. All directors serving at the time of our 2016 Annual Meeting of Shareholders held on March 15, 2016 were in attendance.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Committees</w:t>
      </w:r>
    </w:p>
    <w:p>
      <w:pPr>
        <w:spacing w:after="0" w:line="234"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 Committee, and Finance Committee. The current membership of each committee and the number of times each committee met, including by executive session, during fiscal 2016 is noted in the table below. Neither Mr. Hoffman nor Mr. Olson are members of any Board committee but may attend various committee meetings, or portions of such meetings as appropriate, as a member of Management at the invitation of such Board committees.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shd w:val="clear" w:color="auto" w:fill="C00000"/>
          </w:tcPr>
          <w:p>
            <w:pPr>
              <w:spacing w:after="0"/>
              <w:rPr>
                <w:sz w:val="13"/>
                <w:szCs w:val="13"/>
                <w:color w:val="auto"/>
              </w:rPr>
            </w:pPr>
          </w:p>
        </w:tc>
        <w:tc>
          <w:tcPr>
            <w:tcW w:w="1700" w:type="dxa"/>
            <w:vAlign w:val="bottom"/>
            <w:shd w:val="clear" w:color="auto" w:fill="C00000"/>
          </w:tcPr>
          <w:p>
            <w:pPr>
              <w:spacing w:after="0"/>
              <w:rPr>
                <w:sz w:val="13"/>
                <w:szCs w:val="13"/>
                <w:color w:val="auto"/>
              </w:rPr>
            </w:pPr>
          </w:p>
        </w:tc>
        <w:tc>
          <w:tcPr>
            <w:tcW w:w="1960" w:type="dxa"/>
            <w:vAlign w:val="bottom"/>
            <w:shd w:val="clear" w:color="auto" w:fill="C00000"/>
          </w:tcPr>
          <w:p>
            <w:pPr>
              <w:spacing w:after="0"/>
              <w:rPr>
                <w:sz w:val="13"/>
                <w:szCs w:val="13"/>
                <w:color w:val="auto"/>
              </w:rPr>
            </w:pPr>
          </w:p>
        </w:tc>
        <w:tc>
          <w:tcPr>
            <w:tcW w:w="16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Compensation &amp;</w:t>
            </w:r>
          </w:p>
        </w:tc>
        <w:tc>
          <w:tcPr>
            <w:tcW w:w="1460" w:type="dxa"/>
            <w:vAlign w:val="bottom"/>
            <w:shd w:val="clear" w:color="auto" w:fill="C00000"/>
          </w:tcPr>
          <w:p>
            <w:pPr>
              <w:jc w:val="center"/>
              <w:ind w:right="74"/>
              <w:spacing w:after="0"/>
              <w:rPr>
                <w:sz w:val="20"/>
                <w:szCs w:val="20"/>
                <w:color w:val="auto"/>
              </w:rPr>
            </w:pPr>
            <w:r>
              <w:rPr>
                <w:rFonts w:ascii="Arial" w:cs="Arial" w:eastAsia="Arial" w:hAnsi="Arial"/>
                <w:sz w:val="14"/>
                <w:szCs w:val="14"/>
                <w:b w:val="1"/>
                <w:bCs w:val="1"/>
                <w:color w:val="FFFFFF"/>
              </w:rPr>
              <w:t>Nominating &amp;</w:t>
            </w:r>
          </w:p>
        </w:tc>
        <w:tc>
          <w:tcPr>
            <w:tcW w:w="1200" w:type="dxa"/>
            <w:vAlign w:val="bottom"/>
            <w:shd w:val="clear" w:color="auto" w:fill="C00000"/>
          </w:tcPr>
          <w:p>
            <w:pPr>
              <w:spacing w:after="0"/>
              <w:rPr>
                <w:sz w:val="13"/>
                <w:szCs w:val="13"/>
                <w:color w:val="auto"/>
              </w:rPr>
            </w:pPr>
          </w:p>
        </w:tc>
      </w:tr>
      <w:tr>
        <w:trPr>
          <w:trHeight w:val="175"/>
        </w:trPr>
        <w:tc>
          <w:tcPr>
            <w:tcW w:w="34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Director</w:t>
            </w:r>
          </w:p>
        </w:tc>
        <w:tc>
          <w:tcPr>
            <w:tcW w:w="1700" w:type="dxa"/>
            <w:vAlign w:val="bottom"/>
            <w:shd w:val="clear" w:color="auto" w:fill="C00000"/>
          </w:tcPr>
          <w:p>
            <w:pPr>
              <w:spacing w:after="0"/>
              <w:rPr>
                <w:sz w:val="15"/>
                <w:szCs w:val="15"/>
                <w:color w:val="auto"/>
              </w:rPr>
            </w:pPr>
          </w:p>
        </w:tc>
        <w:tc>
          <w:tcPr>
            <w:tcW w:w="1960" w:type="dxa"/>
            <w:vAlign w:val="bottom"/>
            <w:shd w:val="clear" w:color="auto" w:fill="C00000"/>
          </w:tcPr>
          <w:p>
            <w:pPr>
              <w:ind w:left="640"/>
              <w:spacing w:after="0"/>
              <w:rPr>
                <w:sz w:val="20"/>
                <w:szCs w:val="20"/>
                <w:color w:val="auto"/>
              </w:rPr>
            </w:pPr>
            <w:r>
              <w:rPr>
                <w:rFonts w:ascii="Arial" w:cs="Arial" w:eastAsia="Arial" w:hAnsi="Arial"/>
                <w:sz w:val="14"/>
                <w:szCs w:val="14"/>
                <w:b w:val="1"/>
                <w:bCs w:val="1"/>
                <w:color w:val="FFFFFF"/>
              </w:rPr>
              <w:t>Audit</w:t>
            </w:r>
          </w:p>
        </w:tc>
        <w:tc>
          <w:tcPr>
            <w:tcW w:w="16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Human Resources</w:t>
            </w:r>
          </w:p>
        </w:tc>
        <w:tc>
          <w:tcPr>
            <w:tcW w:w="1460" w:type="dxa"/>
            <w:vAlign w:val="bottom"/>
            <w:shd w:val="clear" w:color="auto" w:fill="C00000"/>
          </w:tcPr>
          <w:p>
            <w:pPr>
              <w:jc w:val="center"/>
              <w:ind w:right="74"/>
              <w:spacing w:after="0"/>
              <w:rPr>
                <w:sz w:val="20"/>
                <w:szCs w:val="20"/>
                <w:color w:val="auto"/>
              </w:rPr>
            </w:pPr>
            <w:r>
              <w:rPr>
                <w:rFonts w:ascii="Arial" w:cs="Arial" w:eastAsia="Arial" w:hAnsi="Arial"/>
                <w:sz w:val="14"/>
                <w:szCs w:val="14"/>
                <w:b w:val="1"/>
                <w:bCs w:val="1"/>
                <w:color w:val="FFFFFF"/>
              </w:rPr>
              <w:t>Governance</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Finance</w:t>
            </w: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Robert C. Buhrmaster</w:t>
            </w: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60" w:type="dxa"/>
            <w:vAlign w:val="bottom"/>
          </w:tcPr>
          <w:p>
            <w:pPr>
              <w:jc w:val="center"/>
              <w:ind w:right="74"/>
              <w:spacing w:after="0"/>
              <w:rPr>
                <w:sz w:val="20"/>
                <w:szCs w:val="20"/>
                <w:color w:val="auto"/>
              </w:rPr>
            </w:pPr>
            <w:r>
              <w:rPr>
                <w:rFonts w:ascii="Arial" w:cs="Arial" w:eastAsia="Arial" w:hAnsi="Arial"/>
                <w:sz w:val="18"/>
                <w:szCs w:val="18"/>
                <w:color w:val="auto"/>
                <w:w w:val="97"/>
              </w:rPr>
              <w:t>Chair</w:t>
            </w:r>
          </w:p>
        </w:tc>
        <w:tc>
          <w:tcPr>
            <w:tcW w:w="1200" w:type="dxa"/>
            <w:vAlign w:val="bottom"/>
          </w:tcPr>
          <w:p>
            <w:pPr>
              <w:spacing w:after="0"/>
              <w:rPr>
                <w:sz w:val="18"/>
                <w:szCs w:val="18"/>
                <w:color w:val="auto"/>
              </w:rPr>
            </w:pPr>
          </w:p>
        </w:tc>
      </w:tr>
      <w:tr>
        <w:trPr>
          <w:trHeight w:val="216"/>
        </w:trPr>
        <w:tc>
          <w:tcPr>
            <w:tcW w:w="3480" w:type="dxa"/>
            <w:vAlign w:val="bottom"/>
            <w:shd w:val="clear" w:color="auto" w:fill="D9D9D9"/>
          </w:tcPr>
          <w:p>
            <w:pPr>
              <w:ind w:left="60"/>
              <w:spacing w:after="0"/>
              <w:rPr>
                <w:sz w:val="20"/>
                <w:szCs w:val="20"/>
                <w:color w:val="auto"/>
              </w:rPr>
            </w:pPr>
            <w:r>
              <w:rPr>
                <w:rFonts w:ascii="Arial" w:cs="Arial" w:eastAsia="Arial" w:hAnsi="Arial"/>
                <w:sz w:val="18"/>
                <w:szCs w:val="18"/>
                <w:color w:val="auto"/>
              </w:rPr>
              <w:t>Janet K. Cooper</w:t>
            </w:r>
          </w:p>
        </w:tc>
        <w:tc>
          <w:tcPr>
            <w:tcW w:w="1700" w:type="dxa"/>
            <w:vAlign w:val="bottom"/>
            <w:shd w:val="clear" w:color="auto" w:fill="D9D9D9"/>
          </w:tcPr>
          <w:p>
            <w:pPr>
              <w:spacing w:after="0"/>
              <w:rPr>
                <w:sz w:val="18"/>
                <w:szCs w:val="18"/>
                <w:color w:val="auto"/>
              </w:rPr>
            </w:pPr>
          </w:p>
        </w:tc>
        <w:tc>
          <w:tcPr>
            <w:tcW w:w="1960" w:type="dxa"/>
            <w:vAlign w:val="bottom"/>
            <w:shd w:val="clear" w:color="auto" w:fill="D9D9D9"/>
          </w:tcPr>
          <w:p>
            <w:pPr>
              <w:ind w:left="600"/>
              <w:spacing w:after="0"/>
              <w:rPr>
                <w:sz w:val="20"/>
                <w:szCs w:val="20"/>
                <w:color w:val="auto"/>
              </w:rPr>
            </w:pPr>
            <w:r>
              <w:rPr>
                <w:rFonts w:ascii="Arial" w:cs="Arial" w:eastAsia="Arial" w:hAnsi="Arial"/>
                <w:sz w:val="18"/>
                <w:szCs w:val="18"/>
                <w:color w:val="auto"/>
              </w:rPr>
              <w:t>Chair</w:t>
            </w:r>
          </w:p>
        </w:tc>
        <w:tc>
          <w:tcPr>
            <w:tcW w:w="162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20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Gary L. Ellis</w:t>
            </w:r>
          </w:p>
        </w:tc>
        <w:tc>
          <w:tcPr>
            <w:tcW w:w="1700" w:type="dxa"/>
            <w:vAlign w:val="bottom"/>
          </w:tcPr>
          <w:p>
            <w:pPr>
              <w:spacing w:after="0"/>
              <w:rPr>
                <w:sz w:val="18"/>
                <w:szCs w:val="18"/>
                <w:color w:val="auto"/>
              </w:rPr>
            </w:pPr>
          </w:p>
        </w:tc>
        <w:tc>
          <w:tcPr>
            <w:tcW w:w="1960" w:type="dxa"/>
            <w:vAlign w:val="bottom"/>
          </w:tcPr>
          <w:p>
            <w:pPr>
              <w:jc w:val="center"/>
              <w:ind w:right="212"/>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Chair</w:t>
            </w:r>
          </w:p>
        </w:tc>
      </w:tr>
      <w:tr>
        <w:trPr>
          <w:trHeight w:val="216"/>
        </w:trPr>
        <w:tc>
          <w:tcPr>
            <w:tcW w:w="3480" w:type="dxa"/>
            <w:vAlign w:val="bottom"/>
            <w:shd w:val="clear" w:color="auto" w:fill="D9D9D9"/>
          </w:tcPr>
          <w:p>
            <w:pPr>
              <w:ind w:left="60"/>
              <w:spacing w:after="0"/>
              <w:rPr>
                <w:sz w:val="20"/>
                <w:szCs w:val="20"/>
                <w:color w:val="auto"/>
              </w:rPr>
            </w:pPr>
            <w:r>
              <w:rPr>
                <w:rFonts w:ascii="Arial" w:cs="Arial" w:eastAsia="Arial" w:hAnsi="Arial"/>
                <w:sz w:val="18"/>
                <w:szCs w:val="18"/>
                <w:color w:val="auto"/>
              </w:rPr>
              <w:t>Jeffrey M. Ettinger</w:t>
            </w:r>
          </w:p>
        </w:tc>
        <w:tc>
          <w:tcPr>
            <w:tcW w:w="170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rPr>
                <w:sz w:val="18"/>
                <w:szCs w:val="18"/>
                <w:color w:val="auto"/>
              </w:rPr>
            </w:pPr>
          </w:p>
        </w:tc>
        <w:tc>
          <w:tcPr>
            <w:tcW w:w="162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60" w:type="dxa"/>
            <w:vAlign w:val="bottom"/>
            <w:shd w:val="clear" w:color="auto" w:fill="D9D9D9"/>
          </w:tcPr>
          <w:p>
            <w:pPr>
              <w:jc w:val="center"/>
              <w:ind w:right="74"/>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shd w:val="clear" w:color="auto" w:fill="D9D9D9"/>
          </w:tcPr>
          <w:p>
            <w:pPr>
              <w:spacing w:after="0"/>
              <w:rPr>
                <w:sz w:val="18"/>
                <w:szCs w:val="18"/>
                <w:color w:val="auto"/>
              </w:rPr>
            </w:pP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Katherine J. Harless</w:t>
            </w:r>
          </w:p>
        </w:tc>
        <w:tc>
          <w:tcPr>
            <w:tcW w:w="1700" w:type="dxa"/>
            <w:vAlign w:val="bottom"/>
          </w:tcPr>
          <w:p>
            <w:pPr>
              <w:spacing w:after="0"/>
              <w:rPr>
                <w:sz w:val="18"/>
                <w:szCs w:val="18"/>
                <w:color w:val="auto"/>
              </w:rPr>
            </w:pPr>
          </w:p>
        </w:tc>
        <w:tc>
          <w:tcPr>
            <w:tcW w:w="1960" w:type="dxa"/>
            <w:vAlign w:val="bottom"/>
          </w:tcPr>
          <w:p>
            <w:pPr>
              <w:jc w:val="center"/>
              <w:ind w:right="212"/>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480" w:type="dxa"/>
            <w:vAlign w:val="bottom"/>
            <w:shd w:val="clear" w:color="auto" w:fill="D9D9D9"/>
          </w:tcPr>
          <w:p>
            <w:pPr>
              <w:ind w:left="60"/>
              <w:spacing w:after="0"/>
              <w:rPr>
                <w:sz w:val="20"/>
                <w:szCs w:val="20"/>
                <w:color w:val="auto"/>
              </w:rPr>
            </w:pPr>
            <w:r>
              <w:rPr>
                <w:rFonts w:ascii="Arial" w:cs="Arial" w:eastAsia="Arial" w:hAnsi="Arial"/>
                <w:sz w:val="18"/>
                <w:szCs w:val="18"/>
                <w:color w:val="auto"/>
              </w:rPr>
              <w:t>D. Christian Koch</w:t>
            </w:r>
          </w:p>
        </w:tc>
        <w:tc>
          <w:tcPr>
            <w:tcW w:w="1700" w:type="dxa"/>
            <w:vAlign w:val="bottom"/>
            <w:shd w:val="clear" w:color="auto" w:fill="D9D9D9"/>
          </w:tcPr>
          <w:p>
            <w:pPr>
              <w:spacing w:after="0"/>
              <w:rPr>
                <w:sz w:val="18"/>
                <w:szCs w:val="18"/>
                <w:color w:val="auto"/>
              </w:rPr>
            </w:pPr>
          </w:p>
        </w:tc>
        <w:tc>
          <w:tcPr>
            <w:tcW w:w="1960" w:type="dxa"/>
            <w:vAlign w:val="bottom"/>
            <w:shd w:val="clear" w:color="auto" w:fill="D9D9D9"/>
          </w:tcPr>
          <w:p>
            <w:pPr>
              <w:jc w:val="center"/>
              <w:ind w:right="212"/>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20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James C. O’Rourke</w:t>
            </w:r>
          </w:p>
        </w:tc>
        <w:tc>
          <w:tcPr>
            <w:tcW w:w="1700" w:type="dxa"/>
            <w:vAlign w:val="bottom"/>
          </w:tcPr>
          <w:p>
            <w:pPr>
              <w:spacing w:after="0"/>
              <w:rPr>
                <w:sz w:val="18"/>
                <w:szCs w:val="18"/>
                <w:color w:val="auto"/>
              </w:rPr>
            </w:pPr>
          </w:p>
        </w:tc>
        <w:tc>
          <w:tcPr>
            <w:tcW w:w="1960" w:type="dxa"/>
            <w:vAlign w:val="bottom"/>
          </w:tcPr>
          <w:p>
            <w:pPr>
              <w:jc w:val="center"/>
              <w:ind w:right="212"/>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80" w:type="dxa"/>
            <w:vAlign w:val="bottom"/>
            <w:shd w:val="clear" w:color="auto" w:fill="D9D9D9"/>
          </w:tcPr>
          <w:p>
            <w:pPr>
              <w:ind w:left="60"/>
              <w:spacing w:after="0"/>
              <w:rPr>
                <w:sz w:val="20"/>
                <w:szCs w:val="20"/>
                <w:color w:val="auto"/>
              </w:rPr>
            </w:pPr>
            <w:r>
              <w:rPr>
                <w:rFonts w:ascii="Arial" w:cs="Arial" w:eastAsia="Arial" w:hAnsi="Arial"/>
                <w:sz w:val="18"/>
                <w:szCs w:val="18"/>
                <w:color w:val="auto"/>
              </w:rPr>
              <w:t>Gregg W. Steinhafel</w:t>
            </w:r>
          </w:p>
        </w:tc>
        <w:tc>
          <w:tcPr>
            <w:tcW w:w="1700" w:type="dxa"/>
            <w:vAlign w:val="bottom"/>
            <w:shd w:val="clear" w:color="auto" w:fill="D9D9D9"/>
          </w:tcPr>
          <w:p>
            <w:pPr>
              <w:spacing w:after="0"/>
              <w:rPr>
                <w:sz w:val="18"/>
                <w:szCs w:val="18"/>
                <w:color w:val="auto"/>
              </w:rPr>
            </w:pPr>
          </w:p>
        </w:tc>
        <w:tc>
          <w:tcPr>
            <w:tcW w:w="1960" w:type="dxa"/>
            <w:vAlign w:val="bottom"/>
            <w:shd w:val="clear" w:color="auto" w:fill="D9D9D9"/>
          </w:tcPr>
          <w:p>
            <w:pPr>
              <w:spacing w:after="0"/>
              <w:rPr>
                <w:sz w:val="18"/>
                <w:szCs w:val="18"/>
                <w:color w:val="auto"/>
              </w:rPr>
            </w:pPr>
          </w:p>
        </w:tc>
        <w:tc>
          <w:tcPr>
            <w:tcW w:w="162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60" w:type="dxa"/>
            <w:vAlign w:val="bottom"/>
            <w:shd w:val="clear" w:color="auto" w:fill="D9D9D9"/>
          </w:tcPr>
          <w:p>
            <w:pPr>
              <w:jc w:val="center"/>
              <w:ind w:right="74"/>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shd w:val="clear" w:color="auto" w:fill="D9D9D9"/>
          </w:tcPr>
          <w:p>
            <w:pPr>
              <w:spacing w:after="0"/>
              <w:rPr>
                <w:sz w:val="18"/>
                <w:szCs w:val="18"/>
                <w:color w:val="auto"/>
              </w:rPr>
            </w:pP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Christopher A. Twomey</w:t>
            </w: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460" w:type="dxa"/>
            <w:vAlign w:val="bottom"/>
          </w:tcPr>
          <w:p>
            <w:pPr>
              <w:jc w:val="center"/>
              <w:ind w:right="74"/>
              <w:spacing w:after="0" w:line="181" w:lineRule="exact"/>
              <w:rPr>
                <w:sz w:val="20"/>
                <w:szCs w:val="20"/>
                <w:color w:val="auto"/>
              </w:rPr>
            </w:pPr>
            <w:r>
              <w:rPr>
                <w:rFonts w:ascii="MS PGothic" w:cs="MS PGothic" w:eastAsia="MS PGothic" w:hAnsi="MS PGothic"/>
                <w:sz w:val="18"/>
                <w:szCs w:val="18"/>
                <w:color w:val="auto"/>
                <w:w w:val="77"/>
              </w:rPr>
              <w:t>✓</w:t>
            </w:r>
          </w:p>
        </w:tc>
        <w:tc>
          <w:tcPr>
            <w:tcW w:w="1200" w:type="dxa"/>
            <w:vAlign w:val="bottom"/>
          </w:tcPr>
          <w:p>
            <w:pPr>
              <w:spacing w:after="0"/>
              <w:rPr>
                <w:sz w:val="18"/>
                <w:szCs w:val="18"/>
                <w:color w:val="auto"/>
              </w:rPr>
            </w:pPr>
          </w:p>
        </w:tc>
      </w:tr>
      <w:tr>
        <w:trPr>
          <w:trHeight w:val="162"/>
        </w:trPr>
        <w:tc>
          <w:tcPr>
            <w:tcW w:w="34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Fiscal 2016 Meetings</w:t>
            </w:r>
          </w:p>
        </w:tc>
        <w:tc>
          <w:tcPr>
            <w:tcW w:w="1700" w:type="dxa"/>
            <w:vAlign w:val="bottom"/>
            <w:shd w:val="clear" w:color="auto" w:fill="C00000"/>
          </w:tcPr>
          <w:p>
            <w:pPr>
              <w:spacing w:after="0"/>
              <w:rPr>
                <w:sz w:val="14"/>
                <w:szCs w:val="14"/>
                <w:color w:val="auto"/>
              </w:rPr>
            </w:pPr>
          </w:p>
        </w:tc>
        <w:tc>
          <w:tcPr>
            <w:tcW w:w="1960" w:type="dxa"/>
            <w:vAlign w:val="bottom"/>
            <w:shd w:val="clear" w:color="auto" w:fill="C00000"/>
          </w:tcPr>
          <w:p>
            <w:pPr>
              <w:spacing w:after="0"/>
              <w:rPr>
                <w:sz w:val="14"/>
                <w:szCs w:val="14"/>
                <w:color w:val="auto"/>
              </w:rPr>
            </w:pPr>
          </w:p>
        </w:tc>
        <w:tc>
          <w:tcPr>
            <w:tcW w:w="1620" w:type="dxa"/>
            <w:vAlign w:val="bottom"/>
            <w:shd w:val="clear" w:color="auto" w:fill="C00000"/>
          </w:tcPr>
          <w:p>
            <w:pPr>
              <w:spacing w:after="0"/>
              <w:rPr>
                <w:sz w:val="14"/>
                <w:szCs w:val="14"/>
                <w:color w:val="auto"/>
              </w:rPr>
            </w:pPr>
          </w:p>
        </w:tc>
        <w:tc>
          <w:tcPr>
            <w:tcW w:w="1460" w:type="dxa"/>
            <w:vAlign w:val="bottom"/>
            <w:shd w:val="clear" w:color="auto" w:fill="C00000"/>
          </w:tcPr>
          <w:p>
            <w:pPr>
              <w:spacing w:after="0"/>
              <w:rPr>
                <w:sz w:val="14"/>
                <w:szCs w:val="14"/>
                <w:color w:val="auto"/>
              </w:rPr>
            </w:pPr>
          </w:p>
        </w:tc>
        <w:tc>
          <w:tcPr>
            <w:tcW w:w="1200" w:type="dxa"/>
            <w:vAlign w:val="bottom"/>
            <w:shd w:val="clear" w:color="auto" w:fill="C00000"/>
          </w:tcPr>
          <w:p>
            <w:pPr>
              <w:spacing w:after="0"/>
              <w:rPr>
                <w:sz w:val="14"/>
                <w:szCs w:val="14"/>
                <w:color w:val="auto"/>
              </w:rPr>
            </w:pPr>
          </w:p>
        </w:tc>
      </w:tr>
      <w:tr>
        <w:trPr>
          <w:trHeight w:val="203"/>
        </w:trPr>
        <w:tc>
          <w:tcPr>
            <w:tcW w:w="3480" w:type="dxa"/>
            <w:vAlign w:val="bottom"/>
          </w:tcPr>
          <w:p>
            <w:pPr>
              <w:ind w:left="60"/>
              <w:spacing w:after="0" w:line="202" w:lineRule="exact"/>
              <w:rPr>
                <w:sz w:val="20"/>
                <w:szCs w:val="20"/>
                <w:color w:val="auto"/>
              </w:rPr>
            </w:pPr>
            <w:r>
              <w:rPr>
                <w:rFonts w:ascii="Arial" w:cs="Arial" w:eastAsia="Arial" w:hAnsi="Arial"/>
                <w:sz w:val="18"/>
                <w:szCs w:val="18"/>
                <w:color w:val="auto"/>
              </w:rPr>
              <w:t>Number of Meetings</w:t>
            </w:r>
          </w:p>
        </w:tc>
        <w:tc>
          <w:tcPr>
            <w:tcW w:w="1700" w:type="dxa"/>
            <w:vAlign w:val="bottom"/>
          </w:tcPr>
          <w:p>
            <w:pPr>
              <w:spacing w:after="0"/>
              <w:rPr>
                <w:sz w:val="17"/>
                <w:szCs w:val="17"/>
                <w:color w:val="auto"/>
              </w:rPr>
            </w:pPr>
          </w:p>
        </w:tc>
        <w:tc>
          <w:tcPr>
            <w:tcW w:w="1960" w:type="dxa"/>
            <w:vAlign w:val="bottom"/>
          </w:tcPr>
          <w:p>
            <w:pPr>
              <w:jc w:val="center"/>
              <w:ind w:right="232"/>
              <w:spacing w:after="0" w:line="202" w:lineRule="exact"/>
              <w:rPr>
                <w:sz w:val="20"/>
                <w:szCs w:val="20"/>
                <w:color w:val="auto"/>
              </w:rPr>
            </w:pPr>
            <w:r>
              <w:rPr>
                <w:rFonts w:ascii="Arial" w:cs="Arial" w:eastAsia="Arial" w:hAnsi="Arial"/>
                <w:sz w:val="18"/>
                <w:szCs w:val="18"/>
                <w:color w:val="auto"/>
                <w:w w:val="99"/>
              </w:rPr>
              <w:t>11</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1460" w:type="dxa"/>
            <w:vAlign w:val="bottom"/>
          </w:tcPr>
          <w:p>
            <w:pPr>
              <w:jc w:val="center"/>
              <w:ind w:right="74"/>
              <w:spacing w:after="0" w:line="202" w:lineRule="exact"/>
              <w:rPr>
                <w:sz w:val="20"/>
                <w:szCs w:val="20"/>
                <w:color w:val="auto"/>
              </w:rPr>
            </w:pPr>
            <w:r>
              <w:rPr>
                <w:rFonts w:ascii="Arial" w:cs="Arial" w:eastAsia="Arial" w:hAnsi="Arial"/>
                <w:sz w:val="18"/>
                <w:szCs w:val="18"/>
                <w:color w:val="auto"/>
                <w:w w:val="99"/>
              </w:rPr>
              <w:t>2</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202"/>
        </w:trPr>
        <w:tc>
          <w:tcPr>
            <w:tcW w:w="348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Executive Sessions</w:t>
            </w:r>
          </w:p>
        </w:tc>
        <w:tc>
          <w:tcPr>
            <w:tcW w:w="1700" w:type="dxa"/>
            <w:vAlign w:val="bottom"/>
            <w:shd w:val="clear" w:color="auto" w:fill="D9D9D9"/>
          </w:tcPr>
          <w:p>
            <w:pPr>
              <w:jc w:val="right"/>
              <w:spacing w:after="0" w:line="201" w:lineRule="exact"/>
              <w:rPr>
                <w:sz w:val="20"/>
                <w:szCs w:val="20"/>
                <w:color w:val="auto"/>
              </w:rPr>
            </w:pPr>
            <w:r>
              <w:rPr>
                <w:rFonts w:ascii="Arial" w:cs="Arial" w:eastAsia="Arial" w:hAnsi="Arial"/>
                <w:sz w:val="18"/>
                <w:szCs w:val="18"/>
                <w:color w:val="auto"/>
              </w:rPr>
              <w:t>6</w:t>
            </w:r>
          </w:p>
        </w:tc>
        <w:tc>
          <w:tcPr>
            <w:tcW w:w="1960" w:type="dxa"/>
            <w:vAlign w:val="bottom"/>
            <w:shd w:val="clear" w:color="auto" w:fill="D9D9D9"/>
          </w:tcPr>
          <w:p>
            <w:pPr>
              <w:ind w:left="20"/>
              <w:spacing w:after="0" w:line="201" w:lineRule="exact"/>
              <w:rPr>
                <w:sz w:val="20"/>
                <w:szCs w:val="20"/>
                <w:color w:val="auto"/>
              </w:rPr>
            </w:pPr>
            <w:r>
              <w:rPr>
                <w:rFonts w:ascii="Arial" w:cs="Arial" w:eastAsia="Arial" w:hAnsi="Arial"/>
                <w:sz w:val="18"/>
                <w:szCs w:val="18"/>
                <w:color w:val="auto"/>
              </w:rPr>
              <w:t>– with Committee</w:t>
            </w:r>
          </w:p>
        </w:tc>
        <w:tc>
          <w:tcPr>
            <w:tcW w:w="162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4</w:t>
            </w:r>
          </w:p>
        </w:tc>
        <w:tc>
          <w:tcPr>
            <w:tcW w:w="1460" w:type="dxa"/>
            <w:vAlign w:val="bottom"/>
            <w:shd w:val="clear" w:color="auto" w:fill="D9D9D9"/>
          </w:tcPr>
          <w:p>
            <w:pPr>
              <w:jc w:val="center"/>
              <w:ind w:right="74"/>
              <w:spacing w:after="0" w:line="201" w:lineRule="exact"/>
              <w:rPr>
                <w:sz w:val="20"/>
                <w:szCs w:val="20"/>
                <w:color w:val="auto"/>
              </w:rPr>
            </w:pPr>
            <w:r>
              <w:rPr>
                <w:rFonts w:ascii="Arial" w:cs="Arial" w:eastAsia="Arial" w:hAnsi="Arial"/>
                <w:sz w:val="18"/>
                <w:szCs w:val="18"/>
                <w:color w:val="auto"/>
                <w:w w:val="99"/>
              </w:rPr>
              <w:t>2</w:t>
            </w:r>
          </w:p>
        </w:tc>
        <w:tc>
          <w:tcPr>
            <w:tcW w:w="120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3</w:t>
            </w:r>
          </w:p>
        </w:tc>
      </w:tr>
      <w:tr>
        <w:trPr>
          <w:trHeight w:val="203"/>
        </w:trPr>
        <w:tc>
          <w:tcPr>
            <w:tcW w:w="3480" w:type="dxa"/>
            <w:vAlign w:val="bottom"/>
            <w:shd w:val="clear" w:color="auto" w:fill="D9D9D9"/>
          </w:tcPr>
          <w:p>
            <w:pPr>
              <w:spacing w:after="0"/>
              <w:rPr>
                <w:sz w:val="17"/>
                <w:szCs w:val="17"/>
                <w:color w:val="auto"/>
              </w:rPr>
            </w:pPr>
          </w:p>
        </w:tc>
        <w:tc>
          <w:tcPr>
            <w:tcW w:w="17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w:t>
            </w:r>
          </w:p>
        </w:tc>
        <w:tc>
          <w:tcPr>
            <w:tcW w:w="1960" w:type="dxa"/>
            <w:vAlign w:val="bottom"/>
            <w:shd w:val="clear" w:color="auto" w:fill="D9D9D9"/>
          </w:tcPr>
          <w:p>
            <w:pPr>
              <w:ind w:left="20"/>
              <w:spacing w:after="0" w:line="202" w:lineRule="exact"/>
              <w:rPr>
                <w:sz w:val="20"/>
                <w:szCs w:val="20"/>
                <w:color w:val="auto"/>
              </w:rPr>
            </w:pPr>
            <w:r>
              <w:rPr>
                <w:rFonts w:ascii="Arial" w:cs="Arial" w:eastAsia="Arial" w:hAnsi="Arial"/>
                <w:sz w:val="18"/>
                <w:szCs w:val="18"/>
                <w:color w:val="auto"/>
              </w:rPr>
              <w:t>– with Management</w:t>
            </w:r>
          </w:p>
        </w:tc>
        <w:tc>
          <w:tcPr>
            <w:tcW w:w="162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r>
      <w:tr>
        <w:trPr>
          <w:trHeight w:val="203"/>
        </w:trPr>
        <w:tc>
          <w:tcPr>
            <w:tcW w:w="3480" w:type="dxa"/>
            <w:vAlign w:val="bottom"/>
            <w:shd w:val="clear" w:color="auto" w:fill="D9D9D9"/>
          </w:tcPr>
          <w:p>
            <w:pPr>
              <w:spacing w:after="0"/>
              <w:rPr>
                <w:sz w:val="17"/>
                <w:szCs w:val="17"/>
                <w:color w:val="auto"/>
              </w:rPr>
            </w:pPr>
          </w:p>
        </w:tc>
        <w:tc>
          <w:tcPr>
            <w:tcW w:w="17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w:t>
            </w:r>
          </w:p>
        </w:tc>
        <w:tc>
          <w:tcPr>
            <w:tcW w:w="1960" w:type="dxa"/>
            <w:vAlign w:val="bottom"/>
            <w:shd w:val="clear" w:color="auto" w:fill="D9D9D9"/>
          </w:tcPr>
          <w:p>
            <w:pPr>
              <w:ind w:left="20"/>
              <w:spacing w:after="0" w:line="202" w:lineRule="exact"/>
              <w:rPr>
                <w:sz w:val="20"/>
                <w:szCs w:val="20"/>
                <w:color w:val="auto"/>
              </w:rPr>
            </w:pPr>
            <w:r>
              <w:rPr>
                <w:rFonts w:ascii="Arial" w:cs="Arial" w:eastAsia="Arial" w:hAnsi="Arial"/>
                <w:sz w:val="18"/>
                <w:szCs w:val="18"/>
                <w:color w:val="auto"/>
              </w:rPr>
              <w:t>– with internal auditor</w:t>
            </w:r>
          </w:p>
        </w:tc>
        <w:tc>
          <w:tcPr>
            <w:tcW w:w="162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r>
      <w:tr>
        <w:trPr>
          <w:trHeight w:val="217"/>
        </w:trPr>
        <w:tc>
          <w:tcPr>
            <w:tcW w:w="3480" w:type="dxa"/>
            <w:vAlign w:val="bottom"/>
            <w:shd w:val="clear" w:color="auto" w:fill="D9D9D9"/>
          </w:tcPr>
          <w:p>
            <w:pPr>
              <w:spacing w:after="0"/>
              <w:rPr>
                <w:sz w:val="18"/>
                <w:szCs w:val="18"/>
                <w:color w:val="auto"/>
              </w:rPr>
            </w:pPr>
          </w:p>
        </w:tc>
        <w:tc>
          <w:tcPr>
            <w:tcW w:w="1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w:t>
            </w:r>
          </w:p>
        </w:tc>
        <w:tc>
          <w:tcPr>
            <w:tcW w:w="1960" w:type="dxa"/>
            <w:vAlign w:val="bottom"/>
            <w:shd w:val="clear" w:color="auto" w:fill="D9D9D9"/>
          </w:tcPr>
          <w:p>
            <w:pPr>
              <w:ind w:left="20"/>
              <w:spacing w:after="0"/>
              <w:rPr>
                <w:sz w:val="20"/>
                <w:szCs w:val="20"/>
                <w:color w:val="auto"/>
              </w:rPr>
            </w:pPr>
            <w:r>
              <w:rPr>
                <w:rFonts w:ascii="Arial" w:cs="Arial" w:eastAsia="Arial" w:hAnsi="Arial"/>
                <w:sz w:val="18"/>
                <w:szCs w:val="18"/>
                <w:color w:val="auto"/>
              </w:rPr>
              <w:t>– with external auditor</w:t>
            </w:r>
          </w:p>
        </w:tc>
        <w:tc>
          <w:tcPr>
            <w:tcW w:w="162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r>
    </w:tbl>
    <w:p>
      <w:pPr>
        <w:spacing w:after="0" w:line="21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as applicable. The Board has determined that all members of the Audit Committee are financially literate and that each of Janet K. Cooper and Gary L. Ellis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205"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Each committee has a charter that is posted on our website at www.thetorocompany.com (select the “Investor Information” link and then the “Corporate Governance” link). The charter of each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describes the principal functions of the committee.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The principal functions of each committee are summarized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Committee</w:t>
            </w:r>
          </w:p>
        </w:tc>
        <w:tc>
          <w:tcPr>
            <w:tcW w:w="300" w:type="dxa"/>
            <w:vAlign w:val="bottom"/>
            <w:shd w:val="clear" w:color="auto" w:fill="C00000"/>
          </w:tcPr>
          <w:p>
            <w:pPr>
              <w:spacing w:after="0"/>
              <w:rPr>
                <w:sz w:val="14"/>
                <w:szCs w:val="14"/>
                <w:color w:val="auto"/>
              </w:rPr>
            </w:pPr>
          </w:p>
        </w:tc>
        <w:tc>
          <w:tcPr>
            <w:tcW w:w="9580" w:type="dxa"/>
            <w:vAlign w:val="bottom"/>
            <w:gridSpan w:val="3"/>
            <w:shd w:val="clear" w:color="auto" w:fill="C00000"/>
          </w:tcPr>
          <w:p>
            <w:pPr>
              <w:ind w:left="3680"/>
              <w:spacing w:after="0"/>
              <w:rPr>
                <w:sz w:val="20"/>
                <w:szCs w:val="20"/>
                <w:color w:val="auto"/>
              </w:rPr>
            </w:pPr>
            <w:r>
              <w:rPr>
                <w:rFonts w:ascii="Arial" w:cs="Arial" w:eastAsia="Arial" w:hAnsi="Arial"/>
                <w:sz w:val="14"/>
                <w:szCs w:val="14"/>
                <w:b w:val="1"/>
                <w:bCs w:val="1"/>
                <w:color w:val="FFFFFF"/>
              </w:rPr>
              <w:t>Principal Committee Functions</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Audit</w:t>
            </w:r>
          </w:p>
        </w:tc>
        <w:tc>
          <w:tcPr>
            <w:tcW w:w="30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1" w:lineRule="exact"/>
              <w:rPr>
                <w:sz w:val="20"/>
                <w:szCs w:val="20"/>
                <w:color w:val="auto"/>
              </w:rPr>
            </w:pPr>
            <w:r>
              <w:rPr>
                <w:rFonts w:ascii="Arial" w:cs="Arial" w:eastAsia="Arial" w:hAnsi="Arial"/>
                <w:sz w:val="18"/>
                <w:szCs w:val="18"/>
                <w:color w:val="auto"/>
              </w:rPr>
              <w:t>Oversees the accounting and financial reporting</w:t>
            </w: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1" w:lineRule="exact"/>
              <w:rPr>
                <w:sz w:val="20"/>
                <w:szCs w:val="20"/>
                <w:color w:val="auto"/>
              </w:rPr>
            </w:pPr>
            <w:r>
              <w:rPr>
                <w:rFonts w:ascii="Arial" w:cs="Arial" w:eastAsia="Arial" w:hAnsi="Arial"/>
                <w:sz w:val="18"/>
                <w:szCs w:val="18"/>
                <w:color w:val="auto"/>
                <w:w w:val="99"/>
              </w:rPr>
              <w:t>Reviews general policies and procedures with respect to</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processes, audits of consolidated financial statements</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accounting and financial matters, internal controls and</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and internal control over financial reporting</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disclosure controls and procedures</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Selects and compensates the external auditor</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Reviews Code of Conduct and our Code of Ethics for</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Reviews external auditor and lead partner qualifications,</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CEO and Senior Financial Officers</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independence and performance</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Reviews policies and procedures for the receipt,</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Reviews and approves all financial statement examination</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retention and treatment of complaints from employees</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scope and budgets</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on accounting, internal accounting controls or auditing</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Reviews and approves all types of audit and permitted</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matters</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non-audit services to be performed by external auditor</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Provides oversight for Enterprise Risk Management, or</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Establishes pre-approval policies and procedures for</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ERM, process by reviewing policies with respect to risk</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retention of external auditor for additional non-audit</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assessment and risk management, including major</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financial risk exposures and mitigation efforts</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Reviews with Management and external auditor Annual</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Reviews with Management and external auditor any</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Reports on Form 10-K, Quarterly Reports on Form 10-Q</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correspondence with regulators or governmental</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and earnings releases</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agencies</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Reviews internal audit’s annual audit plans, performance,</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Oversees compliance with legal and regulatory</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audit recommendations and applicable responses from</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requirements</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Management</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Receives analyses regarding relevant significant</w:t>
            </w:r>
          </w:p>
        </w:tc>
      </w:tr>
      <w:tr>
        <w:trPr>
          <w:trHeight w:val="203"/>
        </w:trPr>
        <w:tc>
          <w:tcPr>
            <w:tcW w:w="1540" w:type="dxa"/>
            <w:vAlign w:val="bottom"/>
          </w:tcPr>
          <w:p>
            <w:pPr>
              <w:spacing w:after="0"/>
              <w:rPr>
                <w:sz w:val="17"/>
                <w:szCs w:val="17"/>
                <w:color w:val="auto"/>
              </w:rPr>
            </w:pPr>
          </w:p>
        </w:tc>
        <w:tc>
          <w:tcPr>
            <w:tcW w:w="50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Approves Audit Committee Report</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accounting pronouncements</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Meets privately in separate executive sessions with</w:t>
            </w:r>
          </w:p>
        </w:tc>
      </w:tr>
      <w:tr>
        <w:trPr>
          <w:trHeight w:val="217"/>
        </w:trPr>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Management, internal auditors and external auditor</w:t>
            </w:r>
          </w:p>
        </w:tc>
      </w:tr>
      <w:tr>
        <w:trPr>
          <w:trHeight w:val="202"/>
        </w:trPr>
        <w:tc>
          <w:tcPr>
            <w:tcW w:w="154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Compensation &amp;</w:t>
            </w:r>
          </w:p>
        </w:tc>
        <w:tc>
          <w:tcPr>
            <w:tcW w:w="5080" w:type="dxa"/>
            <w:vAlign w:val="bottom"/>
            <w:gridSpan w:val="2"/>
            <w:shd w:val="clear" w:color="auto" w:fill="D9D9D9"/>
          </w:tcPr>
          <w:p>
            <w:pPr>
              <w:ind w:left="180"/>
              <w:spacing w:after="0" w:line="201" w:lineRule="exact"/>
              <w:rPr>
                <w:sz w:val="20"/>
                <w:szCs w:val="20"/>
                <w:color w:val="auto"/>
              </w:rPr>
            </w:pPr>
            <w:r>
              <w:rPr>
                <w:rFonts w:ascii="Arial" w:cs="Arial" w:eastAsia="Arial" w:hAnsi="Arial"/>
                <w:sz w:val="18"/>
                <w:szCs w:val="18"/>
                <w:color w:val="auto"/>
              </w:rPr>
              <w:t>• Approves the compensation levels, salaries, incentive</w:t>
            </w:r>
          </w:p>
        </w:tc>
        <w:tc>
          <w:tcPr>
            <w:tcW w:w="240" w:type="dxa"/>
            <w:vAlign w:val="bottom"/>
            <w:shd w:val="clear" w:color="auto" w:fill="D9D9D9"/>
          </w:tcPr>
          <w:p>
            <w:pPr>
              <w:ind w:left="120"/>
              <w:spacing w:after="0" w:line="201"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Monitors CEO, executive officer, and director</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Human</w:t>
            </w: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opportunities and other compensation arrangements for</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compliance with applicable stock ownership guidelines</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Resources</w:t>
            </w: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the Chairman, CEO and executive officers</w:t>
            </w:r>
          </w:p>
        </w:tc>
        <w:tc>
          <w:tcPr>
            <w:tcW w:w="4800" w:type="dxa"/>
            <w:vAlign w:val="bottom"/>
            <w:gridSpan w:val="2"/>
            <w:shd w:val="clear" w:color="auto" w:fill="D9D9D9"/>
          </w:tcPr>
          <w:p>
            <w:pPr>
              <w:ind w:left="120"/>
              <w:spacing w:after="0" w:line="202" w:lineRule="exact"/>
              <w:rPr>
                <w:sz w:val="20"/>
                <w:szCs w:val="20"/>
                <w:color w:val="auto"/>
              </w:rPr>
            </w:pPr>
            <w:r>
              <w:rPr>
                <w:rFonts w:ascii="Arial" w:cs="Arial" w:eastAsia="Arial" w:hAnsi="Arial"/>
                <w:sz w:val="18"/>
                <w:szCs w:val="18"/>
                <w:color w:val="auto"/>
              </w:rPr>
              <w:t>• Reviews with Management the Compensation</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Evaluates the CEO’s performance</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Discussion and Analysis, the Committee report on</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Presents CEO compensation determinations to the Board</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executive compensation, and any compensation-related</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for ratification</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proposals, including say-on-pay and frequency of</w:t>
            </w:r>
          </w:p>
        </w:tc>
      </w:tr>
      <w:tr>
        <w:trPr>
          <w:trHeight w:val="203"/>
        </w:trPr>
        <w:tc>
          <w:tcPr>
            <w:tcW w:w="1540" w:type="dxa"/>
            <w:vAlign w:val="bottom"/>
            <w:shd w:val="clear" w:color="auto" w:fill="D9D9D9"/>
          </w:tcPr>
          <w:p>
            <w:pPr>
              <w:spacing w:after="0"/>
              <w:rPr>
                <w:sz w:val="17"/>
                <w:szCs w:val="17"/>
                <w:color w:val="auto"/>
              </w:rPr>
            </w:pPr>
          </w:p>
        </w:tc>
        <w:tc>
          <w:tcPr>
            <w:tcW w:w="5080" w:type="dxa"/>
            <w:vAlign w:val="bottom"/>
            <w:gridSpan w:val="2"/>
            <w:shd w:val="clear" w:color="auto" w:fill="D9D9D9"/>
          </w:tcPr>
          <w:p>
            <w:pPr>
              <w:ind w:left="180"/>
              <w:spacing w:after="0" w:line="202" w:lineRule="exact"/>
              <w:rPr>
                <w:sz w:val="20"/>
                <w:szCs w:val="20"/>
                <w:color w:val="auto"/>
              </w:rPr>
            </w:pPr>
            <w:r>
              <w:rPr>
                <w:rFonts w:ascii="Arial" w:cs="Arial" w:eastAsia="Arial" w:hAnsi="Arial"/>
                <w:sz w:val="18"/>
                <w:szCs w:val="18"/>
                <w:color w:val="auto"/>
              </w:rPr>
              <w:t>• Approves performance goals for performance based</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say-on-pay proposals</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awards</w:t>
            </w:r>
          </w:p>
        </w:tc>
        <w:tc>
          <w:tcPr>
            <w:tcW w:w="4800" w:type="dxa"/>
            <w:vAlign w:val="bottom"/>
            <w:gridSpan w:val="2"/>
            <w:shd w:val="clear" w:color="auto" w:fill="D9D9D9"/>
          </w:tcPr>
          <w:p>
            <w:pPr>
              <w:ind w:left="120"/>
              <w:spacing w:after="0" w:line="202" w:lineRule="exact"/>
              <w:rPr>
                <w:sz w:val="20"/>
                <w:szCs w:val="20"/>
                <w:color w:val="auto"/>
              </w:rPr>
            </w:pPr>
            <w:r>
              <w:rPr>
                <w:rFonts w:ascii="Arial" w:cs="Arial" w:eastAsia="Arial" w:hAnsi="Arial"/>
                <w:sz w:val="18"/>
                <w:szCs w:val="18"/>
                <w:color w:val="auto"/>
              </w:rPr>
              <w:t>• Reviews non-employee director compensation</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compensation policies and practices as they</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components and amounts</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affect all employees and relate to risk management</w:t>
            </w:r>
          </w:p>
        </w:tc>
        <w:tc>
          <w:tcPr>
            <w:tcW w:w="24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Retains any external compensation consultant,</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practices and risk-taking incentives</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independent legal counsel or other advisers</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and monitors compensation policies, executive</w:t>
            </w:r>
          </w:p>
        </w:tc>
        <w:tc>
          <w:tcPr>
            <w:tcW w:w="24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Reviews factors relevant to any adviser’s independence</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compensation plans, benefit plans, incentive</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from Management</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compensation plans and equity compensation plans</w:t>
            </w:r>
          </w:p>
        </w:tc>
        <w:tc>
          <w:tcPr>
            <w:tcW w:w="240" w:type="dxa"/>
            <w:vAlign w:val="bottom"/>
            <w:shd w:val="clear" w:color="auto" w:fill="D9D9D9"/>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Determines whether any conflicts of interest exist with</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Monitors employee organizational and corporate culture</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respect to any advisers that have a role in determining</w:t>
            </w:r>
          </w:p>
        </w:tc>
      </w:tr>
      <w:tr>
        <w:trPr>
          <w:trHeight w:val="203"/>
        </w:trPr>
        <w:tc>
          <w:tcPr>
            <w:tcW w:w="154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plans and strategies</w:t>
            </w:r>
          </w:p>
        </w:tc>
        <w:tc>
          <w:tcPr>
            <w:tcW w:w="24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or recommending the amount or form of executive</w:t>
            </w:r>
          </w:p>
        </w:tc>
      </w:tr>
      <w:tr>
        <w:trPr>
          <w:trHeight w:val="217"/>
        </w:trPr>
        <w:tc>
          <w:tcPr>
            <w:tcW w:w="154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4780" w:type="dxa"/>
            <w:vAlign w:val="bottom"/>
            <w:shd w:val="clear" w:color="auto" w:fill="D9D9D9"/>
          </w:tcPr>
          <w:p>
            <w:pPr>
              <w:spacing w:after="0"/>
              <w:rPr>
                <w:sz w:val="18"/>
                <w:szCs w:val="18"/>
                <w:color w:val="auto"/>
              </w:rPr>
            </w:pPr>
          </w:p>
        </w:tc>
        <w:tc>
          <w:tcPr>
            <w:tcW w:w="240" w:type="dxa"/>
            <w:vAlign w:val="bottom"/>
            <w:shd w:val="clear" w:color="auto" w:fill="D9D9D9"/>
          </w:tcPr>
          <w:p>
            <w:pPr>
              <w:spacing w:after="0"/>
              <w:rPr>
                <w:sz w:val="18"/>
                <w:szCs w:val="18"/>
                <w:color w:val="auto"/>
              </w:rPr>
            </w:pPr>
          </w:p>
        </w:tc>
        <w:tc>
          <w:tcPr>
            <w:tcW w:w="4560" w:type="dxa"/>
            <w:vAlign w:val="bottom"/>
            <w:shd w:val="clear" w:color="auto" w:fill="D9D9D9"/>
          </w:tcPr>
          <w:p>
            <w:pPr>
              <w:ind w:left="60"/>
              <w:spacing w:after="0"/>
              <w:rPr>
                <w:sz w:val="20"/>
                <w:szCs w:val="20"/>
                <w:color w:val="auto"/>
              </w:rPr>
            </w:pPr>
            <w:r>
              <w:rPr>
                <w:rFonts w:ascii="Arial" w:cs="Arial" w:eastAsia="Arial" w:hAnsi="Arial"/>
                <w:sz w:val="18"/>
                <w:szCs w:val="18"/>
                <w:color w:val="auto"/>
              </w:rPr>
              <w:t>officer or Board compensation</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Nominating &amp;</w:t>
            </w:r>
          </w:p>
        </w:tc>
        <w:tc>
          <w:tcPr>
            <w:tcW w:w="50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 Reviews and recommends to the Board the number of</w:t>
            </w:r>
          </w:p>
        </w:tc>
        <w:tc>
          <w:tcPr>
            <w:tcW w:w="4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 Reviews and recommends to the Board any proposed</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Governance</w:t>
            </w: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directors to constitute the full Board</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amendments or changes to Restated Certificate of</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Retains any external search firm to be used to assist in</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Incorporation or Amended and Restated Bylaws</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identifying director candidates</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Reviews Corporate Governance Guidelines and</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Identifies individuals qualified to become Board members</w:t>
            </w:r>
          </w:p>
        </w:tc>
        <w:tc>
          <w:tcPr>
            <w:tcW w:w="240" w:type="dxa"/>
            <w:vAlign w:val="bottom"/>
          </w:tcPr>
          <w:p>
            <w:pPr>
              <w:spacing w:after="0"/>
              <w:rPr>
                <w:sz w:val="17"/>
                <w:szCs w:val="17"/>
                <w:color w:val="auto"/>
              </w:rPr>
            </w:pP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recommends to the Board any changes</w:t>
            </w:r>
          </w:p>
        </w:tc>
      </w:tr>
      <w:tr>
        <w:trPr>
          <w:trHeight w:val="203"/>
        </w:trPr>
        <w:tc>
          <w:tcPr>
            <w:tcW w:w="1540" w:type="dxa"/>
            <w:vAlign w:val="bottom"/>
          </w:tcPr>
          <w:p>
            <w:pPr>
              <w:spacing w:after="0"/>
              <w:rPr>
                <w:sz w:val="17"/>
                <w:szCs w:val="17"/>
                <w:color w:val="auto"/>
              </w:rPr>
            </w:pP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Recommends to the Board director nominees for election</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4560" w:type="dxa"/>
            <w:vAlign w:val="bottom"/>
          </w:tcPr>
          <w:p>
            <w:pPr>
              <w:ind w:left="60"/>
              <w:spacing w:after="0" w:line="202" w:lineRule="exact"/>
              <w:rPr>
                <w:sz w:val="20"/>
                <w:szCs w:val="20"/>
                <w:color w:val="auto"/>
              </w:rPr>
            </w:pPr>
            <w:r>
              <w:rPr>
                <w:rFonts w:ascii="Arial" w:cs="Arial" w:eastAsia="Arial" w:hAnsi="Arial"/>
                <w:sz w:val="18"/>
                <w:szCs w:val="18"/>
                <w:color w:val="auto"/>
              </w:rPr>
              <w:t>Oversees the annual evaluation of the Board</w:t>
            </w:r>
          </w:p>
        </w:tc>
      </w:tr>
      <w:tr>
        <w:trPr>
          <w:trHeight w:val="203"/>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Pr>
          <w:p>
            <w:pPr>
              <w:ind w:left="60"/>
              <w:spacing w:after="0" w:line="202" w:lineRule="exact"/>
              <w:rPr>
                <w:sz w:val="20"/>
                <w:szCs w:val="20"/>
                <w:color w:val="auto"/>
              </w:rPr>
            </w:pPr>
            <w:r>
              <w:rPr>
                <w:rFonts w:ascii="Arial" w:cs="Arial" w:eastAsia="Arial" w:hAnsi="Arial"/>
                <w:sz w:val="18"/>
                <w:szCs w:val="18"/>
                <w:color w:val="auto"/>
              </w:rPr>
              <w:t>at the annual meeting</w:t>
            </w:r>
          </w:p>
        </w:tc>
        <w:tc>
          <w:tcPr>
            <w:tcW w:w="4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Recommends Board committee composition</w:t>
            </w:r>
          </w:p>
        </w:tc>
      </w:tr>
      <w:tr>
        <w:trPr>
          <w:trHeight w:val="217"/>
        </w:trPr>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4560" w:type="dxa"/>
            <w:vAlign w:val="bottom"/>
          </w:tcPr>
          <w:p>
            <w:pPr>
              <w:ind w:left="60"/>
              <w:spacing w:after="0"/>
              <w:rPr>
                <w:sz w:val="20"/>
                <w:szCs w:val="20"/>
                <w:color w:val="auto"/>
              </w:rPr>
            </w:pPr>
            <w:r>
              <w:rPr>
                <w:rFonts w:ascii="Arial" w:cs="Arial" w:eastAsia="Arial" w:hAnsi="Arial"/>
                <w:sz w:val="18"/>
                <w:szCs w:val="18"/>
                <w:color w:val="auto"/>
              </w:rPr>
              <w:t>Monitors corporate governance trends</w:t>
            </w:r>
          </w:p>
        </w:tc>
      </w:tr>
      <w:tr>
        <w:trPr>
          <w:trHeight w:val="365"/>
        </w:trPr>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ind w:left="37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Committee</w:t>
            </w:r>
          </w:p>
        </w:tc>
        <w:tc>
          <w:tcPr>
            <w:tcW w:w="600" w:type="dxa"/>
            <w:vAlign w:val="bottom"/>
            <w:shd w:val="clear" w:color="auto" w:fill="C00000"/>
          </w:tcPr>
          <w:p>
            <w:pPr>
              <w:spacing w:after="0"/>
              <w:rPr>
                <w:sz w:val="14"/>
                <w:szCs w:val="14"/>
                <w:color w:val="auto"/>
              </w:rPr>
            </w:pPr>
          </w:p>
        </w:tc>
        <w:tc>
          <w:tcPr>
            <w:tcW w:w="9580" w:type="dxa"/>
            <w:vAlign w:val="bottom"/>
            <w:gridSpan w:val="3"/>
            <w:shd w:val="clear" w:color="auto" w:fill="C00000"/>
          </w:tcPr>
          <w:p>
            <w:pPr>
              <w:ind w:left="3680"/>
              <w:spacing w:after="0"/>
              <w:rPr>
                <w:sz w:val="20"/>
                <w:szCs w:val="20"/>
                <w:color w:val="auto"/>
              </w:rPr>
            </w:pPr>
            <w:r>
              <w:rPr>
                <w:rFonts w:ascii="Arial" w:cs="Arial" w:eastAsia="Arial" w:hAnsi="Arial"/>
                <w:sz w:val="14"/>
                <w:szCs w:val="14"/>
                <w:b w:val="1"/>
                <w:bCs w:val="1"/>
                <w:color w:val="FFFFFF"/>
              </w:rPr>
              <w:t>Principal Committee Functions</w:t>
            </w:r>
          </w:p>
        </w:tc>
      </w:tr>
      <w:tr>
        <w:trPr>
          <w:trHeight w:val="202"/>
        </w:trPr>
        <w:tc>
          <w:tcPr>
            <w:tcW w:w="124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Finance</w:t>
            </w:r>
          </w:p>
        </w:tc>
        <w:tc>
          <w:tcPr>
            <w:tcW w:w="600" w:type="dxa"/>
            <w:vAlign w:val="bottom"/>
            <w:shd w:val="clear" w:color="auto" w:fill="D9D9D9"/>
          </w:tcPr>
          <w:p>
            <w:pPr>
              <w:ind w:left="480"/>
              <w:spacing w:after="0" w:line="201" w:lineRule="exact"/>
              <w:rPr>
                <w:sz w:val="20"/>
                <w:szCs w:val="20"/>
                <w:color w:val="auto"/>
              </w:rPr>
            </w:pPr>
            <w:r>
              <w:rPr>
                <w:rFonts w:ascii="Arial" w:cs="Arial" w:eastAsia="Arial" w:hAnsi="Arial"/>
                <w:sz w:val="18"/>
                <w:szCs w:val="18"/>
                <w:color w:val="auto"/>
              </w:rPr>
              <w:t>•</w:t>
            </w:r>
          </w:p>
        </w:tc>
        <w:tc>
          <w:tcPr>
            <w:tcW w:w="4740" w:type="dxa"/>
            <w:vAlign w:val="bottom"/>
            <w:shd w:val="clear" w:color="auto" w:fill="D9D9D9"/>
          </w:tcPr>
          <w:p>
            <w:pPr>
              <w:ind w:left="40"/>
              <w:spacing w:after="0" w:line="201" w:lineRule="exact"/>
              <w:rPr>
                <w:sz w:val="20"/>
                <w:szCs w:val="20"/>
                <w:color w:val="auto"/>
              </w:rPr>
            </w:pPr>
            <w:r>
              <w:rPr>
                <w:rFonts w:ascii="Arial" w:cs="Arial" w:eastAsia="Arial" w:hAnsi="Arial"/>
                <w:sz w:val="18"/>
                <w:szCs w:val="18"/>
                <w:color w:val="auto"/>
              </w:rPr>
              <w:t>Reviews capital structure and related financial policies</w:t>
            </w:r>
          </w:p>
        </w:tc>
        <w:tc>
          <w:tcPr>
            <w:tcW w:w="280" w:type="dxa"/>
            <w:vAlign w:val="bottom"/>
            <w:shd w:val="clear" w:color="auto" w:fill="D9D9D9"/>
          </w:tcPr>
          <w:p>
            <w:pPr>
              <w:ind w:left="160"/>
              <w:spacing w:after="0" w:line="201"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Monitors investor relations program</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and long-range objectives</w:t>
            </w:r>
          </w:p>
        </w:tc>
        <w:tc>
          <w:tcPr>
            <w:tcW w:w="28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w w:val="99"/>
              </w:rPr>
              <w:t>Evaluates proposed merger, acquisition, divestiture, joint</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ind w:left="480"/>
              <w:spacing w:after="0" w:line="202" w:lineRule="exact"/>
              <w:rPr>
                <w:sz w:val="20"/>
                <w:szCs w:val="20"/>
                <w:color w:val="auto"/>
              </w:rPr>
            </w:pPr>
            <w:r>
              <w:rPr>
                <w:rFonts w:ascii="Arial" w:cs="Arial" w:eastAsia="Arial" w:hAnsi="Arial"/>
                <w:sz w:val="18"/>
                <w:szCs w:val="18"/>
                <w:color w:val="auto"/>
              </w:rPr>
              <w:t>•</w:t>
            </w:r>
          </w:p>
        </w:tc>
        <w:tc>
          <w:tcPr>
            <w:tcW w:w="474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tax strategies and restructuring projects</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venture and other business combination transactions</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ind w:left="480"/>
              <w:spacing w:after="0" w:line="202" w:lineRule="exact"/>
              <w:rPr>
                <w:sz w:val="20"/>
                <w:szCs w:val="20"/>
                <w:color w:val="auto"/>
              </w:rPr>
            </w:pPr>
            <w:r>
              <w:rPr>
                <w:rFonts w:ascii="Arial" w:cs="Arial" w:eastAsia="Arial" w:hAnsi="Arial"/>
                <w:sz w:val="18"/>
                <w:szCs w:val="18"/>
                <w:color w:val="auto"/>
              </w:rPr>
              <w:t>•</w:t>
            </w:r>
          </w:p>
        </w:tc>
        <w:tc>
          <w:tcPr>
            <w:tcW w:w="474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financing requirements and recommends to the</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expected to have significant financial implications and</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Board specific financing arrangements</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recommends to the Board such transactions</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ind w:left="480"/>
              <w:spacing w:after="0" w:line="202" w:lineRule="exact"/>
              <w:rPr>
                <w:sz w:val="20"/>
                <w:szCs w:val="20"/>
                <w:color w:val="auto"/>
              </w:rPr>
            </w:pPr>
            <w:r>
              <w:rPr>
                <w:rFonts w:ascii="Arial" w:cs="Arial" w:eastAsia="Arial" w:hAnsi="Arial"/>
                <w:sz w:val="18"/>
                <w:szCs w:val="18"/>
                <w:color w:val="auto"/>
              </w:rPr>
              <w:t>•</w:t>
            </w:r>
          </w:p>
        </w:tc>
        <w:tc>
          <w:tcPr>
            <w:tcW w:w="474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and recommends to the Board cash dividend</w:t>
            </w:r>
          </w:p>
        </w:tc>
        <w:tc>
          <w:tcPr>
            <w:tcW w:w="28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Reviews proposed annual capital budget and certain</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policy, annual cash dividend level and any other special</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material capital expenditures</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dividends</w:t>
            </w:r>
          </w:p>
        </w:tc>
        <w:tc>
          <w:tcPr>
            <w:tcW w:w="28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Evaluates the post-acquisition financial integration and</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ind w:left="480"/>
              <w:spacing w:after="0" w:line="202" w:lineRule="exact"/>
              <w:rPr>
                <w:sz w:val="20"/>
                <w:szCs w:val="20"/>
                <w:color w:val="auto"/>
              </w:rPr>
            </w:pPr>
            <w:r>
              <w:rPr>
                <w:rFonts w:ascii="Arial" w:cs="Arial" w:eastAsia="Arial" w:hAnsi="Arial"/>
                <w:sz w:val="18"/>
                <w:szCs w:val="18"/>
                <w:color w:val="auto"/>
              </w:rPr>
              <w:t>•</w:t>
            </w:r>
          </w:p>
        </w:tc>
        <w:tc>
          <w:tcPr>
            <w:tcW w:w="474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and recommends to the Board the authorization</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return on investment for certain transactions</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for the repurchase of equity or long-term debt</w:t>
            </w:r>
          </w:p>
        </w:tc>
        <w:tc>
          <w:tcPr>
            <w:tcW w:w="28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Reviews D&amp;O and liability insurance coverage</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ind w:left="480"/>
              <w:spacing w:after="0" w:line="202" w:lineRule="exact"/>
              <w:rPr>
                <w:sz w:val="20"/>
                <w:szCs w:val="20"/>
                <w:color w:val="auto"/>
              </w:rPr>
            </w:pPr>
            <w:r>
              <w:rPr>
                <w:rFonts w:ascii="Arial" w:cs="Arial" w:eastAsia="Arial" w:hAnsi="Arial"/>
                <w:sz w:val="18"/>
                <w:szCs w:val="18"/>
                <w:color w:val="auto"/>
              </w:rPr>
              <w:t>•</w:t>
            </w:r>
          </w:p>
        </w:tc>
        <w:tc>
          <w:tcPr>
            <w:tcW w:w="474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Reviews use of derivative, hedging and similar</w:t>
            </w:r>
          </w:p>
        </w:tc>
        <w:tc>
          <w:tcPr>
            <w:tcW w:w="28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Reviews areas of responsibility delegated to our</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instruments to manage financial, currency and interest</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Management Investment Committee, financial</w:t>
            </w:r>
          </w:p>
        </w:tc>
      </w:tr>
      <w:tr>
        <w:trPr>
          <w:trHeight w:val="203"/>
        </w:trPr>
        <w:tc>
          <w:tcPr>
            <w:tcW w:w="124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47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rate exposure</w:t>
            </w:r>
          </w:p>
        </w:tc>
        <w:tc>
          <w:tcPr>
            <w:tcW w:w="280" w:type="dxa"/>
            <w:vAlign w:val="bottom"/>
            <w:shd w:val="clear" w:color="auto" w:fill="D9D9D9"/>
          </w:tcPr>
          <w:p>
            <w:pPr>
              <w:spacing w:after="0"/>
              <w:rPr>
                <w:sz w:val="17"/>
                <w:szCs w:val="17"/>
                <w:color w:val="auto"/>
              </w:rPr>
            </w:pPr>
          </w:p>
        </w:tc>
        <w:tc>
          <w:tcPr>
            <w:tcW w:w="45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performance of benefit plan assets, and the</w:t>
            </w:r>
          </w:p>
        </w:tc>
      </w:tr>
      <w:tr>
        <w:trPr>
          <w:trHeight w:val="217"/>
        </w:trPr>
        <w:tc>
          <w:tcPr>
            <w:tcW w:w="1240" w:type="dxa"/>
            <w:vAlign w:val="bottom"/>
            <w:shd w:val="clear" w:color="auto" w:fill="D9D9D9"/>
          </w:tcPr>
          <w:p>
            <w:pPr>
              <w:spacing w:after="0"/>
              <w:rPr>
                <w:sz w:val="18"/>
                <w:szCs w:val="18"/>
                <w:color w:val="auto"/>
              </w:rPr>
            </w:pPr>
          </w:p>
        </w:tc>
        <w:tc>
          <w:tcPr>
            <w:tcW w:w="600" w:type="dxa"/>
            <w:vAlign w:val="bottom"/>
            <w:shd w:val="clear" w:color="auto" w:fill="D9D9D9"/>
          </w:tcPr>
          <w:p>
            <w:pPr>
              <w:spacing w:after="0"/>
              <w:rPr>
                <w:sz w:val="18"/>
                <w:szCs w:val="18"/>
                <w:color w:val="auto"/>
              </w:rPr>
            </w:pPr>
          </w:p>
        </w:tc>
        <w:tc>
          <w:tcPr>
            <w:tcW w:w="474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4560" w:type="dxa"/>
            <w:vAlign w:val="bottom"/>
            <w:shd w:val="clear" w:color="auto" w:fill="D9D9D9"/>
          </w:tcPr>
          <w:p>
            <w:pPr>
              <w:ind w:left="60"/>
              <w:spacing w:after="0"/>
              <w:rPr>
                <w:sz w:val="20"/>
                <w:szCs w:val="20"/>
                <w:color w:val="auto"/>
              </w:rPr>
            </w:pPr>
            <w:r>
              <w:rPr>
                <w:rFonts w:ascii="Arial" w:cs="Arial" w:eastAsia="Arial" w:hAnsi="Arial"/>
                <w:sz w:val="18"/>
                <w:szCs w:val="18"/>
                <w:color w:val="auto"/>
              </w:rPr>
              <w:t>performance of the Management Investment Committee</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Board’s Role in Risk Oversight</w:t>
      </w:r>
    </w:p>
    <w:p>
      <w:pPr>
        <w:spacing w:after="0" w:line="234"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We engage in an ERM process, which is coordinated primarily through our internal audit function, and involves:</w:t>
      </w:r>
    </w:p>
    <w:p>
      <w:pPr>
        <w:spacing w:after="0" w:line="224"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identification by senior leaders of our business functions and divisions of the particular risks relevant to their respective areas;</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assessment of the materiality of those risks, based on expected probability of occurrence and severity of impact;</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prudent and feasible, development of strategies and plans to mitigate, monitor and control such risks;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scheduled reports by the respective senior leaders on such items to the Audit Committee throughout the year.</w:t>
      </w:r>
    </w:p>
    <w:p>
      <w:pPr>
        <w:spacing w:after="0" w:line="212"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 proceedings, and management succession plans. In addition, the Board uses its committees to assist with risk oversight within their respective areas of responsibility and expertise as follows:</w:t>
      </w:r>
    </w:p>
    <w:p>
      <w:pPr>
        <w:spacing w:after="0" w:line="229" w:lineRule="exact"/>
        <w:rPr>
          <w:sz w:val="20"/>
          <w:szCs w:val="20"/>
          <w:color w:val="auto"/>
        </w:rPr>
      </w:pPr>
    </w:p>
    <w:p>
      <w:pPr>
        <w:ind w:left="780" w:right="80" w:hanging="326"/>
        <w:spacing w:after="0" w:line="237"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and our general policies and procedures regarding accounting and financial matters and internal controls. The Audit Committee is also responsible for providing oversight of our ERM process by discussing our policies with respect to risk assessment and risk management, including our major financial and business risk exposures and the steps Management has taken to monitor and control such exposures.</w:t>
      </w:r>
    </w:p>
    <w:p>
      <w:pPr>
        <w:spacing w:after="0" w:line="232" w:lineRule="exact"/>
        <w:rPr>
          <w:rFonts w:ascii="Arial" w:cs="Arial" w:eastAsia="Arial" w:hAnsi="Arial"/>
          <w:sz w:val="18"/>
          <w:szCs w:val="18"/>
          <w:color w:val="auto"/>
        </w:rPr>
      </w:pPr>
    </w:p>
    <w:p>
      <w:pPr>
        <w:ind w:left="780" w:right="520" w:hanging="326"/>
        <w:spacing w:after="0" w:line="23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programs and policies, including executive compensation, and employee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49.</w:t>
      </w:r>
    </w:p>
    <w:p>
      <w:pPr>
        <w:spacing w:after="0" w:line="228" w:lineRule="exact"/>
        <w:rPr>
          <w:rFonts w:ascii="Arial" w:cs="Arial" w:eastAsia="Arial" w:hAnsi="Arial"/>
          <w:sz w:val="18"/>
          <w:szCs w:val="18"/>
          <w:color w:val="auto"/>
        </w:rPr>
      </w:pPr>
    </w:p>
    <w:p>
      <w:pPr>
        <w:ind w:left="780" w:right="40" w:hanging="326"/>
        <w:spacing w:after="0" w:line="255"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and the delegated responsibilities of our Management Investment Committee relating to our ERISA-regulated employee benefit plans; and through its evaluation of, among other things, the financial impact of proposed business combination transactions expected to have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260"/>
        <w:spacing w:after="0" w:line="246" w:lineRule="auto"/>
        <w:rPr>
          <w:sz w:val="20"/>
          <w:szCs w:val="20"/>
          <w:color w:val="auto"/>
        </w:rPr>
      </w:pPr>
      <w:r>
        <w:rPr>
          <w:rFonts w:ascii="Arial" w:cs="Arial" w:eastAsia="Arial" w:hAnsi="Arial"/>
          <w:sz w:val="18"/>
          <w:szCs w:val="18"/>
          <w:color w:val="auto"/>
        </w:rPr>
        <w:t>significant financial implications and related recommendations to the Board and review of post-acquisition financial integration and return on investment.</w:t>
      </w:r>
    </w:p>
    <w:p>
      <w:pPr>
        <w:spacing w:after="0" w:line="224" w:lineRule="exact"/>
        <w:rPr>
          <w:sz w:val="20"/>
          <w:szCs w:val="20"/>
          <w:color w:val="auto"/>
        </w:rPr>
      </w:pPr>
    </w:p>
    <w:p>
      <w:pPr>
        <w:ind w:left="780" w:right="140" w:hanging="326"/>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and Board committee structure.</w:t>
      </w:r>
    </w:p>
    <w:p>
      <w:pPr>
        <w:spacing w:after="0" w:line="197"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responsibilities of each of these committees can be found under “Board Committees” beginning on page 18.</w:t>
      </w:r>
    </w:p>
    <w:p>
      <w:pPr>
        <w:spacing w:after="0" w:line="197"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The Board believes that its oversight of risk is enhanced by the current leadership structure, as previously discussed, because our Chairman, who chairs our Board meetings and works closely with our CEO to establish agendas for Board meetings, and our CEO, who manages our Company’s day-to-day operations and assists the Chairman with establishing agendas for Board meetings, each have an in-depth knowledge and understanding of our Company and are well positioned to bring key business issues and risks to the attention of the full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Executive Compensation Process</w:t>
      </w:r>
    </w:p>
    <w:p>
      <w:pPr>
        <w:spacing w:after="0" w:line="234"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spacing w:after="0" w:line="102"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238" w:lineRule="exact"/>
        <w:rPr>
          <w:rFonts w:ascii="Arial" w:cs="Arial" w:eastAsia="Arial" w:hAnsi="Arial"/>
          <w:sz w:val="18"/>
          <w:szCs w:val="18"/>
          <w:color w:val="auto"/>
        </w:rPr>
      </w:pPr>
    </w:p>
    <w:p>
      <w:pPr>
        <w:ind w:left="1120" w:right="380" w:hanging="324"/>
        <w:spacing w:after="0"/>
        <w:rPr>
          <w:rFonts w:ascii="Arial" w:cs="Arial" w:eastAsia="Arial" w:hAnsi="Arial"/>
          <w:sz w:val="18"/>
          <w:szCs w:val="18"/>
          <w:color w:val="auto"/>
        </w:rPr>
      </w:pPr>
      <w:r>
        <w:rPr>
          <w:rFonts w:ascii="Arial" w:cs="Arial" w:eastAsia="Arial" w:hAnsi="Arial"/>
          <w:sz w:val="18"/>
          <w:szCs w:val="18"/>
          <w:color w:val="auto"/>
        </w:rPr>
        <w:t>– 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229" w:lineRule="exact"/>
        <w:rPr>
          <w:rFonts w:ascii="Arial" w:cs="Arial" w:eastAsia="Arial" w:hAnsi="Arial"/>
          <w:sz w:val="18"/>
          <w:szCs w:val="18"/>
          <w:color w:val="auto"/>
        </w:rPr>
      </w:pPr>
    </w:p>
    <w:p>
      <w:pPr>
        <w:ind w:left="1120" w:right="200" w:hanging="324"/>
        <w:spacing w:after="0"/>
        <w:rPr>
          <w:rFonts w:ascii="Arial" w:cs="Arial" w:eastAsia="Arial" w:hAnsi="Arial"/>
          <w:sz w:val="18"/>
          <w:szCs w:val="18"/>
          <w:color w:val="auto"/>
        </w:rPr>
      </w:pPr>
      <w:r>
        <w:rPr>
          <w:rFonts w:ascii="Arial" w:cs="Arial" w:eastAsia="Arial" w:hAnsi="Arial"/>
          <w:sz w:val="18"/>
          <w:szCs w:val="18"/>
          <w:color w:val="auto"/>
        </w:rPr>
        <w:t>– long-term incentive awards, including (i) stock option awards and (ii) three-year performance share awards, including (a) target share payout amounts and maximum share payout amounts and (b) performance measures, weightings, goals and adjustment events.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review and approval, the Committee receives information regarding:</w:t>
      </w:r>
    </w:p>
    <w:p>
      <w:pPr>
        <w:spacing w:after="0" w:line="239" w:lineRule="exact"/>
        <w:rPr>
          <w:sz w:val="20"/>
          <w:szCs w:val="20"/>
          <w:color w:val="auto"/>
        </w:rPr>
      </w:pPr>
    </w:p>
    <w:p>
      <w:pPr>
        <w:ind w:left="780" w:right="240" w:hanging="326"/>
        <w:spacing w:after="0" w:line="24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fiscal year target equity values;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direct compensation for the fiscal year, assuming equity awards at target.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the Committee obtains executive compensation recommendations from our Chairman, CEO, Vice President, Human Resources and Managing Director, HR and Total Rewards that reflect individual performance; corporate, division and/or plant performance, as applicable; tenure in the position; comparison to market; level of professional experience; duties and responsibilities; internal pay comparisons; and outside market factors, including general economic conditions. None of the Chairman, CEO nor the Vice President, Human Resources provide input or recommendations with respect to his or her own compensation. The Chair of the Committee is also responsible for coordinating a performance evaluation for the CEO based on feedback from all non -employee directors in connection with the ratification of the CEO’s compensation by the Board. Information on the compensation of our named executive officers is found under “Executive Compensation” beginning on page 33. Also, at the beginning of each fiscal year, the Committee certifies the achievement of performance goals previously established by the Committee at the beginning of the prior fiscal year for annual cash incentive awards and performance goals previously established by the Committee at the beginning of the performance period for performance share awards and approves resulting payouts, if any.</w:t>
      </w:r>
    </w:p>
    <w:p>
      <w:pPr>
        <w:spacing w:after="0" w:line="207" w:lineRule="exact"/>
        <w:rPr>
          <w:sz w:val="20"/>
          <w:szCs w:val="20"/>
          <w:color w:val="auto"/>
        </w:rPr>
      </w:pPr>
    </w:p>
    <w:p>
      <w:pPr>
        <w:ind w:right="200" w:firstLine="456"/>
        <w:spacing w:after="0"/>
        <w:rPr>
          <w:sz w:val="20"/>
          <w:szCs w:val="20"/>
          <w:color w:val="auto"/>
        </w:rPr>
      </w:pPr>
      <w:r>
        <w:rPr>
          <w:rFonts w:ascii="Arial" w:cs="Arial" w:eastAsia="Arial" w:hAnsi="Arial"/>
          <w:sz w:val="18"/>
          <w:szCs w:val="18"/>
          <w:color w:val="auto"/>
        </w:rPr>
        <w:t>The Compensation &amp; Human Resources Committee retained Willis Towers Watson to assist in the design and review of our executive compensation program during fiscal 2016. Additional information regarding the role of Willis Towers Watson during fiscal 2016 is found under “Compensation Discussion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and Analysis—Role of the Independent External Compensation Consultant” beginning on page 36. From time to time, the Committee also has engaged Willis Towers Watson to perform other compensation consulting services, which in fiscal 2016 included a review of non-employee director compensation and a review of chief executive officer and executive chairman of the board compensation in connection with the transitions of Mr. Hoffman to executive Chairman of the Board and Mr. Olson to Chief Executive Officer beginning in fiscal 2017. Additional information regarding these transitions is found under “Compensation Discussion and Analysis—Compensation Decisions Relating to Fiscal 2017 CEO Transition” on page 39. For the services performed for our Company in fiscal 2016, the Committee assessed the independence of Willis Towers Watson pursuant to SEC and NYSE rules and concluded that the work of Willis Towers Watson did not raise any conflicts of interest. Representatives from Willis Towers Watson attended meetings of the Committee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Nomination Process</w:t>
      </w:r>
    </w:p>
    <w:p>
      <w:pPr>
        <w:spacing w:after="0" w:line="234"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first may solicit recommendations for nominees from persons whom the Committee believes are likely to be familiar with candidates having the skills and characteristics required for Board nominees. Such persons may include members of the Board and our Senior Management. In addition, the Committee may engage a search firm to assist it in identifying and evaluating qualified nominees. The Committee has sole authority to retain and terminate any search firm to be used to identify director candidates and has sole authority to approve the search firm’s fees and other retention terms.</w:t>
      </w:r>
    </w:p>
    <w:p>
      <w:pPr>
        <w:spacing w:after="0" w:line="20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and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background, skills, and business and professional experiences.</w:t>
      </w:r>
    </w:p>
    <w:p>
      <w:pPr>
        <w:spacing w:after="0" w:line="205"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The Nominating &amp; Governance Committee may solicit the views of Senior Management, Board members and any other individuals it believes may have insight into a candidate. The Committee may designate one or more of its members and/or other Board members to interview any proposed candidate. The Committee then will recommend a director nominee to the Board based on its evaluation of such criteria.</w:t>
      </w:r>
    </w:p>
    <w:p>
      <w:pPr>
        <w:spacing w:after="0" w:line="202"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In April 2016, the Board of Directors determined to increase the size of the Board to provide for the addition of a new member of the Board. The Nominating &amp; Governance Committee began the process of identifying new nominees for election to the Board by soliciting recommendations from members of the Board and members of our Senior Management. During that process, various candidates, including Mr. Koch, were screened and interviewed and, ultimately, Mr. Koch was identified as a potential candidate by Board members and interviewed by the Chairman of the Board, the Chair of the Nominating &amp; Governance Committee and certain other members of the Board and Senior Management. The Nominating &amp; Governance Committee recommended to the full Board that the Board be increased from ten to eleven directors and that Mr. Koch be elected to fill the vacancy created by such increase. Mr. Koch was elected effective April 21, 2016, and is included in the group of nominees for election by our shareholders at the 2017 Annual Meeting of Shareholders for a term expiring at the 2020 Annual Meeting of Shareholders. See Proposal One—Election of Directors on page 9.</w:t>
      </w:r>
    </w:p>
    <w:p>
      <w:pPr>
        <w:spacing w:after="0" w:line="20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as described under “Shareholder Proposals and Director Nominations for the 2018 Annual Meeting” beginning on page 65.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Compensation</w:t>
      </w:r>
    </w:p>
    <w:p>
      <w:pPr>
        <w:spacing w:after="0" w:line="212" w:lineRule="exact"/>
        <w:rPr>
          <w:sz w:val="20"/>
          <w:szCs w:val="20"/>
          <w:color w:val="auto"/>
        </w:rPr>
      </w:pPr>
    </w:p>
    <w:p>
      <w:pPr>
        <w:ind w:firstLine="456"/>
        <w:spacing w:after="0"/>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2016, our non -employee director compensation was comprised of equity compensation, in the form of automatic annual stock and stock option awards, and cash compensation, in the form of annual retainers. Each of these components is described in more detail below. This compensation program structure, together with the feature of The Toro Company Amended and Restated 2010 Equity and Incentive Plan, as amended and restated, or the Amended and Restated 2010 Plan, that enables our directors to elect to receive a portion or all of their cash compensation in the form of our common stock, causes a substantial portion of our non-employee director compensation to be linked to our common stock performance. Mr. Hoffman and Mr. Olson, as employee directors, do not receive any additional compensation for their service as directors.</w:t>
      </w:r>
    </w:p>
    <w:p>
      <w:pPr>
        <w:spacing w:after="0" w:line="383" w:lineRule="exact"/>
        <w:rPr>
          <w:sz w:val="20"/>
          <w:szCs w:val="20"/>
          <w:color w:val="auto"/>
        </w:rPr>
      </w:pPr>
    </w:p>
    <w:p>
      <w:pPr>
        <w:ind w:right="380" w:firstLine="456"/>
        <w:spacing w:after="0" w:line="244" w:lineRule="auto"/>
        <w:rPr>
          <w:sz w:val="20"/>
          <w:szCs w:val="20"/>
          <w:color w:val="auto"/>
        </w:rPr>
      </w:pPr>
      <w:r>
        <w:rPr>
          <w:rFonts w:ascii="Arial" w:cs="Arial" w:eastAsia="Arial" w:hAnsi="Arial"/>
          <w:sz w:val="18"/>
          <w:szCs w:val="18"/>
          <w:b w:val="1"/>
          <w:bCs w:val="1"/>
          <w:color w:val="auto"/>
        </w:rPr>
        <w:t xml:space="preserve">Processes for Consideration and Determination of Director Compensation. </w:t>
      </w:r>
      <w:r>
        <w:rPr>
          <w:rFonts w:ascii="Arial" w:cs="Arial" w:eastAsia="Arial" w:hAnsi="Arial"/>
          <w:sz w:val="18"/>
          <w:szCs w:val="18"/>
          <w:color w:val="auto"/>
        </w:rPr>
        <w:t>The Board has delegated to the Compensation &amp;</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Committee the responsibility, among other things, to review and recommend to the Board any proposed changes in non-employee director compensation. In connection with such review, the Compensation &amp; Human Resources Committee is assisted in performing its duties by our Human Resources Department and also engages an independent external compensation consultant to provide analysis regarding non-employee director compensation.</w:t>
      </w:r>
    </w:p>
    <w:p>
      <w:pPr>
        <w:spacing w:after="0" w:line="199"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During fiscal 2016, the Compensation &amp; Human Resources Committee engaged Willis Towers Watson to review our non-employee director compensation. Willis Towers Watson’s review consisted of, among other things, analysis of board compensation trends and a competitive assessment based on a selected group of manufacturing companies operating in the United States that are similarly situated to us from a revenue and market capitalization perspective. The Compensation &amp; Human Resources Committee considered this data in determining whether to recommend any changes to our non-employee director compensation program and the approved non-employee director compensation program for fiscal 2016 is presented in the table below. Overall, the review by Willis Towers Watson showed that our non-employee director compensation program for fiscal 2016 was aligned with market trends from a design perspective and at or below the peer group midpoint from a compensation level standpoint.</w:t>
      </w:r>
    </w:p>
    <w:p>
      <w:pPr>
        <w:spacing w:after="0" w:line="186" w:lineRule="exact"/>
        <w:rPr>
          <w:sz w:val="20"/>
          <w:szCs w:val="20"/>
          <w:color w:val="auto"/>
        </w:rPr>
      </w:pPr>
    </w:p>
    <w:p>
      <w:pPr>
        <w:ind w:right="400" w:firstLine="456"/>
        <w:spacing w:after="0" w:line="271"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2016 and fiscal 2017</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compensation programs.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Non-Employee Director Compensation</w:t>
            </w:r>
          </w:p>
        </w:tc>
        <w:tc>
          <w:tcPr>
            <w:tcW w:w="4960" w:type="dxa"/>
            <w:vAlign w:val="bottom"/>
            <w:gridSpan w:val="2"/>
            <w:shd w:val="clear" w:color="auto" w:fill="C00000"/>
          </w:tcPr>
          <w:p>
            <w:pPr>
              <w:ind w:left="4000"/>
              <w:spacing w:after="0"/>
              <w:rPr>
                <w:sz w:val="20"/>
                <w:szCs w:val="20"/>
                <w:color w:val="auto"/>
              </w:rPr>
            </w:pPr>
            <w:r>
              <w:rPr>
                <w:rFonts w:ascii="Arial" w:cs="Arial" w:eastAsia="Arial" w:hAnsi="Arial"/>
                <w:sz w:val="14"/>
                <w:szCs w:val="14"/>
                <w:b w:val="1"/>
                <w:bCs w:val="1"/>
                <w:color w:val="FFFFFF"/>
              </w:rPr>
              <w:t>Fiscal 2016</w:t>
            </w:r>
          </w:p>
        </w:tc>
        <w:tc>
          <w:tcPr>
            <w:tcW w:w="1100" w:type="dxa"/>
            <w:vAlign w:val="bottom"/>
            <w:gridSpan w:val="2"/>
            <w:shd w:val="clear" w:color="auto" w:fill="C00000"/>
          </w:tcPr>
          <w:p>
            <w:pPr>
              <w:ind w:left="160"/>
              <w:spacing w:after="0"/>
              <w:rPr>
                <w:sz w:val="20"/>
                <w:szCs w:val="20"/>
                <w:color w:val="auto"/>
              </w:rPr>
            </w:pPr>
            <w:r>
              <w:rPr>
                <w:rFonts w:ascii="Arial" w:cs="Arial" w:eastAsia="Arial" w:hAnsi="Arial"/>
                <w:sz w:val="14"/>
                <w:szCs w:val="14"/>
                <w:b w:val="1"/>
                <w:bCs w:val="1"/>
                <w:color w:val="FFFFFF"/>
              </w:rPr>
              <w:t>Fiscal 2017</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Annual Stock Award Value</w:t>
            </w:r>
          </w:p>
        </w:tc>
        <w:tc>
          <w:tcPr>
            <w:tcW w:w="4180" w:type="dxa"/>
            <w:vAlign w:val="bottom"/>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55,000</w:t>
            </w:r>
          </w:p>
        </w:tc>
        <w:tc>
          <w:tcPr>
            <w:tcW w:w="3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60,000</w:t>
            </w:r>
          </w:p>
        </w:tc>
      </w:tr>
      <w:tr>
        <w:trPr>
          <w:trHeight w:val="203"/>
        </w:trPr>
        <w:tc>
          <w:tcPr>
            <w:tcW w:w="5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Annual Stock Option Award Value</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55,000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55,000</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Annual Board and Committee Member Retainers</w:t>
            </w:r>
          </w:p>
        </w:tc>
        <w:tc>
          <w:tcPr>
            <w:tcW w:w="4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Board</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75,000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80,000</w:t>
            </w: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Audit Committee Member</w:t>
            </w:r>
          </w:p>
        </w:tc>
        <w:tc>
          <w:tcPr>
            <w:tcW w:w="4180" w:type="dxa"/>
            <w:vAlign w:val="bottom"/>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10,000</w:t>
            </w:r>
          </w:p>
        </w:tc>
        <w:tc>
          <w:tcPr>
            <w:tcW w:w="3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5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Compensation &amp; Human Resources Committee Member</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6,000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6,000</w:t>
            </w: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Nominating &amp; Governance Committee Member</w:t>
            </w:r>
          </w:p>
        </w:tc>
        <w:tc>
          <w:tcPr>
            <w:tcW w:w="4180" w:type="dxa"/>
            <w:vAlign w:val="bottom"/>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4,000</w:t>
            </w:r>
          </w:p>
        </w:tc>
        <w:tc>
          <w:tcPr>
            <w:tcW w:w="3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5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Finance Committee Member</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5,000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Annual Lead Director and Committee Chair Additional Retainers</w:t>
            </w:r>
          </w:p>
        </w:tc>
        <w:tc>
          <w:tcPr>
            <w:tcW w:w="4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Lead Director</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25,000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Audit Committee Chair</w:t>
            </w:r>
          </w:p>
        </w:tc>
        <w:tc>
          <w:tcPr>
            <w:tcW w:w="4180" w:type="dxa"/>
            <w:vAlign w:val="bottom"/>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15,000</w:t>
            </w:r>
          </w:p>
        </w:tc>
        <w:tc>
          <w:tcPr>
            <w:tcW w:w="3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5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10,000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4180" w:type="dxa"/>
            <w:vAlign w:val="bottom"/>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5,000</w:t>
            </w:r>
          </w:p>
        </w:tc>
        <w:tc>
          <w:tcPr>
            <w:tcW w:w="3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5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Finance Committee Chair</w:t>
            </w:r>
          </w:p>
        </w:tc>
        <w:tc>
          <w:tcPr>
            <w:tcW w:w="4180" w:type="dxa"/>
            <w:vAlign w:val="bottom"/>
            <w:shd w:val="clear" w:color="auto" w:fill="D9D9D9"/>
          </w:tcPr>
          <w:p>
            <w:pPr>
              <w:ind w:left="39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5,000</w:t>
            </w:r>
          </w:p>
        </w:tc>
        <w:tc>
          <w:tcPr>
            <w:tcW w:w="3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5,000</w:t>
            </w:r>
          </w:p>
        </w:tc>
      </w:tr>
      <w:tr>
        <w:trPr>
          <w:trHeight w:val="365"/>
        </w:trPr>
        <w:tc>
          <w:tcPr>
            <w:tcW w:w="5360" w:type="dxa"/>
            <w:vAlign w:val="bottom"/>
          </w:tcPr>
          <w:p>
            <w:pPr>
              <w:spacing w:after="0"/>
              <w:rPr>
                <w:sz w:val="24"/>
                <w:szCs w:val="24"/>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key characteristics of the elements of our non-employee director compensation program:</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420" w:type="dxa"/>
            <w:vAlign w:val="bottom"/>
            <w:shd w:val="clear" w:color="auto" w:fill="C00000"/>
          </w:tcPr>
          <w:p>
            <w:pPr>
              <w:ind w:left="4080"/>
              <w:spacing w:after="0"/>
              <w:rPr>
                <w:sz w:val="20"/>
                <w:szCs w:val="20"/>
                <w:color w:val="auto"/>
              </w:rPr>
            </w:pPr>
            <w:r>
              <w:rPr>
                <w:rFonts w:ascii="Arial" w:cs="Arial" w:eastAsia="Arial" w:hAnsi="Arial"/>
                <w:sz w:val="14"/>
                <w:szCs w:val="14"/>
                <w:b w:val="1"/>
                <w:bCs w:val="1"/>
                <w:color w:val="FFFFFF"/>
              </w:rPr>
              <w:t>Key Characteristics</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Annual Retainers</w:t>
            </w:r>
          </w:p>
        </w:tc>
        <w:tc>
          <w:tcPr>
            <w:tcW w:w="9420" w:type="dxa"/>
            <w:vAlign w:val="bottom"/>
          </w:tcPr>
          <w:p>
            <w:pPr>
              <w:ind w:left="80"/>
              <w:spacing w:after="0" w:line="201" w:lineRule="exact"/>
              <w:rPr>
                <w:sz w:val="20"/>
                <w:szCs w:val="20"/>
                <w:color w:val="auto"/>
              </w:rPr>
            </w:pPr>
            <w:r>
              <w:rPr>
                <w:rFonts w:ascii="Arial" w:cs="Arial" w:eastAsia="Arial" w:hAnsi="Arial"/>
                <w:sz w:val="18"/>
                <w:szCs w:val="18"/>
                <w:color w:val="auto"/>
              </w:rPr>
              <w:t>Each Board and committee member, committee chair and the Lead Director receive annual retainers as described in</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3" w:lineRule="exact"/>
              <w:rPr>
                <w:sz w:val="20"/>
                <w:szCs w:val="20"/>
                <w:color w:val="auto"/>
              </w:rPr>
            </w:pPr>
            <w:r>
              <w:rPr>
                <w:rFonts w:ascii="Arial" w:cs="Arial" w:eastAsia="Arial" w:hAnsi="Arial"/>
                <w:sz w:val="18"/>
                <w:szCs w:val="18"/>
                <w:color w:val="auto"/>
              </w:rPr>
              <w:t>the foregoing table for their respective service on our Board.</w:t>
            </w:r>
          </w:p>
        </w:tc>
      </w:tr>
      <w:tr>
        <w:trPr>
          <w:trHeight w:val="202"/>
        </w:trPr>
        <w:tc>
          <w:tcPr>
            <w:tcW w:w="20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Stock Awards</w:t>
            </w:r>
          </w:p>
        </w:tc>
        <w:tc>
          <w:tcPr>
            <w:tcW w:w="9420" w:type="dxa"/>
            <w:vAlign w:val="bottom"/>
            <w:shd w:val="clear" w:color="auto" w:fill="D9D9D9"/>
          </w:tcPr>
          <w:p>
            <w:pPr>
              <w:ind w:left="80"/>
              <w:spacing w:after="0" w:line="201" w:lineRule="exact"/>
              <w:rPr>
                <w:sz w:val="20"/>
                <w:szCs w:val="20"/>
                <w:color w:val="auto"/>
              </w:rPr>
            </w:pPr>
            <w:r>
              <w:rPr>
                <w:rFonts w:ascii="Arial" w:cs="Arial" w:eastAsia="Arial" w:hAnsi="Arial"/>
                <w:sz w:val="18"/>
                <w:szCs w:val="18"/>
                <w:color w:val="auto"/>
              </w:rPr>
              <w:t>On the first business day of our fiscal year (usually November 1), shares of our common stock are automatically</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granted under the Amended and Restated 2010 Plan. The stock award is determined by dividing the stock award</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value by the average of the closing prices of our common stock, as reported on the NYSE, during the three months</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3" w:lineRule="exact"/>
              <w:rPr>
                <w:sz w:val="20"/>
                <w:szCs w:val="20"/>
                <w:color w:val="auto"/>
              </w:rPr>
            </w:pPr>
            <w:r>
              <w:rPr>
                <w:rFonts w:ascii="Arial" w:cs="Arial" w:eastAsia="Arial" w:hAnsi="Arial"/>
                <w:sz w:val="18"/>
                <w:szCs w:val="18"/>
                <w:color w:val="auto"/>
              </w:rPr>
              <w:t>prior to the grant. The shares are fully vested at the time of grant.</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Stock Option Awards</w:t>
            </w:r>
          </w:p>
        </w:tc>
        <w:tc>
          <w:tcPr>
            <w:tcW w:w="9420" w:type="dxa"/>
            <w:vAlign w:val="bottom"/>
          </w:tcPr>
          <w:p>
            <w:pPr>
              <w:ind w:left="80"/>
              <w:spacing w:after="0" w:line="201" w:lineRule="exact"/>
              <w:rPr>
                <w:sz w:val="20"/>
                <w:szCs w:val="20"/>
                <w:color w:val="auto"/>
              </w:rPr>
            </w:pPr>
            <w:r>
              <w:rPr>
                <w:rFonts w:ascii="Arial" w:cs="Arial" w:eastAsia="Arial" w:hAnsi="Arial"/>
                <w:sz w:val="18"/>
                <w:szCs w:val="18"/>
                <w:color w:val="auto"/>
              </w:rPr>
              <w:t>On the first business day of our fiscal year, a stock option to purchase shares of our common stock is automatically</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granted. The stock option award is determined by dividing the stock option award value by the grant date fair value of</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a stock option to purchase one share of our common stock. See below for additional information regarding vesting of</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3" w:lineRule="exact"/>
              <w:rPr>
                <w:sz w:val="20"/>
                <w:szCs w:val="20"/>
                <w:color w:val="auto"/>
              </w:rPr>
            </w:pPr>
            <w:r>
              <w:rPr>
                <w:rFonts w:ascii="Arial" w:cs="Arial" w:eastAsia="Arial" w:hAnsi="Arial"/>
                <w:sz w:val="18"/>
                <w:szCs w:val="18"/>
                <w:color w:val="auto"/>
              </w:rPr>
              <w:t>stock option grants.</w:t>
            </w:r>
          </w:p>
        </w:tc>
      </w:tr>
      <w:tr>
        <w:trPr>
          <w:trHeight w:val="202"/>
        </w:trPr>
        <w:tc>
          <w:tcPr>
            <w:tcW w:w="20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Common Stock In Lieu</w:t>
            </w:r>
          </w:p>
        </w:tc>
        <w:tc>
          <w:tcPr>
            <w:tcW w:w="9420" w:type="dxa"/>
            <w:vAlign w:val="bottom"/>
            <w:shd w:val="clear" w:color="auto" w:fill="D9D9D9"/>
          </w:tcPr>
          <w:p>
            <w:pPr>
              <w:ind w:left="80"/>
              <w:spacing w:after="0" w:line="201" w:lineRule="exact"/>
              <w:rPr>
                <w:sz w:val="20"/>
                <w:szCs w:val="20"/>
                <w:color w:val="auto"/>
              </w:rPr>
            </w:pPr>
            <w:r>
              <w:rPr>
                <w:rFonts w:ascii="Arial" w:cs="Arial" w:eastAsia="Arial" w:hAnsi="Arial"/>
                <w:sz w:val="18"/>
                <w:szCs w:val="18"/>
                <w:color w:val="auto"/>
              </w:rPr>
              <w:t>Our non-employee directors may elect to convert a portion or all of their calendar year annual retainers otherwise</w:t>
            </w:r>
          </w:p>
        </w:tc>
      </w:tr>
      <w:tr>
        <w:trPr>
          <w:trHeight w:val="203"/>
        </w:trPr>
        <w:tc>
          <w:tcPr>
            <w:tcW w:w="20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of Annual Retainers</w:t>
            </w: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payable in cash into shares of our common stock. Annual retainers earned after the date a director makes a</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stock-in-lieu of cash election for a calendar year are issued in shares of common stock in December of that year, the</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number of which is determined by dividing the dollar amount of the annual retainers earned in the calendar year and</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elected to be converted into shares of our common stock by the closing price of our common stock, as reported on</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3" w:lineRule="exact"/>
              <w:rPr>
                <w:sz w:val="20"/>
                <w:szCs w:val="20"/>
                <w:color w:val="auto"/>
              </w:rPr>
            </w:pPr>
            <w:r>
              <w:rPr>
                <w:rFonts w:ascii="Arial" w:cs="Arial" w:eastAsia="Arial" w:hAnsi="Arial"/>
                <w:sz w:val="18"/>
                <w:szCs w:val="18"/>
                <w:color w:val="auto"/>
              </w:rPr>
              <w:t>the NYSE, on the date that the shares are issued.</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Deferred Compensation</w:t>
            </w:r>
          </w:p>
        </w:tc>
        <w:tc>
          <w:tcPr>
            <w:tcW w:w="9420" w:type="dxa"/>
            <w:vAlign w:val="bottom"/>
          </w:tcPr>
          <w:p>
            <w:pPr>
              <w:ind w:left="80"/>
              <w:spacing w:after="0" w:line="201" w:lineRule="exact"/>
              <w:rPr>
                <w:sz w:val="20"/>
                <w:szCs w:val="20"/>
                <w:color w:val="auto"/>
              </w:rPr>
            </w:pPr>
            <w:r>
              <w:rPr>
                <w:rFonts w:ascii="Arial" w:cs="Arial" w:eastAsia="Arial" w:hAnsi="Arial"/>
                <w:sz w:val="18"/>
                <w:szCs w:val="18"/>
                <w:color w:val="auto"/>
              </w:rPr>
              <w:t>Non-employee directors may elect to defer receipt of all or a part of his or her stock award and/or cash compensation</w:t>
            </w:r>
          </w:p>
        </w:tc>
      </w:tr>
      <w:tr>
        <w:trPr>
          <w:trHeight w:val="203"/>
        </w:trPr>
        <w:tc>
          <w:tcPr>
            <w:tcW w:w="2000" w:type="dxa"/>
            <w:vAlign w:val="bottom"/>
          </w:tcPr>
          <w:p>
            <w:pPr>
              <w:spacing w:after="0" w:line="202" w:lineRule="exact"/>
              <w:rPr>
                <w:sz w:val="20"/>
                <w:szCs w:val="20"/>
                <w:color w:val="auto"/>
              </w:rPr>
            </w:pPr>
            <w:r>
              <w:rPr>
                <w:rFonts w:ascii="Arial" w:cs="Arial" w:eastAsia="Arial" w:hAnsi="Arial"/>
                <w:sz w:val="18"/>
                <w:szCs w:val="18"/>
                <w:color w:val="auto"/>
              </w:rPr>
              <w:t>Plan</w:t>
            </w: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on a calendar year basis under the Deferred Plan for Directors. Because the value of a director’s deferred</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compensation account fluctuates, as applicable, based on the market value of our common stock or based on a rate</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of return on funds that are comparable to funds available in our IS&amp;ESOP, earnings on deferred compensation are</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w w:val="99"/>
              </w:rPr>
              <w:t>not preferential. Dividends paid on our common stock are credited to a director’s account as additional common stock</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units. A director is fully vested in his or her deferred compensation accounts. Distributions under the Deferred Plan</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for Directors are payable in accordance with the director participant’s prior distribution elections upon the earliest of</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3" w:lineRule="exact"/>
              <w:rPr>
                <w:sz w:val="20"/>
                <w:szCs w:val="20"/>
                <w:color w:val="auto"/>
              </w:rPr>
            </w:pPr>
            <w:r>
              <w:rPr>
                <w:rFonts w:ascii="Arial" w:cs="Arial" w:eastAsia="Arial" w:hAnsi="Arial"/>
                <w:sz w:val="18"/>
                <w:szCs w:val="18"/>
                <w:color w:val="auto"/>
              </w:rPr>
              <w:t>retirement, prior to retirement if a valid election has been made or in an unforeseeable financial emergency.</w:t>
            </w:r>
          </w:p>
        </w:tc>
      </w:tr>
      <w:tr>
        <w:trPr>
          <w:trHeight w:val="202"/>
        </w:trPr>
        <w:tc>
          <w:tcPr>
            <w:tcW w:w="20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Company Products</w:t>
            </w:r>
          </w:p>
        </w:tc>
        <w:tc>
          <w:tcPr>
            <w:tcW w:w="9420" w:type="dxa"/>
            <w:vAlign w:val="bottom"/>
            <w:shd w:val="clear" w:color="auto" w:fill="D9D9D9"/>
          </w:tcPr>
          <w:p>
            <w:pPr>
              <w:ind w:left="80"/>
              <w:spacing w:after="0" w:line="201" w:lineRule="exact"/>
              <w:rPr>
                <w:sz w:val="20"/>
                <w:szCs w:val="20"/>
                <w:color w:val="auto"/>
              </w:rPr>
            </w:pPr>
            <w:r>
              <w:rPr>
                <w:rFonts w:ascii="Arial" w:cs="Arial" w:eastAsia="Arial" w:hAnsi="Arial"/>
                <w:sz w:val="18"/>
                <w:szCs w:val="18"/>
                <w:color w:val="auto"/>
              </w:rPr>
              <w:t>Each of our non-employee directors is entitled to receive certain Company products and related parts, service and</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accessories for his or her personal use, at no cost; provided, however, that directors are responsible for payment of</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w w:val="99"/>
              </w:rPr>
              <w:t>applicable taxes attributable to the value of such items. The value of products, parts and accessories is deemed to be</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our distributor net price or its equivalent, which is also the price at which such items are generally available to our</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3" w:lineRule="exact"/>
              <w:rPr>
                <w:sz w:val="20"/>
                <w:szCs w:val="20"/>
                <w:color w:val="auto"/>
              </w:rPr>
            </w:pPr>
            <w:r>
              <w:rPr>
                <w:rFonts w:ascii="Arial" w:cs="Arial" w:eastAsia="Arial" w:hAnsi="Arial"/>
                <w:sz w:val="18"/>
                <w:szCs w:val="18"/>
                <w:color w:val="auto"/>
              </w:rPr>
              <w:t>employees for purchase.</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Charitable Giving</w:t>
            </w:r>
          </w:p>
        </w:tc>
        <w:tc>
          <w:tcPr>
            <w:tcW w:w="9420" w:type="dxa"/>
            <w:vAlign w:val="bottom"/>
          </w:tcPr>
          <w:p>
            <w:pPr>
              <w:ind w:left="80"/>
              <w:spacing w:after="0" w:line="201" w:lineRule="exact"/>
              <w:rPr>
                <w:sz w:val="20"/>
                <w:szCs w:val="20"/>
                <w:color w:val="auto"/>
              </w:rPr>
            </w:pPr>
            <w:r>
              <w:rPr>
                <w:rFonts w:ascii="Arial" w:cs="Arial" w:eastAsia="Arial" w:hAnsi="Arial"/>
                <w:sz w:val="18"/>
                <w:szCs w:val="18"/>
                <w:color w:val="auto"/>
              </w:rPr>
              <w:t>We offer a matching gift program for our non-employee directors, which provides that a gift or gifts by a director</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2" w:lineRule="exact"/>
              <w:rPr>
                <w:sz w:val="20"/>
                <w:szCs w:val="20"/>
                <w:color w:val="auto"/>
              </w:rPr>
            </w:pPr>
            <w:r>
              <w:rPr>
                <w:rFonts w:ascii="Arial" w:cs="Arial" w:eastAsia="Arial" w:hAnsi="Arial"/>
                <w:sz w:val="18"/>
                <w:szCs w:val="18"/>
                <w:color w:val="auto"/>
              </w:rPr>
              <w:t>and/or his or her spouse to one or more tax exempt 501(c)(3) charitable organizations located in the United States</w:t>
            </w:r>
          </w:p>
        </w:tc>
      </w:tr>
      <w:tr>
        <w:trPr>
          <w:trHeight w:val="203"/>
        </w:trPr>
        <w:tc>
          <w:tcPr>
            <w:tcW w:w="2000" w:type="dxa"/>
            <w:vAlign w:val="bottom"/>
          </w:tcPr>
          <w:p>
            <w:pPr>
              <w:spacing w:after="0"/>
              <w:rPr>
                <w:sz w:val="17"/>
                <w:szCs w:val="17"/>
                <w:color w:val="auto"/>
              </w:rPr>
            </w:pPr>
          </w:p>
        </w:tc>
        <w:tc>
          <w:tcPr>
            <w:tcW w:w="9420" w:type="dxa"/>
            <w:vAlign w:val="bottom"/>
          </w:tcPr>
          <w:p>
            <w:pPr>
              <w:ind w:left="80"/>
              <w:spacing w:after="0" w:line="203" w:lineRule="exact"/>
              <w:rPr>
                <w:sz w:val="20"/>
                <w:szCs w:val="20"/>
                <w:color w:val="auto"/>
              </w:rPr>
            </w:pPr>
            <w:r>
              <w:rPr>
                <w:rFonts w:ascii="Arial" w:cs="Arial" w:eastAsia="Arial" w:hAnsi="Arial"/>
                <w:sz w:val="18"/>
                <w:szCs w:val="18"/>
                <w:color w:val="auto"/>
              </w:rPr>
              <w:t>will be matched by us in an aggregate amount of up to $1,000 per director per year.</w:t>
            </w:r>
          </w:p>
        </w:tc>
      </w:tr>
      <w:tr>
        <w:trPr>
          <w:trHeight w:val="202"/>
        </w:trPr>
        <w:tc>
          <w:tcPr>
            <w:tcW w:w="20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Indemnification and</w:t>
            </w:r>
          </w:p>
        </w:tc>
        <w:tc>
          <w:tcPr>
            <w:tcW w:w="9420" w:type="dxa"/>
            <w:vAlign w:val="bottom"/>
            <w:shd w:val="clear" w:color="auto" w:fill="D9D9D9"/>
          </w:tcPr>
          <w:p>
            <w:pPr>
              <w:ind w:left="80"/>
              <w:spacing w:after="0" w:line="201" w:lineRule="exact"/>
              <w:rPr>
                <w:sz w:val="20"/>
                <w:szCs w:val="20"/>
                <w:color w:val="auto"/>
              </w:rPr>
            </w:pPr>
            <w:r>
              <w:rPr>
                <w:rFonts w:ascii="Arial" w:cs="Arial" w:eastAsia="Arial" w:hAnsi="Arial"/>
                <w:sz w:val="18"/>
                <w:szCs w:val="18"/>
                <w:color w:val="auto"/>
              </w:rPr>
              <w:t>Each non-employee director is a party to an indemnification agreement with us pursuant to which we have agreed to</w:t>
            </w:r>
          </w:p>
        </w:tc>
      </w:tr>
      <w:tr>
        <w:trPr>
          <w:trHeight w:val="203"/>
        </w:trPr>
        <w:tc>
          <w:tcPr>
            <w:tcW w:w="20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D&amp;O Insurance</w:t>
            </w:r>
          </w:p>
        </w:tc>
        <w:tc>
          <w:tcPr>
            <w:tcW w:w="9420" w:type="dxa"/>
            <w:vAlign w:val="bottom"/>
            <w:shd w:val="clear" w:color="auto" w:fill="D9D9D9"/>
          </w:tcPr>
          <w:p>
            <w:pPr>
              <w:ind w:left="80"/>
              <w:spacing w:after="0" w:line="202" w:lineRule="exact"/>
              <w:rPr>
                <w:sz w:val="20"/>
                <w:szCs w:val="20"/>
                <w:color w:val="auto"/>
              </w:rPr>
            </w:pPr>
            <w:r>
              <w:rPr>
                <w:rFonts w:ascii="Arial" w:cs="Arial" w:eastAsia="Arial" w:hAnsi="Arial"/>
                <w:sz w:val="18"/>
                <w:szCs w:val="18"/>
                <w:color w:val="auto"/>
              </w:rPr>
              <w:t>provide indemnification and advancement of expenses to the fullest extent permitted by Delaware law and our</w:t>
            </w:r>
          </w:p>
        </w:tc>
      </w:tr>
      <w:tr>
        <w:trPr>
          <w:trHeight w:val="203"/>
        </w:trPr>
        <w:tc>
          <w:tcPr>
            <w:tcW w:w="2000" w:type="dxa"/>
            <w:vAlign w:val="bottom"/>
            <w:shd w:val="clear" w:color="auto" w:fill="D9D9D9"/>
          </w:tcPr>
          <w:p>
            <w:pPr>
              <w:spacing w:after="0"/>
              <w:rPr>
                <w:sz w:val="17"/>
                <w:szCs w:val="17"/>
                <w:color w:val="auto"/>
              </w:rPr>
            </w:pPr>
          </w:p>
        </w:tc>
        <w:tc>
          <w:tcPr>
            <w:tcW w:w="9420" w:type="dxa"/>
            <w:vAlign w:val="bottom"/>
            <w:shd w:val="clear" w:color="auto" w:fill="D9D9D9"/>
          </w:tcPr>
          <w:p>
            <w:pPr>
              <w:ind w:left="80"/>
              <w:spacing w:after="0" w:line="203" w:lineRule="exact"/>
              <w:rPr>
                <w:sz w:val="20"/>
                <w:szCs w:val="20"/>
                <w:color w:val="auto"/>
              </w:rPr>
            </w:pPr>
            <w:r>
              <w:rPr>
                <w:rFonts w:ascii="Arial" w:cs="Arial" w:eastAsia="Arial" w:hAnsi="Arial"/>
                <w:sz w:val="18"/>
                <w:szCs w:val="18"/>
                <w:color w:val="auto"/>
              </w:rPr>
              <w:t>Restated Certificate of Incorporation and continued coverage under our D&amp;O insurance.</w:t>
            </w:r>
          </w:p>
        </w:tc>
      </w:tr>
    </w:tbl>
    <w:p>
      <w:pPr>
        <w:spacing w:after="0" w:line="193" w:lineRule="exact"/>
        <w:rPr>
          <w:sz w:val="20"/>
          <w:szCs w:val="20"/>
          <w:color w:val="auto"/>
        </w:rPr>
      </w:pPr>
    </w:p>
    <w:p>
      <w:pPr>
        <w:ind w:right="2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on each of the first, second and third year anniversaries of the date of grant and remain exercisable for a term of ten years after the date of grant.</w:t>
      </w:r>
    </w:p>
    <w:p>
      <w:pPr>
        <w:spacing w:after="0" w:line="191"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Gary L. Ellis, Katherine J. Harless, Gregg W. Steinhafel and Christopher A. Twomey.</w:t>
      </w:r>
    </w:p>
    <w:p>
      <w:pPr>
        <w:spacing w:after="0" w:line="202"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If there is a change in control of our Company, stock options granted under the Amended and Restated 2010 Plan will vest immediately and remain exercisable for the remaining term and stock options granted under The Toro Company 2000 Directors Stock Plan, as amended, or 2000 Directors Stock Plan, will remain exercisable for three years or their respective expiration date, if earlier. The general definition of a change in control under the Amended and Restated 2010 Plan and the 2000 Directors Stock Plan is described under “Potential Payments Upon Termination or Change in Control—Change in Control” beginning on page 60.</w:t>
      </w:r>
    </w:p>
    <w:p>
      <w:pPr>
        <w:spacing w:after="0" w:line="181"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b w:val="1"/>
          <w:bCs w:val="1"/>
          <w:color w:val="auto"/>
        </w:rPr>
        <w:t xml:space="preserve">Director Compensation for Fiscal 2016. </w:t>
      </w:r>
      <w:r>
        <w:rPr>
          <w:rFonts w:ascii="Arial" w:cs="Arial" w:eastAsia="Arial" w:hAnsi="Arial"/>
          <w:sz w:val="18"/>
          <w:szCs w:val="18"/>
          <w:color w:val="auto"/>
        </w:rPr>
        <w:t>The following table provides summary information concerning the compensation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non-employee director who served during fiscal 2016. Each of Michael J. Hoffman, who served as Chairman and CEO in fiscal 2016, and Richard M. Olson, who served as President and COO in fiscal 2016, is not compensated separately for his service as a director and his compensation is discussed in the “Executive Compensation” section beginning on page 33. Share and per share data set forth in the table and footnotes below have been adjusted to reflect our two-for-one stock split that was effective September 16,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shd w:val="clear" w:color="auto" w:fill="C00000"/>
          </w:tcPr>
          <w:p>
            <w:pPr>
              <w:spacing w:after="0"/>
              <w:rPr>
                <w:sz w:val="14"/>
                <w:szCs w:val="14"/>
                <w:color w:val="auto"/>
              </w:rPr>
            </w:pPr>
          </w:p>
        </w:tc>
        <w:tc>
          <w:tcPr>
            <w:tcW w:w="2780" w:type="dxa"/>
            <w:vAlign w:val="bottom"/>
            <w:gridSpan w:val="2"/>
            <w:shd w:val="clear" w:color="auto" w:fill="C00000"/>
          </w:tcPr>
          <w:p>
            <w:pPr>
              <w:jc w:val="center"/>
              <w:ind w:left="1253"/>
              <w:spacing w:after="0"/>
              <w:rPr>
                <w:sz w:val="20"/>
                <w:szCs w:val="20"/>
                <w:color w:val="auto"/>
              </w:rPr>
            </w:pPr>
            <w:r>
              <w:rPr>
                <w:rFonts w:ascii="Arial" w:cs="Arial" w:eastAsia="Arial" w:hAnsi="Arial"/>
                <w:sz w:val="14"/>
                <w:szCs w:val="14"/>
                <w:b w:val="1"/>
                <w:bCs w:val="1"/>
                <w:color w:val="FFFFFF"/>
              </w:rPr>
              <w:t>Fees Earned or</w:t>
            </w:r>
          </w:p>
        </w:tc>
        <w:tc>
          <w:tcPr>
            <w:tcW w:w="50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60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1420" w:type="dxa"/>
            <w:vAlign w:val="bottom"/>
            <w:gridSpan w:val="2"/>
            <w:shd w:val="clear" w:color="auto" w:fill="C00000"/>
          </w:tcPr>
          <w:p>
            <w:pPr>
              <w:jc w:val="right"/>
              <w:ind w:right="333"/>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C00000"/>
          </w:tcPr>
          <w:p>
            <w:pPr>
              <w:spacing w:after="0"/>
              <w:rPr>
                <w:sz w:val="14"/>
                <w:szCs w:val="14"/>
                <w:color w:val="auto"/>
              </w:rPr>
            </w:pPr>
          </w:p>
        </w:tc>
      </w:tr>
      <w:tr>
        <w:trPr>
          <w:trHeight w:val="159"/>
        </w:trPr>
        <w:tc>
          <w:tcPr>
            <w:tcW w:w="3420" w:type="dxa"/>
            <w:vAlign w:val="bottom"/>
            <w:shd w:val="clear" w:color="auto" w:fill="C00000"/>
          </w:tcPr>
          <w:p>
            <w:pPr>
              <w:spacing w:after="0"/>
              <w:rPr>
                <w:sz w:val="13"/>
                <w:szCs w:val="13"/>
                <w:color w:val="auto"/>
              </w:rPr>
            </w:pPr>
          </w:p>
        </w:tc>
        <w:tc>
          <w:tcPr>
            <w:tcW w:w="2780" w:type="dxa"/>
            <w:vAlign w:val="bottom"/>
            <w:gridSpan w:val="2"/>
            <w:shd w:val="clear" w:color="auto" w:fill="C00000"/>
          </w:tcPr>
          <w:p>
            <w:pPr>
              <w:jc w:val="center"/>
              <w:ind w:left="1273"/>
              <w:spacing w:after="0" w:line="159" w:lineRule="exact"/>
              <w:rPr>
                <w:sz w:val="20"/>
                <w:szCs w:val="20"/>
                <w:color w:val="auto"/>
              </w:rPr>
            </w:pPr>
            <w:r>
              <w:rPr>
                <w:rFonts w:ascii="Arial" w:cs="Arial" w:eastAsia="Arial" w:hAnsi="Arial"/>
                <w:sz w:val="14"/>
                <w:szCs w:val="14"/>
                <w:b w:val="1"/>
                <w:bCs w:val="1"/>
                <w:color w:val="FFFFFF"/>
              </w:rPr>
              <w:t>Paid in Cash</w:t>
            </w:r>
          </w:p>
        </w:tc>
        <w:tc>
          <w:tcPr>
            <w:tcW w:w="1320" w:type="dxa"/>
            <w:vAlign w:val="bottom"/>
            <w:gridSpan w:val="2"/>
            <w:shd w:val="clear" w:color="auto" w:fill="C00000"/>
          </w:tcPr>
          <w:p>
            <w:pPr>
              <w:jc w:val="right"/>
              <w:ind w:right="119"/>
              <w:spacing w:after="0" w:line="159" w:lineRule="exact"/>
              <w:rPr>
                <w:sz w:val="20"/>
                <w:szCs w:val="20"/>
                <w:color w:val="auto"/>
              </w:rPr>
            </w:pPr>
            <w:r>
              <w:rPr>
                <w:rFonts w:ascii="Arial" w:cs="Arial" w:eastAsia="Arial" w:hAnsi="Arial"/>
                <w:sz w:val="14"/>
                <w:szCs w:val="14"/>
                <w:b w:val="1"/>
                <w:bCs w:val="1"/>
                <w:color w:val="FFFFFF"/>
              </w:rPr>
              <w:t>Stock Awards</w:t>
            </w:r>
          </w:p>
        </w:tc>
        <w:tc>
          <w:tcPr>
            <w:tcW w:w="1400" w:type="dxa"/>
            <w:vAlign w:val="bottom"/>
            <w:gridSpan w:val="2"/>
            <w:shd w:val="clear" w:color="auto" w:fill="C00000"/>
          </w:tcPr>
          <w:p>
            <w:pPr>
              <w:jc w:val="right"/>
              <w:ind w:right="113"/>
              <w:spacing w:after="0" w:line="159" w:lineRule="exact"/>
              <w:rPr>
                <w:sz w:val="20"/>
                <w:szCs w:val="20"/>
                <w:color w:val="auto"/>
              </w:rPr>
            </w:pPr>
            <w:r>
              <w:rPr>
                <w:rFonts w:ascii="Arial" w:cs="Arial" w:eastAsia="Arial" w:hAnsi="Arial"/>
                <w:sz w:val="14"/>
                <w:szCs w:val="14"/>
                <w:b w:val="1"/>
                <w:bCs w:val="1"/>
                <w:color w:val="FFFFFF"/>
              </w:rPr>
              <w:t>Option Awards</w:t>
            </w:r>
          </w:p>
        </w:tc>
        <w:tc>
          <w:tcPr>
            <w:tcW w:w="1420" w:type="dxa"/>
            <w:vAlign w:val="bottom"/>
            <w:gridSpan w:val="2"/>
            <w:shd w:val="clear" w:color="auto" w:fill="C00000"/>
          </w:tcPr>
          <w:p>
            <w:pPr>
              <w:jc w:val="right"/>
              <w:ind w:right="133"/>
              <w:spacing w:after="0" w:line="159" w:lineRule="exact"/>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C00000"/>
          </w:tcPr>
          <w:p>
            <w:pPr>
              <w:jc w:val="right"/>
              <w:ind w:right="253"/>
              <w:spacing w:after="0" w:line="159" w:lineRule="exact"/>
              <w:rPr>
                <w:sz w:val="20"/>
                <w:szCs w:val="20"/>
                <w:color w:val="auto"/>
              </w:rPr>
            </w:pPr>
            <w:r>
              <w:rPr>
                <w:rFonts w:ascii="Arial" w:cs="Arial" w:eastAsia="Arial" w:hAnsi="Arial"/>
                <w:sz w:val="14"/>
                <w:szCs w:val="14"/>
                <w:b w:val="1"/>
                <w:bCs w:val="1"/>
                <w:color w:val="FFFFFF"/>
              </w:rPr>
              <w:t>Total</w:t>
            </w:r>
          </w:p>
        </w:tc>
      </w:tr>
      <w:tr>
        <w:trPr>
          <w:trHeight w:val="192"/>
        </w:trPr>
        <w:tc>
          <w:tcPr>
            <w:tcW w:w="34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940" w:type="dxa"/>
            <w:vAlign w:val="bottom"/>
            <w:shd w:val="clear" w:color="auto" w:fill="C00000"/>
          </w:tcPr>
          <w:p>
            <w:pPr>
              <w:spacing w:after="0"/>
              <w:rPr>
                <w:sz w:val="16"/>
                <w:szCs w:val="16"/>
                <w:color w:val="auto"/>
              </w:rPr>
            </w:pPr>
          </w:p>
        </w:tc>
        <w:tc>
          <w:tcPr>
            <w:tcW w:w="840" w:type="dxa"/>
            <w:vAlign w:val="bottom"/>
            <w:shd w:val="clear" w:color="auto" w:fill="C00000"/>
          </w:tcPr>
          <w:p>
            <w:pPr>
              <w:jc w:val="center"/>
              <w:ind w:right="522"/>
              <w:spacing w:after="0" w:line="192"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(1)</w:t>
            </w:r>
          </w:p>
        </w:tc>
        <w:tc>
          <w:tcPr>
            <w:tcW w:w="500" w:type="dxa"/>
            <w:vAlign w:val="bottom"/>
            <w:shd w:val="clear" w:color="auto" w:fill="C00000"/>
          </w:tcPr>
          <w:p>
            <w:pPr>
              <w:spacing w:after="0"/>
              <w:rPr>
                <w:sz w:val="16"/>
                <w:szCs w:val="16"/>
                <w:color w:val="auto"/>
              </w:rPr>
            </w:pPr>
          </w:p>
        </w:tc>
        <w:tc>
          <w:tcPr>
            <w:tcW w:w="820" w:type="dxa"/>
            <w:vAlign w:val="bottom"/>
            <w:shd w:val="clear" w:color="auto" w:fill="C00000"/>
          </w:tcPr>
          <w:p>
            <w:pPr>
              <w:jc w:val="right"/>
              <w:ind w:right="459"/>
              <w:spacing w:after="0" w:line="192"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(2)</w:t>
            </w:r>
          </w:p>
        </w:tc>
        <w:tc>
          <w:tcPr>
            <w:tcW w:w="60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C00000"/>
          </w:tcPr>
          <w:p>
            <w:pPr>
              <w:jc w:val="right"/>
              <w:ind w:right="433"/>
              <w:spacing w:after="0"/>
              <w:rPr>
                <w:sz w:val="20"/>
                <w:szCs w:val="20"/>
                <w:color w:val="auto"/>
              </w:rPr>
            </w:pPr>
            <w:r>
              <w:rPr>
                <w:rFonts w:ascii="Arial" w:cs="Arial" w:eastAsia="Arial" w:hAnsi="Arial"/>
                <w:sz w:val="12"/>
                <w:szCs w:val="12"/>
                <w:b w:val="1"/>
                <w:bCs w:val="1"/>
                <w:color w:val="FFFFFF"/>
                <w:w w:val="88"/>
              </w:rPr>
              <w:t>(3)(4)</w:t>
            </w:r>
          </w:p>
        </w:tc>
        <w:tc>
          <w:tcPr>
            <w:tcW w:w="66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C00000"/>
          </w:tcPr>
          <w:p>
            <w:pPr>
              <w:jc w:val="right"/>
              <w:ind w:right="513"/>
              <w:spacing w:after="0"/>
              <w:rPr>
                <w:sz w:val="20"/>
                <w:szCs w:val="20"/>
                <w:color w:val="auto"/>
              </w:rPr>
            </w:pPr>
            <w:r>
              <w:rPr>
                <w:rFonts w:ascii="Arial" w:cs="Arial" w:eastAsia="Arial" w:hAnsi="Arial"/>
                <w:sz w:val="12"/>
                <w:szCs w:val="12"/>
                <w:b w:val="1"/>
                <w:bCs w:val="1"/>
                <w:color w:val="FFFFFF"/>
                <w:w w:val="95"/>
              </w:rPr>
              <w:t>(5)</w:t>
            </w:r>
          </w:p>
        </w:tc>
        <w:tc>
          <w:tcPr>
            <w:tcW w:w="1080" w:type="dxa"/>
            <w:vAlign w:val="bottom"/>
            <w:shd w:val="clear" w:color="auto" w:fill="C00000"/>
          </w:tcPr>
          <w:p>
            <w:pPr>
              <w:jc w:val="right"/>
              <w:ind w:right="393"/>
              <w:spacing w:after="0"/>
              <w:rPr>
                <w:sz w:val="20"/>
                <w:szCs w:val="20"/>
                <w:color w:val="auto"/>
              </w:rPr>
            </w:pPr>
            <w:r>
              <w:rPr>
                <w:rFonts w:ascii="Arial" w:cs="Arial" w:eastAsia="Arial" w:hAnsi="Arial"/>
                <w:sz w:val="14"/>
                <w:szCs w:val="14"/>
                <w:b w:val="1"/>
                <w:bCs w:val="1"/>
                <w:color w:val="FFFFFF"/>
              </w:rPr>
              <w:t>$</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Robert C. Buhrmaster</w:t>
            </w:r>
          </w:p>
        </w:tc>
        <w:tc>
          <w:tcPr>
            <w:tcW w:w="2780" w:type="dxa"/>
            <w:vAlign w:val="bottom"/>
            <w:gridSpan w:val="2"/>
          </w:tcPr>
          <w:p>
            <w:pPr>
              <w:jc w:val="right"/>
              <w:ind w:right="122"/>
              <w:spacing w:after="0" w:line="202" w:lineRule="exact"/>
              <w:rPr>
                <w:sz w:val="20"/>
                <w:szCs w:val="20"/>
                <w:color w:val="auto"/>
              </w:rPr>
            </w:pPr>
            <w:r>
              <w:rPr>
                <w:rFonts w:ascii="Arial" w:cs="Arial" w:eastAsia="Arial" w:hAnsi="Arial"/>
                <w:sz w:val="18"/>
                <w:szCs w:val="18"/>
                <w:color w:val="auto"/>
              </w:rPr>
              <w:t>$114,500</w:t>
            </w:r>
          </w:p>
        </w:tc>
        <w:tc>
          <w:tcPr>
            <w:tcW w:w="13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$ 58,012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$227,497</w:t>
            </w:r>
          </w:p>
        </w:tc>
      </w:tr>
      <w:tr>
        <w:trPr>
          <w:trHeight w:val="203"/>
        </w:trPr>
        <w:tc>
          <w:tcPr>
            <w:tcW w:w="34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Janet K. Cooper</w:t>
            </w:r>
          </w:p>
        </w:tc>
        <w:tc>
          <w:tcPr>
            <w:tcW w:w="2780" w:type="dxa"/>
            <w:vAlign w:val="bottom"/>
            <w:gridSpan w:val="2"/>
            <w:shd w:val="clear" w:color="auto" w:fill="D9D9D9"/>
          </w:tcPr>
          <w:p>
            <w:pPr>
              <w:jc w:val="right"/>
              <w:ind w:right="122"/>
              <w:spacing w:after="0" w:line="202" w:lineRule="exact"/>
              <w:rPr>
                <w:sz w:val="20"/>
                <w:szCs w:val="20"/>
                <w:color w:val="auto"/>
              </w:rPr>
            </w:pPr>
            <w:r>
              <w:rPr>
                <w:rFonts w:ascii="Arial" w:cs="Arial" w:eastAsia="Arial" w:hAnsi="Arial"/>
                <w:sz w:val="18"/>
                <w:szCs w:val="18"/>
                <w:color w:val="auto"/>
              </w:rPr>
              <w:t>$105,000</w:t>
            </w:r>
          </w:p>
        </w:tc>
        <w:tc>
          <w:tcPr>
            <w:tcW w:w="1320" w:type="dxa"/>
            <w:vAlign w:val="bottom"/>
            <w:gridSpan w:val="2"/>
            <w:shd w:val="clear" w:color="auto" w:fill="D9D9D9"/>
          </w:tcPr>
          <w:p>
            <w:pPr>
              <w:jc w:val="right"/>
              <w:ind w:right="119"/>
              <w:spacing w:after="0" w:line="202" w:lineRule="exact"/>
              <w:rPr>
                <w:sz w:val="20"/>
                <w:szCs w:val="20"/>
                <w:color w:val="auto"/>
              </w:rPr>
            </w:pPr>
            <w:r>
              <w:rPr>
                <w:rFonts w:ascii="Arial" w:cs="Arial" w:eastAsia="Arial" w:hAnsi="Arial"/>
                <w:sz w:val="18"/>
                <w:szCs w:val="18"/>
                <w:color w:val="auto"/>
              </w:rPr>
              <w:t>$ 58,012</w:t>
            </w:r>
          </w:p>
        </w:tc>
        <w:tc>
          <w:tcPr>
            <w:tcW w:w="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33"/>
              <w:spacing w:after="0" w:line="202" w:lineRule="exact"/>
              <w:rPr>
                <w:sz w:val="20"/>
                <w:szCs w:val="20"/>
                <w:color w:val="auto"/>
              </w:rPr>
            </w:pPr>
            <w:r>
              <w:rPr>
                <w:rFonts w:ascii="Arial" w:cs="Arial" w:eastAsia="Arial" w:hAnsi="Arial"/>
                <w:sz w:val="18"/>
                <w:szCs w:val="18"/>
                <w:color w:val="auto"/>
              </w:rPr>
              <w:t>1,000</w:t>
            </w:r>
          </w:p>
        </w:tc>
        <w:tc>
          <w:tcPr>
            <w:tcW w:w="1080" w:type="dxa"/>
            <w:vAlign w:val="bottom"/>
            <w:shd w:val="clear" w:color="auto" w:fill="D9D9D9"/>
          </w:tcPr>
          <w:p>
            <w:pPr>
              <w:jc w:val="right"/>
              <w:ind w:right="13"/>
              <w:spacing w:after="0" w:line="202" w:lineRule="exact"/>
              <w:rPr>
                <w:sz w:val="20"/>
                <w:szCs w:val="20"/>
                <w:color w:val="auto"/>
              </w:rPr>
            </w:pPr>
            <w:r>
              <w:rPr>
                <w:rFonts w:ascii="Arial" w:cs="Arial" w:eastAsia="Arial" w:hAnsi="Arial"/>
                <w:sz w:val="18"/>
                <w:szCs w:val="18"/>
                <w:color w:val="auto"/>
              </w:rPr>
              <w:t>$218,997</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Gary L. Ellis</w:t>
            </w:r>
            <w:r>
              <w:rPr>
                <w:rFonts w:ascii="Arial" w:cs="Arial" w:eastAsia="Arial" w:hAnsi="Arial"/>
                <w:sz w:val="15"/>
                <w:szCs w:val="15"/>
                <w:color w:val="auto"/>
              </w:rPr>
              <w:t>(6)</w:t>
            </w:r>
          </w:p>
        </w:tc>
        <w:tc>
          <w:tcPr>
            <w:tcW w:w="2780" w:type="dxa"/>
            <w:vAlign w:val="bottom"/>
            <w:gridSpan w:val="2"/>
          </w:tcPr>
          <w:p>
            <w:pPr>
              <w:jc w:val="right"/>
              <w:ind w:right="122"/>
              <w:spacing w:after="0" w:line="202" w:lineRule="exact"/>
              <w:rPr>
                <w:sz w:val="20"/>
                <w:szCs w:val="20"/>
                <w:color w:val="auto"/>
              </w:rPr>
            </w:pPr>
            <w:r>
              <w:rPr>
                <w:rFonts w:ascii="Arial" w:cs="Arial" w:eastAsia="Arial" w:hAnsi="Arial"/>
                <w:sz w:val="18"/>
                <w:szCs w:val="18"/>
                <w:color w:val="auto"/>
              </w:rPr>
              <w:t>$ 95,000</w:t>
            </w:r>
          </w:p>
        </w:tc>
        <w:tc>
          <w:tcPr>
            <w:tcW w:w="13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$ 58,012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$207,997</w:t>
            </w:r>
          </w:p>
        </w:tc>
      </w:tr>
      <w:tr>
        <w:trPr>
          <w:trHeight w:val="203"/>
        </w:trPr>
        <w:tc>
          <w:tcPr>
            <w:tcW w:w="34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Jeffrey M. Ettinger</w:t>
            </w:r>
            <w:r>
              <w:rPr>
                <w:rFonts w:ascii="Arial" w:cs="Arial" w:eastAsia="Arial" w:hAnsi="Arial"/>
                <w:sz w:val="15"/>
                <w:szCs w:val="15"/>
                <w:color w:val="auto"/>
              </w:rPr>
              <w:t>(7)</w:t>
            </w:r>
          </w:p>
        </w:tc>
        <w:tc>
          <w:tcPr>
            <w:tcW w:w="19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D9D9D9"/>
          </w:tcPr>
          <w:p>
            <w:pPr>
              <w:jc w:val="right"/>
              <w:ind w:right="122"/>
              <w:spacing w:after="0" w:line="202" w:lineRule="exact"/>
              <w:rPr>
                <w:sz w:val="20"/>
                <w:szCs w:val="20"/>
                <w:color w:val="auto"/>
              </w:rPr>
            </w:pPr>
            <w:r>
              <w:rPr>
                <w:rFonts w:ascii="Arial" w:cs="Arial" w:eastAsia="Arial" w:hAnsi="Arial"/>
                <w:sz w:val="18"/>
                <w:szCs w:val="18"/>
                <w:color w:val="auto"/>
              </w:rPr>
              <w:t>88,000</w:t>
            </w:r>
          </w:p>
        </w:tc>
        <w:tc>
          <w:tcPr>
            <w:tcW w:w="5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ind w:right="119"/>
              <w:spacing w:after="0" w:line="202" w:lineRule="exact"/>
              <w:rPr>
                <w:sz w:val="20"/>
                <w:szCs w:val="20"/>
                <w:color w:val="auto"/>
              </w:rPr>
            </w:pPr>
            <w:r>
              <w:rPr>
                <w:rFonts w:ascii="Arial" w:cs="Arial" w:eastAsia="Arial" w:hAnsi="Arial"/>
                <w:sz w:val="18"/>
                <w:szCs w:val="18"/>
                <w:color w:val="auto"/>
              </w:rPr>
              <w:t>58,012</w:t>
            </w:r>
          </w:p>
        </w:tc>
        <w:tc>
          <w:tcPr>
            <w:tcW w:w="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shd w:val="clear" w:color="auto" w:fill="D9D9D9"/>
          </w:tcPr>
          <w:p>
            <w:pPr>
              <w:spacing w:after="0"/>
              <w:rPr>
                <w:sz w:val="17"/>
                <w:szCs w:val="17"/>
                <w:color w:val="auto"/>
              </w:rPr>
            </w:pPr>
          </w:p>
        </w:tc>
        <w:tc>
          <w:tcPr>
            <w:tcW w:w="760" w:type="dxa"/>
            <w:vAlign w:val="bottom"/>
            <w:shd w:val="clear" w:color="auto" w:fill="D9D9D9"/>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ind w:right="13"/>
              <w:spacing w:after="0" w:line="202" w:lineRule="exact"/>
              <w:rPr>
                <w:sz w:val="20"/>
                <w:szCs w:val="20"/>
                <w:color w:val="auto"/>
              </w:rPr>
            </w:pPr>
            <w:r>
              <w:rPr>
                <w:rFonts w:ascii="Arial" w:cs="Arial" w:eastAsia="Arial" w:hAnsi="Arial"/>
                <w:sz w:val="18"/>
                <w:szCs w:val="18"/>
                <w:color w:val="auto"/>
              </w:rPr>
              <w:t>$200,997</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Katherine J. Harless</w:t>
            </w:r>
            <w:r>
              <w:rPr>
                <w:rFonts w:ascii="Arial" w:cs="Arial" w:eastAsia="Arial" w:hAnsi="Arial"/>
                <w:sz w:val="15"/>
                <w:szCs w:val="15"/>
                <w:color w:val="auto"/>
              </w:rPr>
              <w:t>(8)</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93,000</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58,012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1,025</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$207,022</w:t>
            </w:r>
          </w:p>
        </w:tc>
      </w:tr>
      <w:tr>
        <w:trPr>
          <w:trHeight w:val="203"/>
        </w:trPr>
        <w:tc>
          <w:tcPr>
            <w:tcW w:w="34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 Christian Koch</w:t>
            </w:r>
            <w:r>
              <w:rPr>
                <w:rFonts w:ascii="Arial" w:cs="Arial" w:eastAsia="Arial" w:hAnsi="Arial"/>
                <w:sz w:val="15"/>
                <w:szCs w:val="15"/>
                <w:color w:val="auto"/>
              </w:rPr>
              <w:t>(9)</w:t>
            </w:r>
          </w:p>
        </w:tc>
        <w:tc>
          <w:tcPr>
            <w:tcW w:w="2780" w:type="dxa"/>
            <w:vAlign w:val="bottom"/>
            <w:gridSpan w:val="2"/>
            <w:shd w:val="clear" w:color="auto" w:fill="D9D9D9"/>
          </w:tcPr>
          <w:p>
            <w:pPr>
              <w:jc w:val="right"/>
              <w:ind w:right="122"/>
              <w:spacing w:after="0" w:line="202" w:lineRule="exact"/>
              <w:rPr>
                <w:sz w:val="20"/>
                <w:szCs w:val="20"/>
                <w:color w:val="auto"/>
              </w:rPr>
            </w:pPr>
            <w:r>
              <w:rPr>
                <w:rFonts w:ascii="Arial" w:cs="Arial" w:eastAsia="Arial" w:hAnsi="Arial"/>
                <w:sz w:val="18"/>
                <w:szCs w:val="18"/>
                <w:color w:val="auto"/>
              </w:rPr>
              <w:t>$ 47,219</w:t>
            </w:r>
          </w:p>
        </w:tc>
        <w:tc>
          <w:tcPr>
            <w:tcW w:w="500" w:type="dxa"/>
            <w:vAlign w:val="bottom"/>
            <w:shd w:val="clear" w:color="auto" w:fill="D9D9D9"/>
          </w:tcPr>
          <w:p>
            <w:pPr>
              <w:spacing w:after="0"/>
              <w:rPr>
                <w:sz w:val="17"/>
                <w:szCs w:val="17"/>
                <w:color w:val="auto"/>
              </w:rPr>
            </w:pPr>
          </w:p>
        </w:tc>
        <w:tc>
          <w:tcPr>
            <w:tcW w:w="820" w:type="dxa"/>
            <w:vAlign w:val="bottom"/>
            <w:shd w:val="clear" w:color="auto" w:fill="D9D9D9"/>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D9D9D9"/>
          </w:tcPr>
          <w:p>
            <w:pPr>
              <w:spacing w:after="0"/>
              <w:rPr>
                <w:sz w:val="17"/>
                <w:szCs w:val="17"/>
                <w:color w:val="auto"/>
              </w:rPr>
            </w:pPr>
          </w:p>
        </w:tc>
        <w:tc>
          <w:tcPr>
            <w:tcW w:w="800" w:type="dxa"/>
            <w:vAlign w:val="bottom"/>
            <w:shd w:val="clear" w:color="auto" w:fill="D9D9D9"/>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33"/>
              <w:spacing w:after="0" w:line="202" w:lineRule="exact"/>
              <w:rPr>
                <w:sz w:val="20"/>
                <w:szCs w:val="20"/>
                <w:color w:val="auto"/>
              </w:rPr>
            </w:pPr>
            <w:r>
              <w:rPr>
                <w:rFonts w:ascii="Arial" w:cs="Arial" w:eastAsia="Arial" w:hAnsi="Arial"/>
                <w:sz w:val="18"/>
                <w:szCs w:val="18"/>
                <w:color w:val="auto"/>
              </w:rPr>
              <w:t>1,266</w:t>
            </w:r>
          </w:p>
        </w:tc>
        <w:tc>
          <w:tcPr>
            <w:tcW w:w="1080" w:type="dxa"/>
            <w:vAlign w:val="bottom"/>
            <w:shd w:val="clear" w:color="auto" w:fill="D9D9D9"/>
          </w:tcPr>
          <w:p>
            <w:pPr>
              <w:jc w:val="right"/>
              <w:ind w:right="13"/>
              <w:spacing w:after="0" w:line="202" w:lineRule="exact"/>
              <w:rPr>
                <w:sz w:val="20"/>
                <w:szCs w:val="20"/>
                <w:color w:val="auto"/>
              </w:rPr>
            </w:pPr>
            <w:r>
              <w:rPr>
                <w:rFonts w:ascii="Arial" w:cs="Arial" w:eastAsia="Arial" w:hAnsi="Arial"/>
                <w:sz w:val="18"/>
                <w:szCs w:val="18"/>
                <w:color w:val="auto"/>
              </w:rPr>
              <w:t>$ 48,485</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James C. O’Rourke</w:t>
            </w:r>
          </w:p>
        </w:tc>
        <w:tc>
          <w:tcPr>
            <w:tcW w:w="2780" w:type="dxa"/>
            <w:vAlign w:val="bottom"/>
            <w:gridSpan w:val="2"/>
          </w:tcPr>
          <w:p>
            <w:pPr>
              <w:jc w:val="right"/>
              <w:ind w:right="122"/>
              <w:spacing w:after="0" w:line="202" w:lineRule="exact"/>
              <w:rPr>
                <w:sz w:val="20"/>
                <w:szCs w:val="20"/>
                <w:color w:val="auto"/>
              </w:rPr>
            </w:pPr>
            <w:r>
              <w:rPr>
                <w:rFonts w:ascii="Arial" w:cs="Arial" w:eastAsia="Arial" w:hAnsi="Arial"/>
                <w:sz w:val="18"/>
                <w:szCs w:val="18"/>
                <w:color w:val="auto"/>
              </w:rPr>
              <w:t>$ 90,000</w:t>
            </w:r>
          </w:p>
        </w:tc>
        <w:tc>
          <w:tcPr>
            <w:tcW w:w="13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$ 58,012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tcPr>
          <w:p>
            <w:pPr>
              <w:spacing w:after="0"/>
              <w:rPr>
                <w:sz w:val="17"/>
                <w:szCs w:val="17"/>
                <w:color w:val="auto"/>
              </w:rPr>
            </w:pP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$202,997</w:t>
            </w:r>
          </w:p>
        </w:tc>
      </w:tr>
      <w:tr>
        <w:trPr>
          <w:trHeight w:val="203"/>
        </w:trPr>
        <w:tc>
          <w:tcPr>
            <w:tcW w:w="34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Gregg W. Steinhafel</w:t>
            </w:r>
          </w:p>
        </w:tc>
        <w:tc>
          <w:tcPr>
            <w:tcW w:w="2780" w:type="dxa"/>
            <w:vAlign w:val="bottom"/>
            <w:gridSpan w:val="2"/>
            <w:shd w:val="clear" w:color="auto" w:fill="D9D9D9"/>
          </w:tcPr>
          <w:p>
            <w:pPr>
              <w:jc w:val="right"/>
              <w:ind w:right="122"/>
              <w:spacing w:after="0" w:line="202" w:lineRule="exact"/>
              <w:rPr>
                <w:sz w:val="20"/>
                <w:szCs w:val="20"/>
                <w:color w:val="auto"/>
              </w:rPr>
            </w:pPr>
            <w:r>
              <w:rPr>
                <w:rFonts w:ascii="Arial" w:cs="Arial" w:eastAsia="Arial" w:hAnsi="Arial"/>
                <w:sz w:val="18"/>
                <w:szCs w:val="18"/>
                <w:color w:val="auto"/>
              </w:rPr>
              <w:t>$ 85,000</w:t>
            </w:r>
          </w:p>
        </w:tc>
        <w:tc>
          <w:tcPr>
            <w:tcW w:w="1320" w:type="dxa"/>
            <w:vAlign w:val="bottom"/>
            <w:gridSpan w:val="2"/>
            <w:shd w:val="clear" w:color="auto" w:fill="D9D9D9"/>
          </w:tcPr>
          <w:p>
            <w:pPr>
              <w:jc w:val="right"/>
              <w:ind w:right="119"/>
              <w:spacing w:after="0" w:line="202" w:lineRule="exact"/>
              <w:rPr>
                <w:sz w:val="20"/>
                <w:szCs w:val="20"/>
                <w:color w:val="auto"/>
              </w:rPr>
            </w:pPr>
            <w:r>
              <w:rPr>
                <w:rFonts w:ascii="Arial" w:cs="Arial" w:eastAsia="Arial" w:hAnsi="Arial"/>
                <w:sz w:val="18"/>
                <w:szCs w:val="18"/>
                <w:color w:val="auto"/>
              </w:rPr>
              <w:t>$ 58,012</w:t>
            </w:r>
          </w:p>
        </w:tc>
        <w:tc>
          <w:tcPr>
            <w:tcW w:w="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93"/>
              <w:spacing w:after="0" w:line="202" w:lineRule="exact"/>
              <w:rPr>
                <w:sz w:val="20"/>
                <w:szCs w:val="20"/>
                <w:color w:val="auto"/>
              </w:rPr>
            </w:pPr>
            <w:r>
              <w:rPr>
                <w:rFonts w:ascii="Arial" w:cs="Arial" w:eastAsia="Arial" w:hAnsi="Arial"/>
                <w:sz w:val="18"/>
                <w:szCs w:val="18"/>
                <w:color w:val="auto"/>
              </w:rPr>
              <w:t>54,985</w:t>
            </w:r>
          </w:p>
        </w:tc>
        <w:tc>
          <w:tcPr>
            <w:tcW w:w="6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33"/>
              <w:spacing w:after="0" w:line="202" w:lineRule="exact"/>
              <w:rPr>
                <w:sz w:val="20"/>
                <w:szCs w:val="20"/>
                <w:color w:val="auto"/>
              </w:rPr>
            </w:pPr>
            <w:r>
              <w:rPr>
                <w:rFonts w:ascii="Arial" w:cs="Arial" w:eastAsia="Arial" w:hAnsi="Arial"/>
                <w:sz w:val="18"/>
                <w:szCs w:val="18"/>
                <w:color w:val="auto"/>
              </w:rPr>
              <w:t>2,173</w:t>
            </w:r>
          </w:p>
        </w:tc>
        <w:tc>
          <w:tcPr>
            <w:tcW w:w="1080" w:type="dxa"/>
            <w:vAlign w:val="bottom"/>
            <w:shd w:val="clear" w:color="auto" w:fill="D9D9D9"/>
          </w:tcPr>
          <w:p>
            <w:pPr>
              <w:jc w:val="right"/>
              <w:ind w:right="13"/>
              <w:spacing w:after="0" w:line="202" w:lineRule="exact"/>
              <w:rPr>
                <w:sz w:val="20"/>
                <w:szCs w:val="20"/>
                <w:color w:val="auto"/>
              </w:rPr>
            </w:pPr>
            <w:r>
              <w:rPr>
                <w:rFonts w:ascii="Arial" w:cs="Arial" w:eastAsia="Arial" w:hAnsi="Arial"/>
                <w:sz w:val="18"/>
                <w:szCs w:val="18"/>
                <w:color w:val="auto"/>
              </w:rPr>
              <w:t>$200,170</w:t>
            </w: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Christopher A. Twomey</w:t>
            </w:r>
          </w:p>
        </w:tc>
        <w:tc>
          <w:tcPr>
            <w:tcW w:w="2780" w:type="dxa"/>
            <w:vAlign w:val="bottom"/>
            <w:gridSpan w:val="2"/>
          </w:tcPr>
          <w:p>
            <w:pPr>
              <w:jc w:val="right"/>
              <w:ind w:right="122"/>
              <w:spacing w:after="0"/>
              <w:rPr>
                <w:sz w:val="20"/>
                <w:szCs w:val="20"/>
                <w:color w:val="auto"/>
              </w:rPr>
            </w:pPr>
            <w:r>
              <w:rPr>
                <w:rFonts w:ascii="Arial" w:cs="Arial" w:eastAsia="Arial" w:hAnsi="Arial"/>
                <w:sz w:val="18"/>
                <w:szCs w:val="18"/>
                <w:color w:val="auto"/>
              </w:rPr>
              <w:t>$ 95,000</w:t>
            </w:r>
          </w:p>
        </w:tc>
        <w:tc>
          <w:tcPr>
            <w:tcW w:w="1320" w:type="dxa"/>
            <w:vAlign w:val="bottom"/>
            <w:gridSpan w:val="2"/>
          </w:tcPr>
          <w:p>
            <w:pPr>
              <w:jc w:val="right"/>
              <w:ind w:right="119"/>
              <w:spacing w:after="0"/>
              <w:rPr>
                <w:sz w:val="20"/>
                <w:szCs w:val="20"/>
                <w:color w:val="auto"/>
              </w:rPr>
            </w:pPr>
            <w:r>
              <w:rPr>
                <w:rFonts w:ascii="Arial" w:cs="Arial" w:eastAsia="Arial" w:hAnsi="Arial"/>
                <w:sz w:val="18"/>
                <w:szCs w:val="18"/>
                <w:color w:val="auto"/>
              </w:rPr>
              <w:t>$ 58,012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54,985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395</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$208,392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26073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13" w:lineRule="exact"/>
        <w:rPr>
          <w:sz w:val="20"/>
          <w:szCs w:val="20"/>
          <w:color w:val="auto"/>
        </w:rPr>
      </w:pPr>
    </w:p>
    <w:p>
      <w:pPr>
        <w:ind w:left="460" w:right="32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a director otherwise elected to convert a portion or all of his or her annual retainers into shares of our common stock under our Amended and Restated 2010 Plan, annual retainers were paid in cash in four quarterly installments at the beginning of each fiscal quarter.</w:t>
      </w:r>
    </w:p>
    <w:p>
      <w:pPr>
        <w:spacing w:after="0" w:line="229" w:lineRule="exact"/>
        <w:rPr>
          <w:rFonts w:ascii="Arial" w:cs="Arial" w:eastAsia="Arial" w:hAnsi="Arial"/>
          <w:sz w:val="18"/>
          <w:szCs w:val="18"/>
          <w:color w:val="auto"/>
        </w:rPr>
      </w:pPr>
    </w:p>
    <w:p>
      <w:pPr>
        <w:ind w:left="460" w:right="100" w:hanging="452"/>
        <w:spacing w:after="0" w:line="23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2, 2015, 1,540 shares of our common stock were granted to each non-employee director with the calculation based on the average of the closing prices of our common stock, as reported on the NYSE, during the three months prior to the grant, which was $35.677. However, the amount reported in the table represents the grant date fair value, computed in accordance with Financial Accounting Standards Board (FASB) Accounting Standard Codification (ASC) Topic 718. The closing price on the grant date of $37.67 was used in calculating the grant date fair value. The automatic grant of stock awards on November 2, 2015, were the only stock awards granted to directors during fiscal 2016. As of October 31, 2016, no directors held any restricted stock or other unvested stock awards.</w:t>
      </w:r>
    </w:p>
    <w:p>
      <w:pPr>
        <w:spacing w:after="0" w:line="232" w:lineRule="exact"/>
        <w:rPr>
          <w:rFonts w:ascii="Arial" w:cs="Arial" w:eastAsia="Arial" w:hAnsi="Arial"/>
          <w:sz w:val="18"/>
          <w:szCs w:val="18"/>
          <w:color w:val="auto"/>
        </w:rPr>
      </w:pPr>
    </w:p>
    <w:p>
      <w:pPr>
        <w:ind w:left="460" w:right="140" w:hanging="452"/>
        <w:spacing w:after="0" w:line="23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2, 2015, a stock option to purchase 5,038 shares of our common stock was granted to each non-employee director. The amount reported in the table represents the grant date fair value computed in accordance with FASB ASC Topic 718. The grant date fair value is based on a Black-Scholes model valuation of $10.914 per share. The following assumptions were used in the Black-Scholes calculation: a risk-free interest rate of 1.66%; expected life of 6.2 years; expected volatility of 31.73%; and an expected dividend yield of 1.30%. The exercise price per share is equal to 100% of the fair market value of one share of our common stock on the date of grant, as determined by the closing price for our common stock, as reported on the NYSE, which was $37.67 on November 2, 2015. The actual value of the stock option awards, if any, to be realized by a director depends upon whether the price of our common stock at exercise is greater than the exercise price of the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40"/>
        <w:spacing w:after="0" w:line="246" w:lineRule="auto"/>
        <w:rPr>
          <w:sz w:val="20"/>
          <w:szCs w:val="20"/>
          <w:color w:val="auto"/>
        </w:rPr>
      </w:pPr>
      <w:r>
        <w:rPr>
          <w:rFonts w:ascii="Arial" w:cs="Arial" w:eastAsia="Arial" w:hAnsi="Arial"/>
          <w:sz w:val="18"/>
          <w:szCs w:val="18"/>
          <w:color w:val="auto"/>
        </w:rPr>
        <w:t>options. The automatic grant of stock option awards on November 2, 2015 were the only stock options granted to directors during fiscal 2016.</w:t>
      </w:r>
    </w:p>
    <w:p>
      <w:pPr>
        <w:spacing w:after="0" w:line="22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October 31, 2016, the aggregate number of stock options (exercisable and unexercisable) held by each director was as follows:</w:t>
      </w:r>
    </w:p>
    <w:p>
      <w:pPr>
        <w:ind w:left="460"/>
        <w:spacing w:after="0" w:line="238" w:lineRule="auto"/>
        <w:rPr>
          <w:rFonts w:ascii="Arial" w:cs="Arial" w:eastAsia="Arial" w:hAnsi="Arial"/>
          <w:sz w:val="18"/>
          <w:szCs w:val="18"/>
          <w:color w:val="auto"/>
        </w:rPr>
      </w:pPr>
      <w:r>
        <w:rPr>
          <w:rFonts w:ascii="Arial" w:cs="Arial" w:eastAsia="Arial" w:hAnsi="Arial"/>
          <w:sz w:val="18"/>
          <w:szCs w:val="18"/>
          <w:color w:val="auto"/>
        </w:rPr>
        <w:t>Mr. Buhrmaster—80,416; Ms. Cooper—69,924; Mr. Ellis—80,416; Mr. Ettinger—41,468; Ms. Harless—69,924; Mr. Koch—0; Mr. O’Rourke —22,176; Mr. Steinhafel—22,176; and Mr. Twomey—69,924. These numbers are different from the numbers set forth in the “Stock Options” column in footnote (2) to the “Directors and Executive Officers” stock ownership table beginning on page 6 which (i) sets forth information as of January 31, 2017 and (ii) does not include options that will become exercisable more than 60 days after January 31, 2017.</w:t>
      </w:r>
    </w:p>
    <w:p>
      <w:pPr>
        <w:spacing w:after="0" w:line="229" w:lineRule="exact"/>
        <w:rPr>
          <w:rFonts w:ascii="Arial" w:cs="Arial" w:eastAsia="Arial" w:hAnsi="Arial"/>
          <w:sz w:val="18"/>
          <w:szCs w:val="18"/>
          <w:color w:val="auto"/>
        </w:rPr>
      </w:pPr>
    </w:p>
    <w:p>
      <w:pPr>
        <w:ind w:left="460" w:right="120" w:hanging="452"/>
        <w:spacing w:after="0" w:line="23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The amount reported for each of Ms. Harless and Messrs. Koch, Steinhafel and Twomey represents the value of products, parts, service or accessories, as described under “Company Products” on page 24. The amount reported for Ms. Cooper represents a charitable donation under our director matching gift program, as described under “Charitable Giving” on page 24.</w:t>
      </w:r>
    </w:p>
    <w:p>
      <w:pPr>
        <w:spacing w:after="0" w:line="228" w:lineRule="exact"/>
        <w:rPr>
          <w:rFonts w:ascii="Arial" w:cs="Arial" w:eastAsia="Arial" w:hAnsi="Arial"/>
          <w:sz w:val="18"/>
          <w:szCs w:val="18"/>
          <w:color w:val="auto"/>
        </w:rPr>
      </w:pPr>
    </w:p>
    <w:p>
      <w:pPr>
        <w:ind w:left="460" w:right="180" w:hanging="452"/>
        <w:spacing w:after="0" w:line="24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Ellis elected to defer receipt of his calendar 2015 retainers earned for fiscal 2016 under the Deferred Plan for Directors. Accordingly, Mr. Ellis’ retainers that would have been paid in November 2015 for the first quarter of fiscal 2016 were deferred.</w:t>
      </w:r>
    </w:p>
    <w:p>
      <w:pPr>
        <w:spacing w:after="0" w:line="223" w:lineRule="exact"/>
        <w:rPr>
          <w:rFonts w:ascii="Arial" w:cs="Arial" w:eastAsia="Arial" w:hAnsi="Arial"/>
          <w:sz w:val="18"/>
          <w:szCs w:val="18"/>
          <w:color w:val="auto"/>
        </w:rPr>
      </w:pPr>
    </w:p>
    <w:p>
      <w:pPr>
        <w:ind w:left="460" w:right="180" w:hanging="452"/>
        <w:spacing w:after="0" w:line="23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Ettinger elected to convert his calendar 2015 and calendar 2016 retainers into shares of our common stock under the Amended and Restated 2010 Plan. On December 15, 2016, based on that day’s closing stock price of $55.32, as reported on the NYSE, Mr. Ettinger received 1,586 shares of our common stock in lieu of $87,738 cash that would have been paid in calendar 2016. The amount shown in the “Fees Earned or Paid in Cash” column represents the amount he earned for fiscal 2016.</w:t>
      </w:r>
    </w:p>
    <w:p>
      <w:pPr>
        <w:spacing w:after="0" w:line="228" w:lineRule="exact"/>
        <w:rPr>
          <w:rFonts w:ascii="Arial" w:cs="Arial" w:eastAsia="Arial" w:hAnsi="Arial"/>
          <w:sz w:val="18"/>
          <w:szCs w:val="18"/>
          <w:color w:val="auto"/>
        </w:rPr>
      </w:pPr>
    </w:p>
    <w:p>
      <w:pPr>
        <w:ind w:left="460" w:right="200" w:hanging="452"/>
        <w:spacing w:after="0" w:line="24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Harless elected to defer receipt of her calendar 2015 and calendar 2016 retainers earned in fiscal 2016 under the Deferred Plan for Directors.</w:t>
      </w:r>
    </w:p>
    <w:p>
      <w:pPr>
        <w:spacing w:after="0" w:line="223" w:lineRule="exact"/>
        <w:rPr>
          <w:rFonts w:ascii="Arial" w:cs="Arial" w:eastAsia="Arial" w:hAnsi="Arial"/>
          <w:sz w:val="18"/>
          <w:szCs w:val="18"/>
          <w:color w:val="auto"/>
        </w:rPr>
      </w:pPr>
    </w:p>
    <w:p>
      <w:pPr>
        <w:ind w:left="460" w:right="14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Koch was elected to the Board on April 21, 2016. Accordingly, the fees shown for Mr. Koch are for the period from April 21, 2016 through October 31, 2016. As he was not serving on the Board on November 1, 2015, the date of the fiscal 2016 automatic annual stock award and annual stock option grants, he did not receive such awards in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Related Person Transactions and Policies and Procedures Regarding Related Person Transactions</w:t>
      </w:r>
    </w:p>
    <w:p>
      <w:pPr>
        <w:spacing w:after="0" w:line="231"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On November 14, 2014, we acquired substantially all of the assets (excluding accounts receivable) of the BOSS</w:t>
      </w:r>
      <w:r>
        <w:rPr>
          <w:rFonts w:ascii="Arial" w:cs="Arial" w:eastAsia="Arial" w:hAnsi="Arial"/>
          <w:sz w:val="15"/>
          <w:szCs w:val="15"/>
          <w:color w:val="auto"/>
        </w:rPr>
        <w:t>®</w:t>
      </w:r>
      <w:r>
        <w:rPr>
          <w:rFonts w:ascii="Arial" w:cs="Arial" w:eastAsia="Arial" w:hAnsi="Arial"/>
          <w:sz w:val="18"/>
          <w:szCs w:val="18"/>
          <w:color w:val="auto"/>
        </w:rPr>
        <w:t xml:space="preserve"> professional snow and ice management business of privately held Northern Star Industries, Inc. The purchase price of $229.5 million included a cash payment and issuance of an unsecured promissory note in the aggregate principal amount of $30 million. Under the terms of the note, interest will accrue at the rate of 4.0% per year and principal payments of $10 million each, together with accrued interest, will be payable on the first, second, and third year anniversaries of the closing date of the acquisition, subject to certain conditions. Effective as of the closing of the acquisition on November 14, 2014 and through May 31, 2016, we employed David J. Brule II, who is a minority shareholder of Northern Star Industries, Inc., as an executive officer of our Company.</w:t>
      </w:r>
    </w:p>
    <w:p>
      <w:pPr>
        <w:spacing w:after="0" w:line="206"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229"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238" w:lineRule="exact"/>
        <w:rPr>
          <w:rFonts w:ascii="Arial" w:cs="Arial" w:eastAsia="Arial" w:hAnsi="Arial"/>
          <w:sz w:val="18"/>
          <w:szCs w:val="18"/>
          <w:color w:val="auto"/>
        </w:rPr>
      </w:pPr>
    </w:p>
    <w:p>
      <w:pPr>
        <w:ind w:left="780" w:right="1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 are not material to our business or the business of such unaffiliated corporation, are deemed conclusively pre-approved. In addition, the full Board reviewed and approved the acquisition of the BOSS business described previously.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of Directors Business Ethics Policy Statement</w:t>
      </w:r>
    </w:p>
    <w:p>
      <w:pPr>
        <w:spacing w:after="0" w:line="234"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Code of Conduct and Code of Ethics for our CEO and Senior Financial Officers</w:t>
      </w:r>
    </w:p>
    <w:p>
      <w:pPr>
        <w:spacing w:after="0" w:line="23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Officers applicable to our CEO (our principal executive officer), our Vice President, Treasurer and Chief Financial Officer (our principal financial officer), our Vice President, Corporate Controller (our principal accounting officer and controller), and to all business unit controllers and senior accounting personnel identified by our Vice President, Corporate Controller who are also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Communications with Directors; Complaint Procedures</w:t>
      </w:r>
    </w:p>
    <w:p>
      <w:pPr>
        <w:spacing w:after="0" w:line="234"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Shareholders and other interested parties may communicate directly with our Board of Directors, our Board committees, our non-employee directors as a group, our Lead Director, or any other specified individual director in writing by (i) sending a letter addressed to The Toro Company Board of Directors, c/o Vice President, Secretary and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Vice President, Secretary and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w:t>
      </w:r>
    </w:p>
    <w:p>
      <w:pPr>
        <w:spacing w:after="0" w:line="208" w:lineRule="exact"/>
        <w:rPr>
          <w:sz w:val="20"/>
          <w:szCs w:val="20"/>
          <w:color w:val="auto"/>
        </w:rPr>
      </w:pPr>
    </w:p>
    <w:p>
      <w:pPr>
        <w:ind w:right="40" w:firstLine="456"/>
        <w:spacing w:after="0" w:line="234" w:lineRule="auto"/>
        <w:rPr>
          <w:sz w:val="20"/>
          <w:szCs w:val="20"/>
          <w:color w:val="auto"/>
        </w:rPr>
      </w:pPr>
      <w:r>
        <w:rPr>
          <w:rFonts w:ascii="Arial" w:cs="Arial" w:eastAsia="Arial" w:hAnsi="Arial"/>
          <w:sz w:val="18"/>
          <w:szCs w:val="18"/>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17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PROPOSAL TWO—RATIFICATION OF SELECTION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Selection of Independent Registered Public Accounting Firm</w:t>
      </w:r>
    </w:p>
    <w:p>
      <w:pPr>
        <w:spacing w:after="0" w:line="23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Audit Committee selects our independent registered public accounting firm, or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2017.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206"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Audit, Audit-Related, Tax and Other Fees</w:t>
      </w:r>
    </w:p>
    <w:p>
      <w:pPr>
        <w:spacing w:after="0" w:line="234" w:lineRule="exact"/>
        <w:rPr>
          <w:sz w:val="20"/>
          <w:szCs w:val="20"/>
          <w:color w:val="auto"/>
        </w:rPr>
      </w:pPr>
    </w:p>
    <w:p>
      <w:pPr>
        <w:ind w:right="80" w:firstLine="571"/>
        <w:spacing w:after="0" w:line="246"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2016 and fiscal 2015 by category, as described in the footnotes to the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shd w:val="clear" w:color="auto" w:fill="C00000"/>
          </w:tcPr>
          <w:p>
            <w:pPr>
              <w:spacing w:after="0"/>
              <w:rPr>
                <w:sz w:val="17"/>
                <w:szCs w:val="17"/>
                <w:color w:val="auto"/>
              </w:rPr>
            </w:pPr>
          </w:p>
        </w:tc>
        <w:tc>
          <w:tcPr>
            <w:tcW w:w="4780" w:type="dxa"/>
            <w:vAlign w:val="bottom"/>
            <w:gridSpan w:val="2"/>
            <w:shd w:val="clear" w:color="auto" w:fill="C00000"/>
          </w:tcPr>
          <w:p>
            <w:pPr>
              <w:jc w:val="right"/>
              <w:ind w:right="430"/>
              <w:spacing w:after="0"/>
              <w:rPr>
                <w:sz w:val="20"/>
                <w:szCs w:val="20"/>
                <w:color w:val="auto"/>
              </w:rPr>
            </w:pPr>
            <w:r>
              <w:rPr>
                <w:rFonts w:ascii="Arial" w:cs="Arial" w:eastAsia="Arial" w:hAnsi="Arial"/>
                <w:sz w:val="14"/>
                <w:szCs w:val="14"/>
                <w:b w:val="1"/>
                <w:bCs w:val="1"/>
                <w:color w:val="FFFFFF"/>
              </w:rPr>
              <w:t>Fiscal 2016</w:t>
            </w:r>
          </w:p>
        </w:tc>
        <w:tc>
          <w:tcPr>
            <w:tcW w:w="1480" w:type="dxa"/>
            <w:vAlign w:val="bottom"/>
            <w:gridSpan w:val="2"/>
            <w:shd w:val="clear" w:color="auto" w:fill="C00000"/>
          </w:tcPr>
          <w:p>
            <w:pPr>
              <w:jc w:val="right"/>
              <w:ind w:right="90"/>
              <w:spacing w:after="0"/>
              <w:rPr>
                <w:sz w:val="20"/>
                <w:szCs w:val="20"/>
                <w:color w:val="auto"/>
              </w:rPr>
            </w:pPr>
            <w:r>
              <w:rPr>
                <w:rFonts w:ascii="Arial" w:cs="Arial" w:eastAsia="Arial" w:hAnsi="Arial"/>
                <w:sz w:val="14"/>
                <w:szCs w:val="14"/>
                <w:b w:val="1"/>
                <w:bCs w:val="1"/>
                <w:color w:val="FFFFFF"/>
              </w:rPr>
              <w:t>Fiscal 2015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97"/>
              </w:rPr>
              <w:t>1,213,420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1,170,764</w:t>
            </w: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D9D9D9"/>
          </w:tcPr>
          <w:p>
            <w:pPr>
              <w:jc w:val="right"/>
              <w:ind w:right="350"/>
              <w:spacing w:after="0" w:line="202" w:lineRule="exact"/>
              <w:rPr>
                <w:sz w:val="20"/>
                <w:szCs w:val="20"/>
                <w:color w:val="auto"/>
              </w:rPr>
            </w:pPr>
            <w:r>
              <w:rPr>
                <w:rFonts w:ascii="Arial" w:cs="Arial" w:eastAsia="Arial" w:hAnsi="Arial"/>
                <w:sz w:val="18"/>
                <w:szCs w:val="18"/>
                <w:color w:val="auto"/>
              </w:rPr>
              <w:t>51,500</w:t>
            </w:r>
          </w:p>
        </w:tc>
        <w:tc>
          <w:tcPr>
            <w:tcW w:w="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54,265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499,452</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300,526</w:t>
            </w:r>
          </w:p>
        </w:tc>
      </w:tr>
      <w:tr>
        <w:trPr>
          <w:trHeight w:val="203"/>
        </w:trPr>
        <w:tc>
          <w:tcPr>
            <w:tcW w:w="5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All Other Fees</w:t>
            </w:r>
          </w:p>
        </w:tc>
        <w:tc>
          <w:tcPr>
            <w:tcW w:w="3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D9D9D9"/>
          </w:tcPr>
          <w:p>
            <w:pPr>
              <w:jc w:val="right"/>
              <w:ind w:right="350"/>
              <w:spacing w:after="0" w:line="202" w:lineRule="exact"/>
              <w:rPr>
                <w:sz w:val="20"/>
                <w:szCs w:val="20"/>
                <w:color w:val="auto"/>
              </w:rPr>
            </w:pPr>
            <w:r>
              <w:rPr>
                <w:rFonts w:ascii="Arial" w:cs="Arial" w:eastAsia="Arial" w:hAnsi="Arial"/>
                <w:sz w:val="18"/>
                <w:szCs w:val="18"/>
                <w:color w:val="auto"/>
              </w:rPr>
              <w:t>0</w:t>
            </w:r>
          </w:p>
        </w:tc>
        <w:tc>
          <w:tcPr>
            <w:tcW w:w="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3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2016 and fiscal 2015,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issuance of a consent for a Form S-8 registration statement filed with the SEC on December 22, 2016, issuance of a consent for a Form S-8 registration statement filed with the SEC on May 20, 2015, and various other attestation procedures.</w:t>
      </w:r>
    </w:p>
    <w:p>
      <w:pPr>
        <w:spacing w:after="0" w:line="108" w:lineRule="exact"/>
        <w:rPr>
          <w:rFonts w:ascii="Arial" w:cs="Arial" w:eastAsia="Arial" w:hAnsi="Arial"/>
          <w:sz w:val="18"/>
          <w:szCs w:val="18"/>
          <w:color w:val="auto"/>
        </w:rPr>
      </w:pPr>
    </w:p>
    <w:p>
      <w:pPr>
        <w:ind w:left="460" w:right="30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Pre-Approval Policies and Procedures</w:t>
      </w:r>
    </w:p>
    <w:p>
      <w:pPr>
        <w:spacing w:after="0" w:line="23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300" w:type="dxa"/>
            <w:vAlign w:val="bottom"/>
            <w:shd w:val="clear" w:color="auto" w:fill="C00000"/>
          </w:tcPr>
          <w:p>
            <w:pPr>
              <w:jc w:val="center"/>
              <w:ind w:left="10"/>
              <w:spacing w:after="0"/>
              <w:rPr>
                <w:sz w:val="20"/>
                <w:szCs w:val="20"/>
                <w:color w:val="auto"/>
              </w:rPr>
            </w:pPr>
            <w:r>
              <w:rPr>
                <w:rFonts w:ascii="Arial" w:cs="Arial" w:eastAsia="Arial" w:hAnsi="Arial"/>
                <w:sz w:val="18"/>
                <w:szCs w:val="18"/>
                <w:b w:val="1"/>
                <w:bCs w:val="1"/>
                <w:color w:val="FFFFFF"/>
                <w:w w:val="99"/>
              </w:rPr>
              <w:t>The Board of Directors Recommends a Vote FOR Ratification of the Selection of KPMG LLP as Our Independent</w:t>
            </w:r>
          </w:p>
        </w:tc>
        <w:tc>
          <w:tcPr>
            <w:tcW w:w="1120" w:type="dxa"/>
            <w:vAlign w:val="bottom"/>
            <w:vMerge w:val="restart"/>
            <w:shd w:val="clear" w:color="auto" w:fill="C00000"/>
          </w:tcPr>
          <w:p>
            <w:pPr>
              <w:ind w:left="320"/>
              <w:spacing w:after="0" w:line="221" w:lineRule="exact"/>
              <w:rPr>
                <w:sz w:val="20"/>
                <w:szCs w:val="20"/>
                <w:color w:val="auto"/>
              </w:rPr>
            </w:pPr>
            <w:r>
              <w:rPr>
                <w:rFonts w:ascii="MS PGothic" w:cs="MS PGothic" w:eastAsia="MS PGothic" w:hAnsi="MS PGothic"/>
                <w:sz w:val="22"/>
                <w:szCs w:val="22"/>
                <w:color w:val="FFFFFF"/>
              </w:rPr>
              <w:t>☑</w:t>
            </w:r>
          </w:p>
        </w:tc>
        <w:tc>
          <w:tcPr>
            <w:tcW w:w="0" w:type="dxa"/>
            <w:vAlign w:val="bottom"/>
          </w:tcPr>
          <w:p>
            <w:pPr>
              <w:spacing w:after="0"/>
              <w:rPr>
                <w:sz w:val="1"/>
                <w:szCs w:val="1"/>
                <w:color w:val="auto"/>
              </w:rPr>
            </w:pPr>
          </w:p>
        </w:tc>
      </w:tr>
      <w:tr>
        <w:trPr>
          <w:trHeight w:val="259"/>
        </w:trPr>
        <w:tc>
          <w:tcPr>
            <w:tcW w:w="10300" w:type="dxa"/>
            <w:vAlign w:val="bottom"/>
            <w:tcBorders>
              <w:bottom w:val="single" w:sz="8" w:color="C00000"/>
            </w:tcBorders>
            <w:shd w:val="clear" w:color="auto" w:fill="C00000"/>
          </w:tcPr>
          <w:p>
            <w:pPr>
              <w:jc w:val="center"/>
              <w:ind w:left="30"/>
              <w:spacing w:after="0"/>
              <w:rPr>
                <w:sz w:val="20"/>
                <w:szCs w:val="20"/>
                <w:color w:val="auto"/>
              </w:rPr>
            </w:pPr>
            <w:r>
              <w:rPr>
                <w:rFonts w:ascii="Arial" w:cs="Arial" w:eastAsia="Arial" w:hAnsi="Arial"/>
                <w:sz w:val="18"/>
                <w:szCs w:val="18"/>
                <w:b w:val="1"/>
                <w:bCs w:val="1"/>
                <w:color w:val="FFFFFF"/>
                <w:w w:val="99"/>
              </w:rPr>
              <w:t>Registered Public Accounting Firm for Fiscal 2017</w:t>
            </w:r>
          </w:p>
        </w:tc>
        <w:tc>
          <w:tcPr>
            <w:tcW w:w="1120" w:type="dxa"/>
            <w:vAlign w:val="bottom"/>
            <w:tcBorders>
              <w:bottom w:val="single" w:sz="8" w:color="C00000"/>
            </w:tcBorders>
            <w:vMerge w:val="continue"/>
            <w:shd w:val="clear" w:color="auto" w:fill="C00000"/>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10300" w:type="dxa"/>
            <w:vAlign w:val="bottom"/>
          </w:tcPr>
          <w:p>
            <w:pPr>
              <w:jc w:val="right"/>
              <w:ind w:right="4390"/>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Audit Committee Report</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2016.</w:t>
      </w:r>
    </w:p>
    <w:p>
      <w:pPr>
        <w:spacing w:after="0" w:line="212"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 (click on “Investor Information” and “Corporate Governance”).</w:t>
      </w:r>
    </w:p>
    <w:p>
      <w:pPr>
        <w:spacing w:after="0" w:line="20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20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2016, (ii) discussed with representatives of KPMG the matters required to be discussed by PCAOB Auditing Standard 1301 (Communications with Audit Committees),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Toro and its Management.</w:t>
      </w:r>
    </w:p>
    <w:p>
      <w:pPr>
        <w:spacing w:after="0" w:line="203" w:lineRule="exact"/>
        <w:rPr>
          <w:sz w:val="20"/>
          <w:szCs w:val="20"/>
          <w:color w:val="auto"/>
        </w:rPr>
      </w:pPr>
    </w:p>
    <w:p>
      <w:pPr>
        <w:ind w:right="60" w:firstLine="571"/>
        <w:spacing w:after="0"/>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2016 be included in our Annual Report on Form 10-K for the fiscal year ended October 31, 2016, for filing with the SEC.</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C00000"/>
        </w:rPr>
        <w:t>Audit Committee:</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Janet K. Cooper (Chair)</w:t>
      </w:r>
    </w:p>
    <w:p>
      <w:pPr>
        <w:jc w:val="center"/>
        <w:ind w:right="-39"/>
        <w:spacing w:after="0" w:line="234" w:lineRule="auto"/>
        <w:rPr>
          <w:sz w:val="20"/>
          <w:szCs w:val="20"/>
          <w:color w:val="auto"/>
        </w:rPr>
      </w:pPr>
      <w:r>
        <w:rPr>
          <w:rFonts w:ascii="Arial" w:cs="Arial" w:eastAsia="Arial" w:hAnsi="Arial"/>
          <w:sz w:val="18"/>
          <w:szCs w:val="18"/>
          <w:color w:val="auto"/>
        </w:rPr>
        <w:t>Gary L. Ellis</w:t>
      </w:r>
    </w:p>
    <w:p>
      <w:pPr>
        <w:jc w:val="center"/>
        <w:ind w:right="-39"/>
        <w:spacing w:after="0" w:line="235" w:lineRule="auto"/>
        <w:rPr>
          <w:sz w:val="20"/>
          <w:szCs w:val="20"/>
          <w:color w:val="auto"/>
        </w:rPr>
      </w:pPr>
      <w:r>
        <w:rPr>
          <w:rFonts w:ascii="Arial" w:cs="Arial" w:eastAsia="Arial" w:hAnsi="Arial"/>
          <w:sz w:val="18"/>
          <w:szCs w:val="18"/>
          <w:color w:val="auto"/>
        </w:rPr>
        <w:t>Katherine J. Harless</w:t>
      </w:r>
    </w:p>
    <w:p>
      <w:pPr>
        <w:jc w:val="center"/>
        <w:ind w:right="-39"/>
        <w:spacing w:after="0" w:line="235" w:lineRule="auto"/>
        <w:rPr>
          <w:sz w:val="20"/>
          <w:szCs w:val="20"/>
          <w:color w:val="auto"/>
        </w:rPr>
      </w:pPr>
      <w:r>
        <w:rPr>
          <w:rFonts w:ascii="Arial" w:cs="Arial" w:eastAsia="Arial" w:hAnsi="Arial"/>
          <w:sz w:val="18"/>
          <w:szCs w:val="18"/>
          <w:color w:val="auto"/>
        </w:rPr>
        <w:t>D. Christian Koch</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James C. O’Rourke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PROPOSAL THREE—ADVISORY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or the Dodd-Frank Act, and Section 14A of the Exchange Act. This advisory vote, commonly known as a say-on-pay vote, is a non-binding vote on the compensation paid to our named executive officers as set forth in the “Executive Compensation” section of this proxy statement beginning on page 33, including in the “Compensation Discussion and Analysis,” the accompanying compensation tables and the corresponding narrative discussion and footnotes. At the 2016 Annual Meeting of Shareholders held on March 15, 2016, 98% of the votes cast by our shareholders were in favor of our say-on-pay vote. The Compensation &amp; Human Resources Committee believes that such results affirmed shareholder support of our approach to executive compensation.</w:t>
      </w:r>
    </w:p>
    <w:p>
      <w:pPr>
        <w:spacing w:after="0" w:line="20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beginning on page 33, describes our executive compensation program and the executive compensation decisions made by the Compensation &amp; Human Resources Committee in fiscal 2016 in more detail. Important considerations include:</w:t>
      </w:r>
    </w:p>
    <w:p>
      <w:pPr>
        <w:spacing w:after="0" w:line="234" w:lineRule="exact"/>
        <w:rPr>
          <w:sz w:val="20"/>
          <w:szCs w:val="20"/>
          <w:color w:val="auto"/>
        </w:rPr>
      </w:pPr>
    </w:p>
    <w:p>
      <w:pPr>
        <w:ind w:left="78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significant portion of the total compensation paid or awarded to our named executive officers in fiscal 2016 was “performance-based” or “at-risk” compensation tied directly to the achievement of financial performance goals or long-term stock price performance.</w:t>
      </w:r>
    </w:p>
    <w:p>
      <w:pPr>
        <w:spacing w:after="0" w:line="223" w:lineRule="exact"/>
        <w:rPr>
          <w:rFonts w:ascii="Arial" w:cs="Arial" w:eastAsia="Arial" w:hAnsi="Arial"/>
          <w:sz w:val="18"/>
          <w:szCs w:val="18"/>
          <w:color w:val="auto"/>
        </w:rPr>
      </w:pPr>
    </w:p>
    <w:p>
      <w:pPr>
        <w:ind w:left="780" w:right="20" w:hanging="326"/>
        <w:spacing w:after="0" w:line="23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cash incentive awards and three-year performance share awards granted in fiscal 2016 are “performance-based” in that certain threshold, or minimum, levels of financial performance must be achieved in order for there to be any payout for a specified performance measure and, in particular, for the annual cash incentive awards, the threshold level of diluted net earnings per share, or EPS, performance must have been achieved in order for there to be any corporate payout or any corporate portion payout to division participants.</w:t>
      </w:r>
    </w:p>
    <w:p>
      <w:pPr>
        <w:spacing w:after="0" w:line="229" w:lineRule="exact"/>
        <w:rPr>
          <w:rFonts w:ascii="Arial" w:cs="Arial" w:eastAsia="Arial" w:hAnsi="Arial"/>
          <w:sz w:val="18"/>
          <w:szCs w:val="18"/>
          <w:color w:val="auto"/>
        </w:rPr>
      </w:pPr>
    </w:p>
    <w:p>
      <w:pPr>
        <w:ind w:left="780" w:right="78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223" w:lineRule="exact"/>
        <w:rPr>
          <w:rFonts w:ascii="Arial" w:cs="Arial" w:eastAsia="Arial" w:hAnsi="Arial"/>
          <w:sz w:val="18"/>
          <w:szCs w:val="18"/>
          <w:color w:val="auto"/>
        </w:rPr>
      </w:pPr>
    </w:p>
    <w:p>
      <w:pPr>
        <w:ind w:left="780" w:right="10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our executive officers have employment or severance agreements or arrangements, except as provided for in our change in control severance compensation policy, or CIC policy.</w:t>
      </w:r>
    </w:p>
    <w:p>
      <w:pPr>
        <w:spacing w:after="0" w:line="223" w:lineRule="exact"/>
        <w:rPr>
          <w:rFonts w:ascii="Arial" w:cs="Arial" w:eastAsia="Arial" w:hAnsi="Arial"/>
          <w:sz w:val="18"/>
          <w:szCs w:val="18"/>
          <w:color w:val="auto"/>
        </w:rPr>
      </w:pPr>
    </w:p>
    <w:p>
      <w:pPr>
        <w:ind w:left="780" w:right="62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maintain stock ownership guidelines for each of our executive officers.</w:t>
      </w:r>
    </w:p>
    <w:p>
      <w:pPr>
        <w:spacing w:after="0" w:line="238" w:lineRule="exact"/>
        <w:rPr>
          <w:rFonts w:ascii="Arial" w:cs="Arial" w:eastAsia="Arial" w:hAnsi="Arial"/>
          <w:sz w:val="18"/>
          <w:szCs w:val="18"/>
          <w:color w:val="auto"/>
        </w:rPr>
      </w:pPr>
    </w:p>
    <w:p>
      <w:pPr>
        <w:ind w:left="780" w:right="12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 trading policy prohibits executive officers and directors from purchasing Toro securities on margin, borrowing against any account in which Toro securities are held, or pledging Toro securities as collateral for a loan.</w:t>
      </w:r>
    </w:p>
    <w:p>
      <w:pPr>
        <w:spacing w:after="0" w:line="223" w:lineRule="exact"/>
        <w:rPr>
          <w:rFonts w:ascii="Arial" w:cs="Arial" w:eastAsia="Arial" w:hAnsi="Arial"/>
          <w:sz w:val="18"/>
          <w:szCs w:val="18"/>
          <w:color w:val="auto"/>
        </w:rPr>
      </w:pPr>
    </w:p>
    <w:p>
      <w:pPr>
        <w:ind w:left="780" w:right="10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 trading policy prohibits employees, executive officers and directors from purchasing any financial instruments (including without limitation collars, equity swaps, prepaid variable forward contracts, and exchange funds) that are designed to hedge or offset any decrease in the market value of Toro securities.</w:t>
      </w:r>
    </w:p>
    <w:p>
      <w:pPr>
        <w:spacing w:after="0" w:line="229"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utilize an independent external compensation consultant.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456"/>
        <w:spacing w:after="0"/>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 over time.</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212" w:lineRule="exact"/>
        <w:rPr>
          <w:sz w:val="20"/>
          <w:szCs w:val="20"/>
          <w:color w:val="auto"/>
        </w:rPr>
      </w:pPr>
    </w:p>
    <w:p>
      <w:pPr>
        <w:ind w:left="460" w:right="180"/>
        <w:spacing w:after="0" w:line="239"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60" w:type="dxa"/>
            <w:vAlign w:val="bottom"/>
            <w:shd w:val="clear" w:color="auto" w:fill="C00000"/>
          </w:tcPr>
          <w:p>
            <w:pPr>
              <w:jc w:val="center"/>
              <w:ind w:left="650"/>
              <w:spacing w:after="0"/>
              <w:rPr>
                <w:sz w:val="20"/>
                <w:szCs w:val="20"/>
                <w:color w:val="auto"/>
              </w:rPr>
            </w:pPr>
            <w:r>
              <w:rPr>
                <w:rFonts w:ascii="Arial" w:cs="Arial" w:eastAsia="Arial" w:hAnsi="Arial"/>
                <w:sz w:val="18"/>
                <w:szCs w:val="18"/>
                <w:b w:val="1"/>
                <w:bCs w:val="1"/>
                <w:color w:val="FFFFFF"/>
                <w:w w:val="99"/>
              </w:rPr>
              <w:t>The Board of Directors Recommends a Vote FOR Approval, on an Advisory Basis,</w:t>
            </w:r>
          </w:p>
        </w:tc>
        <w:tc>
          <w:tcPr>
            <w:tcW w:w="1760" w:type="dxa"/>
            <w:vAlign w:val="bottom"/>
            <w:vMerge w:val="restart"/>
            <w:shd w:val="clear" w:color="auto" w:fill="C00000"/>
          </w:tcPr>
          <w:p>
            <w:pPr>
              <w:ind w:left="960"/>
              <w:spacing w:after="0" w:line="221" w:lineRule="exact"/>
              <w:rPr>
                <w:sz w:val="20"/>
                <w:szCs w:val="20"/>
                <w:color w:val="auto"/>
              </w:rPr>
            </w:pPr>
            <w:r>
              <w:rPr>
                <w:rFonts w:ascii="MS PGothic" w:cs="MS PGothic" w:eastAsia="MS PGothic" w:hAnsi="MS PGothic"/>
                <w:sz w:val="22"/>
                <w:szCs w:val="22"/>
                <w:color w:val="FFFFFF"/>
              </w:rPr>
              <w:t>☑</w:t>
            </w:r>
          </w:p>
        </w:tc>
        <w:tc>
          <w:tcPr>
            <w:tcW w:w="0" w:type="dxa"/>
            <w:vAlign w:val="bottom"/>
          </w:tcPr>
          <w:p>
            <w:pPr>
              <w:spacing w:after="0"/>
              <w:rPr>
                <w:sz w:val="1"/>
                <w:szCs w:val="1"/>
                <w:color w:val="auto"/>
              </w:rPr>
            </w:pPr>
          </w:p>
        </w:tc>
      </w:tr>
      <w:tr>
        <w:trPr>
          <w:trHeight w:val="259"/>
        </w:trPr>
        <w:tc>
          <w:tcPr>
            <w:tcW w:w="9660" w:type="dxa"/>
            <w:vAlign w:val="bottom"/>
            <w:tcBorders>
              <w:bottom w:val="single" w:sz="8" w:color="C00000"/>
            </w:tcBorders>
            <w:shd w:val="clear" w:color="auto" w:fill="C00000"/>
          </w:tcPr>
          <w:p>
            <w:pPr>
              <w:jc w:val="center"/>
              <w:ind w:left="650"/>
              <w:spacing w:after="0"/>
              <w:rPr>
                <w:sz w:val="20"/>
                <w:szCs w:val="20"/>
                <w:color w:val="auto"/>
              </w:rPr>
            </w:pPr>
            <w:r>
              <w:rPr>
                <w:rFonts w:ascii="Arial" w:cs="Arial" w:eastAsia="Arial" w:hAnsi="Arial"/>
                <w:sz w:val="18"/>
                <w:szCs w:val="18"/>
                <w:b w:val="1"/>
                <w:bCs w:val="1"/>
                <w:color w:val="FFFFFF"/>
                <w:w w:val="99"/>
              </w:rPr>
              <w:t>of our Executive Compensation, or Say-On-Pay Vote.</w:t>
            </w:r>
          </w:p>
        </w:tc>
        <w:tc>
          <w:tcPr>
            <w:tcW w:w="1760" w:type="dxa"/>
            <w:vAlign w:val="bottom"/>
            <w:tcBorders>
              <w:bottom w:val="single" w:sz="8" w:color="C00000"/>
            </w:tcBorders>
            <w:vMerge w:val="continue"/>
            <w:shd w:val="clear" w:color="auto" w:fill="C00000"/>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9660" w:type="dxa"/>
            <w:vAlign w:val="bottom"/>
          </w:tcPr>
          <w:p>
            <w:pPr>
              <w:jc w:val="right"/>
              <w:ind w:right="3750"/>
              <w:spacing w:after="0"/>
              <w:rPr>
                <w:sz w:val="20"/>
                <w:szCs w:val="20"/>
                <w:color w:val="auto"/>
              </w:rPr>
            </w:pPr>
            <w:r>
              <w:rPr>
                <w:rFonts w:ascii="Arial" w:cs="Arial" w:eastAsia="Arial" w:hAnsi="Arial"/>
                <w:sz w:val="18"/>
                <w:szCs w:val="18"/>
                <w:color w:val="auto"/>
              </w:rPr>
              <w:t>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17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PROPOSAL FOUR—ADVISORY APPROVAL OF THE FREQUENCY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THE ADVISORY APPROVAL OF OUR EXECUTIVE COMPENSATION</w:t>
      </w:r>
    </w:p>
    <w:p>
      <w:pPr>
        <w:spacing w:after="0" w:line="266"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The Board is providing our shareholders with an advisory vote on the frequency of future advisory votes on our executive compensation, such as that provided for in Proposal Three—Advisory Approval of our Executive Compensation. This non-binding advisory vote is required to be conducted every six years under Section 14A of the Exchange Act pursuant to the Dodd-Frank Act. We last asked our shareholders to indicate the frequency with which they believe a say-on-pay vote should occur at the Company’s 2011 Annual Meeting of Shareholders. Shareholders may indicate whether they prefer that we hold a say-on-pay vote every year, every two years, every three years, or they may abstain from this vote.</w:t>
      </w:r>
    </w:p>
    <w:p>
      <w:pPr>
        <w:spacing w:after="0" w:line="205"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After careful consideration, the Board, on the recommendation of the Compensation &amp; Human Resources Committee, has determined that a say-on-pay vote every year is the best approach for the Company and our shareholders for a number of reasons, including:</w:t>
      </w:r>
    </w:p>
    <w:p>
      <w:pPr>
        <w:spacing w:after="0" w:line="224" w:lineRule="exact"/>
        <w:rPr>
          <w:sz w:val="20"/>
          <w:szCs w:val="20"/>
          <w:color w:val="auto"/>
        </w:rPr>
      </w:pPr>
    </w:p>
    <w:p>
      <w:pPr>
        <w:ind w:left="780" w:right="80" w:hanging="326"/>
        <w:spacing w:after="0" w:line="24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allows shareholders to provide timely, direct input on our executive compensation philosophy, policies and practices as disclosed in the proxy statement each year; and</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consistent with our annual review of core elements of our executive compensation program.</w:t>
      </w:r>
    </w:p>
    <w:p>
      <w:pPr>
        <w:spacing w:after="0" w:line="212"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Shareholders are not voting to approve or disapprove the Board’s recommendation. Instead, shareholders may indicate their preference regarding the frequency of future say-on-pay votes by selecting every year, every two years or every three years. Shareholders that do not have a preference regarding the frequency of future say-on-pay votes may abstain from voting on the proposal.</w:t>
      </w:r>
    </w:p>
    <w:p>
      <w:pPr>
        <w:spacing w:after="0" w:line="203"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option of every year, every two years or every three years that receives the highest number of votes cast by shareholders will reflect the frequency for future say-on-pay votes that has been selected by shareholders. As this is an advisory vote, the outcome of the vote is not binding on us, and our Compensation &amp; Human Resources Committee and the Board may decide that it is in the best interests of our Company and our shareholders to hold a say-on-pay vote more or less frequently than the preference receiving the highest number of votes of our shareholders. However, our Compensation &amp; Human Resources Committee and Board value the opinions expressed by our shareholders in their vote on this proposal, and expect to take into account the outcome of this vote when considering the frequency of future advisory votes on our executive compensation.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60" w:type="dxa"/>
            <w:vAlign w:val="bottom"/>
            <w:shd w:val="clear" w:color="auto" w:fill="C00000"/>
          </w:tcPr>
          <w:p>
            <w:pPr>
              <w:jc w:val="center"/>
              <w:spacing w:after="0"/>
              <w:rPr>
                <w:sz w:val="20"/>
                <w:szCs w:val="20"/>
                <w:color w:val="auto"/>
              </w:rPr>
            </w:pPr>
            <w:r>
              <w:rPr>
                <w:rFonts w:ascii="Arial" w:cs="Arial" w:eastAsia="Arial" w:hAnsi="Arial"/>
                <w:sz w:val="18"/>
                <w:szCs w:val="18"/>
                <w:b w:val="1"/>
                <w:bCs w:val="1"/>
                <w:color w:val="FFFFFF"/>
                <w:w w:val="99"/>
              </w:rPr>
              <w:t>The Board of Directors Recommends a Vote for a Frequency of EVERY YEAR, on an Advisory Basis, for the Say-On-Pay</w:t>
            </w:r>
          </w:p>
        </w:tc>
        <w:tc>
          <w:tcPr>
            <w:tcW w:w="960" w:type="dxa"/>
            <w:vAlign w:val="bottom"/>
            <w:vMerge w:val="restart"/>
            <w:shd w:val="clear" w:color="auto" w:fill="C00000"/>
          </w:tcPr>
          <w:p>
            <w:pPr>
              <w:ind w:left="160"/>
              <w:spacing w:after="0" w:line="221" w:lineRule="exact"/>
              <w:rPr>
                <w:sz w:val="20"/>
                <w:szCs w:val="20"/>
                <w:color w:val="auto"/>
              </w:rPr>
            </w:pPr>
            <w:r>
              <w:rPr>
                <w:rFonts w:ascii="MS PGothic" w:cs="MS PGothic" w:eastAsia="MS PGothic" w:hAnsi="MS PGothic"/>
                <w:sz w:val="22"/>
                <w:szCs w:val="22"/>
                <w:color w:val="FFFFFF"/>
              </w:rPr>
              <w:t>☑</w:t>
            </w:r>
          </w:p>
        </w:tc>
        <w:tc>
          <w:tcPr>
            <w:tcW w:w="0" w:type="dxa"/>
            <w:vAlign w:val="bottom"/>
          </w:tcPr>
          <w:p>
            <w:pPr>
              <w:spacing w:after="0"/>
              <w:rPr>
                <w:sz w:val="1"/>
                <w:szCs w:val="1"/>
                <w:color w:val="auto"/>
              </w:rPr>
            </w:pPr>
          </w:p>
        </w:tc>
      </w:tr>
      <w:tr>
        <w:trPr>
          <w:trHeight w:val="259"/>
        </w:trPr>
        <w:tc>
          <w:tcPr>
            <w:tcW w:w="1046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8"/>
                <w:szCs w:val="18"/>
                <w:b w:val="1"/>
                <w:bCs w:val="1"/>
                <w:color w:val="FFFFFF"/>
                <w:w w:val="99"/>
              </w:rPr>
              <w:t>Vote.</w:t>
            </w:r>
          </w:p>
        </w:tc>
        <w:tc>
          <w:tcPr>
            <w:tcW w:w="960" w:type="dxa"/>
            <w:vAlign w:val="bottom"/>
            <w:tcBorders>
              <w:bottom w:val="single" w:sz="8" w:color="C00000"/>
            </w:tcBorders>
            <w:vMerge w:val="continue"/>
            <w:shd w:val="clear" w:color="auto" w:fill="C00000"/>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10460" w:type="dxa"/>
            <w:vAlign w:val="bottom"/>
          </w:tcPr>
          <w:p>
            <w:pPr>
              <w:jc w:val="right"/>
              <w:ind w:right="4550"/>
              <w:spacing w:after="0"/>
              <w:rPr>
                <w:sz w:val="20"/>
                <w:szCs w:val="20"/>
                <w:color w:val="auto"/>
              </w:rPr>
            </w:pPr>
            <w:r>
              <w:rPr>
                <w:rFonts w:ascii="Arial" w:cs="Arial" w:eastAsia="Arial" w:hAnsi="Arial"/>
                <w:sz w:val="18"/>
                <w:szCs w:val="18"/>
                <w:color w:val="auto"/>
              </w:rPr>
              <w:t>32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Compensation &amp; Human Resources Committee Report</w:t>
      </w:r>
    </w:p>
    <w:p>
      <w:pPr>
        <w:spacing w:after="0" w:line="234" w:lineRule="exact"/>
        <w:rPr>
          <w:sz w:val="20"/>
          <w:szCs w:val="20"/>
          <w:color w:val="auto"/>
        </w:rPr>
      </w:pPr>
    </w:p>
    <w:p>
      <w:pPr>
        <w:ind w:right="220" w:firstLine="456"/>
        <w:spacing w:after="0"/>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 the Committee recommended to the Board that the “Compensation Discussion and Analysis” be included in this proxy statement and in our Annual Report on Form 10-K for the fiscal year ended October 31,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Christopher A. Twomey (Chair)</w:t>
      </w:r>
    </w:p>
    <w:p>
      <w:pPr>
        <w:jc w:val="center"/>
        <w:ind w:right="-19"/>
        <w:spacing w:after="0" w:line="234" w:lineRule="auto"/>
        <w:rPr>
          <w:sz w:val="20"/>
          <w:szCs w:val="20"/>
          <w:color w:val="auto"/>
        </w:rPr>
      </w:pPr>
      <w:r>
        <w:rPr>
          <w:rFonts w:ascii="Arial" w:cs="Arial" w:eastAsia="Arial" w:hAnsi="Arial"/>
          <w:sz w:val="18"/>
          <w:szCs w:val="18"/>
          <w:color w:val="auto"/>
        </w:rPr>
        <w:t>Robert C. Buhrmaster</w:t>
      </w:r>
    </w:p>
    <w:p>
      <w:pPr>
        <w:jc w:val="center"/>
        <w:ind w:right="-19"/>
        <w:spacing w:after="0" w:line="235" w:lineRule="auto"/>
        <w:rPr>
          <w:sz w:val="20"/>
          <w:szCs w:val="20"/>
          <w:color w:val="auto"/>
        </w:rPr>
      </w:pPr>
      <w:r>
        <w:rPr>
          <w:rFonts w:ascii="Arial" w:cs="Arial" w:eastAsia="Arial" w:hAnsi="Arial"/>
          <w:sz w:val="18"/>
          <w:szCs w:val="18"/>
          <w:color w:val="auto"/>
        </w:rPr>
        <w:t>Jeffrey M. Ettinger</w:t>
      </w:r>
    </w:p>
    <w:p>
      <w:pPr>
        <w:jc w:val="center"/>
        <w:ind w:right="-19"/>
        <w:spacing w:after="0" w:line="235" w:lineRule="auto"/>
        <w:rPr>
          <w:sz w:val="20"/>
          <w:szCs w:val="20"/>
          <w:color w:val="auto"/>
        </w:rPr>
      </w:pPr>
      <w:r>
        <w:rPr>
          <w:rFonts w:ascii="Arial" w:cs="Arial" w:eastAsia="Arial" w:hAnsi="Arial"/>
          <w:sz w:val="18"/>
          <w:szCs w:val="18"/>
          <w:color w:val="auto"/>
        </w:rPr>
        <w:t>Katherine J. Harless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Compensation Discussion and Analysis</w:t>
      </w:r>
    </w:p>
    <w:p>
      <w:pPr>
        <w:spacing w:after="0" w:line="21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the key principles and approaches used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compensation paid to, awarded to and earned by the our named executive officers whose compensation is set forth in the “Summary Compensation Table” beginning on page 49.</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2016, we announced that:</w:t>
      </w:r>
    </w:p>
    <w:p>
      <w:pPr>
        <w:spacing w:after="0" w:line="239" w:lineRule="exact"/>
        <w:rPr>
          <w:sz w:val="20"/>
          <w:szCs w:val="20"/>
          <w:color w:val="auto"/>
        </w:rPr>
      </w:pPr>
    </w:p>
    <w:p>
      <w:pPr>
        <w:ind w:left="780" w:right="240" w:hanging="326"/>
        <w:spacing w:after="0" w:line="24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Michael J. Hoffman, our Chairman and CEO, would transition to the position of executive Chairman at the beginning of fiscal 2017; and</w:t>
      </w:r>
    </w:p>
    <w:p>
      <w:pPr>
        <w:spacing w:after="0" w:line="223" w:lineRule="exact"/>
        <w:rPr>
          <w:rFonts w:ascii="Arial" w:cs="Arial" w:eastAsia="Arial" w:hAnsi="Arial"/>
          <w:sz w:val="18"/>
          <w:szCs w:val="18"/>
          <w:color w:val="auto"/>
        </w:rPr>
      </w:pPr>
    </w:p>
    <w:p>
      <w:pPr>
        <w:ind w:left="780" w:right="80" w:hanging="326"/>
        <w:spacing w:after="0" w:line="24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Richard M. Olson, our President and Chief Operating Officer, would transition to the position of President and Chief Executive Officer at the beginning of fiscal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were our named executive officers for fiscal 2016:</w:t>
      </w:r>
    </w:p>
    <w:p>
      <w:pPr>
        <w:spacing w:after="0" w:line="239"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Michael J. Hoffman, our Chairman and CEO through the end of fiscal 2016;</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Renee J. Peterson, our Vice President, Treasurer and Chief Financial Officer;</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Richard M. Olson, our President and COO through the end of fiscal 2016;</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William E. Brown, Jr., our Group Vice President, Residential and Contractor Businesses;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Timothy P. Dordell, our Vice President, Secretary and General Counsel.</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our Executive Compensation” beginning on page 30.</w:t>
      </w:r>
    </w:p>
    <w:p>
      <w:pPr>
        <w:spacing w:after="0" w:line="180" w:lineRule="exact"/>
        <w:rPr>
          <w:sz w:val="20"/>
          <w:szCs w:val="20"/>
          <w:color w:val="auto"/>
        </w:rPr>
      </w:pPr>
    </w:p>
    <w:p>
      <w:pPr>
        <w:ind w:right="440" w:firstLine="456"/>
        <w:spacing w:after="0" w:line="247" w:lineRule="auto"/>
        <w:rPr>
          <w:sz w:val="20"/>
          <w:szCs w:val="20"/>
          <w:color w:val="auto"/>
        </w:rPr>
      </w:pPr>
      <w:r>
        <w:rPr>
          <w:rFonts w:ascii="Arial" w:cs="Arial" w:eastAsia="Arial" w:hAnsi="Arial"/>
          <w:sz w:val="18"/>
          <w:szCs w:val="18"/>
          <w:b w:val="1"/>
          <w:bCs w:val="1"/>
          <w:i w:val="1"/>
          <w:iCs w:val="1"/>
          <w:color w:val="auto"/>
        </w:rPr>
        <w:t>Executive Compensation Program Objectives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guiding compensation philosophy is to maintain an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223"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Align interests of executive officers with shareholder interests;</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Link pay to performance;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competitive target total direct compensation opportunities.</w:t>
      </w:r>
    </w:p>
    <w:p>
      <w:pPr>
        <w:spacing w:after="0" w:line="190"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b w:val="1"/>
          <w:bCs w:val="1"/>
          <w:i w:val="1"/>
          <w:iCs w:val="1"/>
          <w:color w:val="auto"/>
        </w:rPr>
        <w:t xml:space="preserve">Highlights of Compensation Practices. </w:t>
      </w:r>
      <w:r>
        <w:rPr>
          <w:rFonts w:ascii="Arial" w:cs="Arial" w:eastAsia="Arial" w:hAnsi="Arial"/>
          <w:sz w:val="18"/>
          <w:szCs w:val="18"/>
          <w:color w:val="auto"/>
        </w:rPr>
        <w:t>At our 2016 Annual Meeting of Shareholders, our shareholders had the opportunity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say-on-pay vote. Of the votes cast by our shareholders, 98% were in favor of our say-on-pay vote. Accordingly, the Compensation &amp; Human Resources Committee believes that such results affirmed shareholder support of our approach to executive compensation and did not believe it was necessary to, and, therefore, did not, make any significant changes to our executive compensation program in fiscal 2016.</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459"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What We Do:</w:t>
      </w:r>
    </w:p>
    <w:p>
      <w:pPr>
        <w:spacing w:after="0" w:line="31" w:lineRule="exact"/>
        <w:rPr>
          <w:sz w:val="20"/>
          <w:szCs w:val="20"/>
          <w:color w:val="auto"/>
        </w:rPr>
      </w:pPr>
    </w:p>
    <w:p>
      <w:pPr>
        <w:ind w:left="240" w:hanging="232"/>
        <w:spacing w:after="0"/>
        <w:tabs>
          <w:tab w:leader="none" w:pos="24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A significant portion of our total executive compensation is performance-based, or at risk.</w:t>
      </w:r>
    </w:p>
    <w:p>
      <w:pPr>
        <w:spacing w:after="0" w:line="9" w:lineRule="exact"/>
        <w:rPr>
          <w:rFonts w:ascii="MS PGothic" w:cs="MS PGothic" w:eastAsia="MS PGothic" w:hAnsi="MS PGothic"/>
          <w:sz w:val="18"/>
          <w:szCs w:val="18"/>
          <w:color w:val="auto"/>
        </w:rPr>
      </w:pPr>
    </w:p>
    <w:p>
      <w:pPr>
        <w:ind w:left="280" w:right="520" w:hanging="272"/>
        <w:spacing w:after="0" w:line="242" w:lineRule="auto"/>
        <w:tabs>
          <w:tab w:leader="none" w:pos="258"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link a substantial portion of total executive compensation directly to performance and require that minimum, or threshold, levels of performance be met in order for there to be any payout.</w:t>
      </w:r>
    </w:p>
    <w:p>
      <w:pPr>
        <w:spacing w:after="0" w:line="1" w:lineRule="exact"/>
        <w:rPr>
          <w:rFonts w:ascii="MS PGothic" w:cs="MS PGothic" w:eastAsia="MS PGothic" w:hAnsi="MS PGothic"/>
          <w:sz w:val="18"/>
          <w:szCs w:val="18"/>
          <w:color w:val="auto"/>
        </w:rPr>
      </w:pPr>
    </w:p>
    <w:p>
      <w:pPr>
        <w:ind w:left="280" w:hanging="272"/>
        <w:spacing w:after="0" w:line="242" w:lineRule="auto"/>
        <w:tabs>
          <w:tab w:leader="none" w:pos="258"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utilize a mix of revenue, earnings and asset-based performance measures for our annual cash incentive awards and performance share awards.</w:t>
      </w:r>
    </w:p>
    <w:p>
      <w:pPr>
        <w:spacing w:after="0" w:line="1" w:lineRule="exact"/>
        <w:rPr>
          <w:rFonts w:ascii="MS PGothic" w:cs="MS PGothic" w:eastAsia="MS PGothic" w:hAnsi="MS PGothic"/>
          <w:sz w:val="18"/>
          <w:szCs w:val="18"/>
          <w:color w:val="auto"/>
        </w:rPr>
      </w:pPr>
    </w:p>
    <w:p>
      <w:pPr>
        <w:ind w:left="260" w:hanging="252"/>
        <w:spacing w:after="0"/>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Our annual cash incentive award and performance share award payouts are capped at 200% of the target award.</w:t>
      </w:r>
    </w:p>
    <w:p>
      <w:pPr>
        <w:spacing w:after="0" w:line="9" w:lineRule="exact"/>
        <w:rPr>
          <w:rFonts w:ascii="MS PGothic" w:cs="MS PGothic" w:eastAsia="MS PGothic" w:hAnsi="MS PGothic"/>
          <w:sz w:val="18"/>
          <w:szCs w:val="18"/>
          <w:color w:val="auto"/>
        </w:rPr>
      </w:pPr>
    </w:p>
    <w:p>
      <w:pPr>
        <w:ind w:left="280" w:right="1020" w:hanging="272"/>
        <w:spacing w:after="0" w:line="242" w:lineRule="auto"/>
        <w:tabs>
          <w:tab w:leader="none" w:pos="258"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utilize three-year performance share awards, the payouts of which vary based on performance and are contingent upon the achievement of three-year performance goals.</w:t>
      </w:r>
    </w:p>
    <w:p>
      <w:pPr>
        <w:spacing w:after="0" w:line="1" w:lineRule="exact"/>
        <w:rPr>
          <w:rFonts w:ascii="MS PGothic" w:cs="MS PGothic" w:eastAsia="MS PGothic" w:hAnsi="MS PGothic"/>
          <w:sz w:val="18"/>
          <w:szCs w:val="18"/>
          <w:color w:val="auto"/>
        </w:rPr>
      </w:pPr>
    </w:p>
    <w:p>
      <w:pPr>
        <w:ind w:left="280" w:right="100" w:hanging="272"/>
        <w:spacing w:after="0" w:line="242" w:lineRule="auto"/>
        <w:tabs>
          <w:tab w:leader="none" w:pos="258"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utilize stock options, the value of which is contingent upon long-term stock price performance since stock options only have value if the stock price at the time of exercise exceeds the exercise price established at the time of grant.</w:t>
      </w:r>
    </w:p>
    <w:p>
      <w:pPr>
        <w:spacing w:after="0" w:line="1" w:lineRule="exact"/>
        <w:rPr>
          <w:rFonts w:ascii="MS PGothic" w:cs="MS PGothic" w:eastAsia="MS PGothic" w:hAnsi="MS PGothic"/>
          <w:sz w:val="18"/>
          <w:szCs w:val="18"/>
          <w:color w:val="auto"/>
        </w:rPr>
      </w:pPr>
    </w:p>
    <w:p>
      <w:pPr>
        <w:ind w:left="260" w:hanging="252"/>
        <w:spacing w:after="0"/>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Time-based equity awards have a minimum vesting requirement over three years.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maintain stock ownership guidelines for our executive officers.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include clawback provisions within our annual cash incentive and long-term incentive awards.</w:t>
      </w:r>
    </w:p>
    <w:p>
      <w:pPr>
        <w:spacing w:after="0" w:line="9" w:lineRule="exact"/>
        <w:rPr>
          <w:rFonts w:ascii="MS PGothic" w:cs="MS PGothic" w:eastAsia="MS PGothic" w:hAnsi="MS PGothic"/>
          <w:sz w:val="18"/>
          <w:szCs w:val="18"/>
          <w:color w:val="auto"/>
        </w:rPr>
      </w:pPr>
    </w:p>
    <w:p>
      <w:pPr>
        <w:ind w:left="280" w:right="540" w:hanging="272"/>
        <w:spacing w:after="0" w:line="242" w:lineRule="auto"/>
        <w:tabs>
          <w:tab w:leader="none" w:pos="258"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have an independent Compensation &amp; Human Resources Committee which is advised by an independent external compensation consultant.</w:t>
      </w:r>
    </w:p>
    <w:p>
      <w:pPr>
        <w:spacing w:after="0" w:line="1" w:lineRule="exact"/>
        <w:rPr>
          <w:rFonts w:ascii="MS PGothic" w:cs="MS PGothic" w:eastAsia="MS PGothic" w:hAnsi="MS PGothic"/>
          <w:sz w:val="18"/>
          <w:szCs w:val="18"/>
          <w:color w:val="auto"/>
        </w:rPr>
      </w:pPr>
    </w:p>
    <w:p>
      <w:pPr>
        <w:ind w:left="280" w:hanging="272"/>
        <w:spacing w:after="0" w:line="248" w:lineRule="auto"/>
        <w:tabs>
          <w:tab w:leader="none" w:pos="258"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We provide our shareholders with the opportunity to cast a say-on-pay vote on an annual basis; we propose continuing with our approach of an annual advisory say-on-pay vote in Proposal Four—Advisory Approval of the Frequency of the 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What We Don’t Do:</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allow repricing or exchange of any equity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7470"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We do not have individual employment agreements with any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7470"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We do not 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7470"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We do not provide gross-up payments to cover personal income taxes or excise taxes that pertain to executive or severance benefits.</w:t>
      </w:r>
    </w:p>
    <w:p>
      <w:pPr>
        <w:spacing w:after="0" w:line="1" w:lineRule="exact"/>
        <w:rPr>
          <w:sz w:val="20"/>
          <w:szCs w:val="20"/>
          <w:color w:val="auto"/>
        </w:rPr>
      </w:pPr>
    </w:p>
    <w:p>
      <w:pPr>
        <w:spacing w:after="0"/>
        <w:rPr>
          <w:sz w:val="20"/>
          <w:szCs w:val="20"/>
          <w:color w:val="auto"/>
        </w:rPr>
      </w:pPr>
      <w:r>
        <w:rPr>
          <w:sz w:val="1"/>
          <w:szCs w:val="1"/>
          <w:color w:val="auto"/>
        </w:rPr>
        <w:drawing>
          <wp:inline distT="0" distB="0" distL="0" distR="0">
            <wp:extent cx="77470" cy="7747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color w:val="auto"/>
        </w:rPr>
        <w:t xml:space="preserve"> We do not allow hedging or pledging of Toro securities by our executive officers.</w:t>
      </w:r>
    </w:p>
    <w:p>
      <w:pPr>
        <w:spacing w:after="0" w:line="203" w:lineRule="exact"/>
        <w:rPr>
          <w:sz w:val="20"/>
          <w:szCs w:val="20"/>
          <w:color w:val="auto"/>
        </w:rPr>
      </w:pPr>
    </w:p>
    <w:p>
      <w:pPr>
        <w:ind w:right="340" w:firstLine="456"/>
        <w:spacing w:after="0" w:line="271" w:lineRule="auto"/>
        <w:rPr>
          <w:sz w:val="20"/>
          <w:szCs w:val="20"/>
          <w:color w:val="auto"/>
        </w:rPr>
      </w:pPr>
      <w:r>
        <w:rPr>
          <w:rFonts w:ascii="Arial" w:cs="Arial" w:eastAsia="Arial" w:hAnsi="Arial"/>
          <w:sz w:val="18"/>
          <w:szCs w:val="18"/>
          <w:b w:val="1"/>
          <w:bCs w:val="1"/>
          <w:i w:val="1"/>
          <w:iCs w:val="1"/>
          <w:color w:val="auto"/>
        </w:rPr>
        <w:t xml:space="preserve">Pay Levels/Mix. </w:t>
      </w:r>
      <w:r>
        <w:rPr>
          <w:rFonts w:ascii="Arial" w:cs="Arial" w:eastAsia="Arial" w:hAnsi="Arial"/>
          <w:sz w:val="18"/>
          <w:szCs w:val="18"/>
          <w:color w:val="auto"/>
        </w:rPr>
        <w:t>A significant portion of our executive officers’ target total direct compensation is comprised of short-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variable performance-based, or at risk, compensation to directly link their pay to performance. For fiscal 2016:</w:t>
      </w:r>
    </w:p>
    <w:p>
      <w:pPr>
        <w:spacing w:after="0" w:line="203"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80% of the target total direct compensation for our Chairman and CEO was performance-based,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69% of the target total direct compensation for our other named executive officers was performance-based.</w:t>
      </w:r>
    </w:p>
    <w:p>
      <w:pPr>
        <w:spacing w:after="0" w:line="212"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Short-term variable compensation is in the form of annual cash incentive awards. Long-term variable compensation is in the form of stock options that vest over three years and three-year performance share awards. We target pay opportunities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each element of compensation and in total. However, a number of factors may influence why any individual element of compensation or total direct compensation may vary from the targeted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We also provide our executive officers with modest perquisites and retirement and benefit plans.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205740</wp:posOffset>
            </wp:positionV>
            <wp:extent cx="6311900" cy="1929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190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tabs>
          <w:tab w:leader="none" w:pos="3420" w:val="left"/>
        </w:tabs>
        <w:rPr>
          <w:sz w:val="20"/>
          <w:szCs w:val="20"/>
          <w:color w:val="auto"/>
        </w:rPr>
      </w:pPr>
      <w:r>
        <w:rPr>
          <w:rFonts w:ascii="Arial" w:cs="Arial" w:eastAsia="Arial" w:hAnsi="Arial"/>
          <w:sz w:val="18"/>
          <w:szCs w:val="18"/>
          <w:b w:val="1"/>
          <w:bCs w:val="1"/>
          <w:i w:val="1"/>
          <w:iCs w:val="1"/>
          <w:color w:val="auto"/>
        </w:rPr>
        <w:t>Fiscal 2016 Financial Highlights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Below is a brief summary of our financial highlights for fiscal 2016.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Financial Highlights</w:t>
            </w:r>
          </w:p>
        </w:tc>
        <w:tc>
          <w:tcPr>
            <w:tcW w:w="3040" w:type="dxa"/>
            <w:vAlign w:val="bottom"/>
            <w:shd w:val="clear" w:color="auto" w:fill="C00000"/>
          </w:tcPr>
          <w:p>
            <w:pPr>
              <w:jc w:val="right"/>
              <w:ind w:right="94"/>
              <w:spacing w:after="0"/>
              <w:rPr>
                <w:sz w:val="20"/>
                <w:szCs w:val="20"/>
                <w:color w:val="auto"/>
              </w:rPr>
            </w:pPr>
            <w:r>
              <w:rPr>
                <w:rFonts w:ascii="Arial" w:cs="Arial" w:eastAsia="Arial" w:hAnsi="Arial"/>
                <w:sz w:val="14"/>
                <w:szCs w:val="14"/>
                <w:b w:val="1"/>
                <w:bCs w:val="1"/>
                <w:color w:val="FFFFFF"/>
              </w:rPr>
              <w:t>Fiscal 2015</w:t>
            </w:r>
          </w:p>
        </w:tc>
        <w:tc>
          <w:tcPr>
            <w:tcW w:w="1140" w:type="dxa"/>
            <w:vAlign w:val="bottom"/>
            <w:shd w:val="clear" w:color="auto" w:fill="C00000"/>
          </w:tcPr>
          <w:p>
            <w:pPr>
              <w:jc w:val="right"/>
              <w:ind w:right="114"/>
              <w:spacing w:after="0"/>
              <w:rPr>
                <w:sz w:val="20"/>
                <w:szCs w:val="20"/>
                <w:color w:val="auto"/>
              </w:rPr>
            </w:pPr>
            <w:r>
              <w:rPr>
                <w:rFonts w:ascii="Arial" w:cs="Arial" w:eastAsia="Arial" w:hAnsi="Arial"/>
                <w:sz w:val="14"/>
                <w:szCs w:val="14"/>
                <w:b w:val="1"/>
                <w:bCs w:val="1"/>
                <w:color w:val="FFFFFF"/>
              </w:rPr>
              <w:t>Fiscal 2016</w:t>
            </w:r>
          </w:p>
        </w:tc>
        <w:tc>
          <w:tcPr>
            <w:tcW w:w="2260" w:type="dxa"/>
            <w:vAlign w:val="bottom"/>
            <w:shd w:val="clear" w:color="auto" w:fill="C00000"/>
          </w:tcPr>
          <w:p>
            <w:pPr>
              <w:jc w:val="center"/>
              <w:ind w:left="54"/>
              <w:spacing w:after="0"/>
              <w:rPr>
                <w:sz w:val="20"/>
                <w:szCs w:val="20"/>
                <w:color w:val="auto"/>
              </w:rPr>
            </w:pPr>
            <w:r>
              <w:rPr>
                <w:rFonts w:ascii="Arial" w:cs="Arial" w:eastAsia="Arial" w:hAnsi="Arial"/>
                <w:sz w:val="14"/>
                <w:szCs w:val="14"/>
                <w:b w:val="1"/>
                <w:bCs w:val="1"/>
                <w:color w:val="FFFFFF"/>
              </w:rPr>
              <w:t>Change</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Net sales (in millions)</w:t>
            </w:r>
          </w:p>
        </w:tc>
        <w:tc>
          <w:tcPr>
            <w:tcW w:w="3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$2,390.9</w:t>
            </w:r>
          </w:p>
        </w:tc>
        <w:tc>
          <w:tcPr>
            <w:tcW w:w="11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$2,392.2</w:t>
            </w:r>
          </w:p>
        </w:tc>
        <w:tc>
          <w:tcPr>
            <w:tcW w:w="2260" w:type="dxa"/>
            <w:vAlign w:val="bottom"/>
          </w:tcPr>
          <w:p>
            <w:pPr>
              <w:jc w:val="center"/>
              <w:ind w:left="54"/>
              <w:spacing w:after="0" w:line="202" w:lineRule="exact"/>
              <w:rPr>
                <w:sz w:val="20"/>
                <w:szCs w:val="20"/>
                <w:color w:val="auto"/>
              </w:rPr>
            </w:pPr>
            <w:r>
              <w:rPr>
                <w:rFonts w:ascii="Arial" w:cs="Arial" w:eastAsia="Arial" w:hAnsi="Arial"/>
                <w:sz w:val="18"/>
                <w:szCs w:val="18"/>
                <w:color w:val="auto"/>
              </w:rPr>
              <w:t>+0.1%</w:t>
            </w:r>
          </w:p>
        </w:tc>
      </w:tr>
      <w:tr>
        <w:trPr>
          <w:trHeight w:val="203"/>
        </w:trPr>
        <w:tc>
          <w:tcPr>
            <w:tcW w:w="49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Diluted net EPS</w:t>
            </w:r>
          </w:p>
        </w:tc>
        <w:tc>
          <w:tcPr>
            <w:tcW w:w="304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$1.775</w:t>
            </w:r>
          </w:p>
        </w:tc>
        <w:tc>
          <w:tcPr>
            <w:tcW w:w="1140" w:type="dxa"/>
            <w:vAlign w:val="bottom"/>
            <w:shd w:val="clear" w:color="auto" w:fill="D9D9D9"/>
          </w:tcPr>
          <w:p>
            <w:pPr>
              <w:jc w:val="right"/>
              <w:ind w:right="94"/>
              <w:spacing w:after="0" w:line="202" w:lineRule="exact"/>
              <w:rPr>
                <w:sz w:val="20"/>
                <w:szCs w:val="20"/>
                <w:color w:val="auto"/>
              </w:rPr>
            </w:pPr>
            <w:r>
              <w:rPr>
                <w:rFonts w:ascii="Arial" w:cs="Arial" w:eastAsia="Arial" w:hAnsi="Arial"/>
                <w:sz w:val="18"/>
                <w:szCs w:val="18"/>
                <w:color w:val="auto"/>
              </w:rPr>
              <w:t>$2.060</w:t>
            </w:r>
          </w:p>
        </w:tc>
        <w:tc>
          <w:tcPr>
            <w:tcW w:w="2260" w:type="dxa"/>
            <w:vAlign w:val="bottom"/>
            <w:shd w:val="clear" w:color="auto" w:fill="D9D9D9"/>
          </w:tcPr>
          <w:p>
            <w:pPr>
              <w:jc w:val="center"/>
              <w:ind w:left="54"/>
              <w:spacing w:after="0" w:line="202" w:lineRule="exact"/>
              <w:rPr>
                <w:sz w:val="20"/>
                <w:szCs w:val="20"/>
                <w:color w:val="auto"/>
              </w:rPr>
            </w:pPr>
            <w:r>
              <w:rPr>
                <w:rFonts w:ascii="Arial" w:cs="Arial" w:eastAsia="Arial" w:hAnsi="Arial"/>
                <w:sz w:val="18"/>
                <w:szCs w:val="18"/>
                <w:color w:val="auto"/>
              </w:rPr>
              <w:t>+ 16.1%</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Corporate average net assets turns*</w:t>
            </w:r>
          </w:p>
        </w:tc>
        <w:tc>
          <w:tcPr>
            <w:tcW w:w="3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2.12180</w:t>
            </w:r>
          </w:p>
        </w:tc>
        <w:tc>
          <w:tcPr>
            <w:tcW w:w="11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2.14940</w:t>
            </w:r>
          </w:p>
        </w:tc>
        <w:tc>
          <w:tcPr>
            <w:tcW w:w="2260" w:type="dxa"/>
            <w:vAlign w:val="bottom"/>
          </w:tcPr>
          <w:p>
            <w:pPr>
              <w:jc w:val="center"/>
              <w:ind w:left="54"/>
              <w:spacing w:after="0" w:line="202" w:lineRule="exact"/>
              <w:rPr>
                <w:sz w:val="20"/>
                <w:szCs w:val="20"/>
                <w:color w:val="auto"/>
              </w:rPr>
            </w:pPr>
            <w:r>
              <w:rPr>
                <w:rFonts w:ascii="Arial" w:cs="Arial" w:eastAsia="Arial" w:hAnsi="Arial"/>
                <w:sz w:val="18"/>
                <w:szCs w:val="18"/>
                <w:color w:val="auto"/>
              </w:rPr>
              <w:t>Increase of 0.0276 points</w:t>
            </w:r>
          </w:p>
        </w:tc>
      </w:tr>
      <w:tr>
        <w:trPr>
          <w:trHeight w:val="203"/>
        </w:trPr>
        <w:tc>
          <w:tcPr>
            <w:tcW w:w="49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Quarterly cash dividend</w:t>
            </w:r>
          </w:p>
        </w:tc>
        <w:tc>
          <w:tcPr>
            <w:tcW w:w="304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$0.125</w:t>
            </w:r>
          </w:p>
        </w:tc>
        <w:tc>
          <w:tcPr>
            <w:tcW w:w="1140" w:type="dxa"/>
            <w:vAlign w:val="bottom"/>
            <w:shd w:val="clear" w:color="auto" w:fill="D9D9D9"/>
          </w:tcPr>
          <w:p>
            <w:pPr>
              <w:jc w:val="right"/>
              <w:ind w:right="94"/>
              <w:spacing w:after="0" w:line="202" w:lineRule="exact"/>
              <w:rPr>
                <w:sz w:val="20"/>
                <w:szCs w:val="20"/>
                <w:color w:val="auto"/>
              </w:rPr>
            </w:pPr>
            <w:r>
              <w:rPr>
                <w:rFonts w:ascii="Arial" w:cs="Arial" w:eastAsia="Arial" w:hAnsi="Arial"/>
                <w:sz w:val="18"/>
                <w:szCs w:val="18"/>
                <w:color w:val="auto"/>
              </w:rPr>
              <w:t>$0.15</w:t>
            </w:r>
          </w:p>
        </w:tc>
        <w:tc>
          <w:tcPr>
            <w:tcW w:w="2260" w:type="dxa"/>
            <w:vAlign w:val="bottom"/>
            <w:shd w:val="clear" w:color="auto" w:fill="D9D9D9"/>
          </w:tcPr>
          <w:p>
            <w:pPr>
              <w:jc w:val="center"/>
              <w:ind w:left="54"/>
              <w:spacing w:after="0" w:line="202" w:lineRule="exact"/>
              <w:rPr>
                <w:sz w:val="20"/>
                <w:szCs w:val="20"/>
                <w:color w:val="auto"/>
              </w:rPr>
            </w:pPr>
            <w:r>
              <w:rPr>
                <w:rFonts w:ascii="Arial" w:cs="Arial" w:eastAsia="Arial" w:hAnsi="Arial"/>
                <w:sz w:val="18"/>
                <w:szCs w:val="18"/>
                <w:color w:val="auto"/>
                <w:w w:val="97"/>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073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average net asset turns is defined as total cost of goods sold divided by the twelve month average of net assets less the twelve month average of cash and cash equivalents. Net assets is defined as the fiscal year monthly average of total assets less accounts payables, accrued liabilities, income taxes and other long-term liabilities.</w:t>
      </w:r>
    </w:p>
    <w:p>
      <w:pPr>
        <w:spacing w:after="0" w:line="203"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Additionally, during fiscal 2016, we returned nearly $178 million to shareholders through the payment of $66 million in dividends and the repurchase of $112 million of our common stock.</w:t>
      </w:r>
    </w:p>
    <w:p>
      <w:pPr>
        <w:spacing w:after="0" w:line="197" w:lineRule="exact"/>
        <w:rPr>
          <w:sz w:val="20"/>
          <w:szCs w:val="20"/>
          <w:color w:val="auto"/>
        </w:rPr>
      </w:pPr>
    </w:p>
    <w:p>
      <w:pPr>
        <w:ind w:right="1020" w:firstLine="456"/>
        <w:spacing w:after="0" w:line="246" w:lineRule="auto"/>
        <w:rPr>
          <w:sz w:val="20"/>
          <w:szCs w:val="20"/>
          <w:color w:val="auto"/>
        </w:rPr>
      </w:pPr>
      <w:r>
        <w:rPr>
          <w:rFonts w:ascii="Arial" w:cs="Arial" w:eastAsia="Arial" w:hAnsi="Arial"/>
          <w:sz w:val="18"/>
          <w:szCs w:val="18"/>
          <w:color w:val="auto"/>
        </w:rPr>
        <w:t>Share and per share data have been adjusted for all periods presented to reflect our two-for-one stock split that was effective September 16, 2016.</w:t>
      </w:r>
    </w:p>
    <w:p>
      <w:pPr>
        <w:spacing w:after="0" w:line="175" w:lineRule="exact"/>
        <w:rPr>
          <w:sz w:val="20"/>
          <w:szCs w:val="20"/>
          <w:color w:val="auto"/>
        </w:rPr>
      </w:pPr>
    </w:p>
    <w:p>
      <w:pPr>
        <w:ind w:right="4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Impact on Annual Cash Incentives. </w:t>
      </w:r>
      <w:r>
        <w:rPr>
          <w:rFonts w:ascii="Arial" w:cs="Arial" w:eastAsia="Arial" w:hAnsi="Arial"/>
          <w:sz w:val="18"/>
          <w:szCs w:val="18"/>
          <w:color w:val="auto"/>
        </w:rPr>
        <w:t>As described in more detail under “Annual Cash Incentives” beginning on page 40, our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corporate performance as compared to the corporate performance measures established for the fiscal 2016 annual cash incentive awards, is indicated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w:t>
            </w:r>
          </w:p>
        </w:tc>
        <w:tc>
          <w:tcPr>
            <w:tcW w:w="1940" w:type="dxa"/>
            <w:vAlign w:val="bottom"/>
            <w:shd w:val="clear" w:color="auto" w:fill="C00000"/>
          </w:tcPr>
          <w:p>
            <w:pPr>
              <w:jc w:val="center"/>
              <w:ind w:left="597"/>
              <w:spacing w:after="0"/>
              <w:rPr>
                <w:sz w:val="20"/>
                <w:szCs w:val="20"/>
                <w:color w:val="auto"/>
              </w:rPr>
            </w:pPr>
            <w:r>
              <w:rPr>
                <w:rFonts w:ascii="Arial" w:cs="Arial" w:eastAsia="Arial" w:hAnsi="Arial"/>
                <w:sz w:val="14"/>
                <w:szCs w:val="14"/>
                <w:b w:val="1"/>
                <w:bCs w:val="1"/>
                <w:color w:val="FFFFFF"/>
              </w:rPr>
              <w:t>Threshold</w:t>
            </w:r>
          </w:p>
        </w:tc>
        <w:tc>
          <w:tcPr>
            <w:tcW w:w="13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Maximum</w:t>
            </w:r>
          </w:p>
        </w:tc>
        <w:tc>
          <w:tcPr>
            <w:tcW w:w="2700" w:type="dxa"/>
            <w:vAlign w:val="bottom"/>
            <w:shd w:val="clear" w:color="auto" w:fill="C00000"/>
          </w:tcPr>
          <w:p>
            <w:pPr>
              <w:spacing w:after="0"/>
              <w:rPr>
                <w:sz w:val="14"/>
                <w:szCs w:val="14"/>
                <w:color w:val="auto"/>
              </w:rPr>
            </w:pPr>
          </w:p>
        </w:tc>
      </w:tr>
      <w:tr>
        <w:trPr>
          <w:trHeight w:val="175"/>
        </w:trPr>
        <w:tc>
          <w:tcPr>
            <w:tcW w:w="40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2016 Performance Measures</w:t>
            </w:r>
          </w:p>
        </w:tc>
        <w:tc>
          <w:tcPr>
            <w:tcW w:w="1940" w:type="dxa"/>
            <w:vAlign w:val="bottom"/>
            <w:shd w:val="clear" w:color="auto" w:fill="C00000"/>
          </w:tcPr>
          <w:p>
            <w:pPr>
              <w:jc w:val="center"/>
              <w:ind w:left="597"/>
              <w:spacing w:after="0"/>
              <w:rPr>
                <w:sz w:val="20"/>
                <w:szCs w:val="20"/>
                <w:color w:val="auto"/>
              </w:rPr>
            </w:pPr>
            <w:r>
              <w:rPr>
                <w:rFonts w:ascii="Arial" w:cs="Arial" w:eastAsia="Arial" w:hAnsi="Arial"/>
                <w:sz w:val="14"/>
                <w:szCs w:val="14"/>
                <w:b w:val="1"/>
                <w:bCs w:val="1"/>
                <w:color w:val="FFFFFF"/>
              </w:rPr>
              <w:t>(40% payout)</w:t>
            </w:r>
          </w:p>
        </w:tc>
        <w:tc>
          <w:tcPr>
            <w:tcW w:w="13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(200% payout)</w:t>
            </w:r>
          </w:p>
        </w:tc>
        <w:tc>
          <w:tcPr>
            <w:tcW w:w="2700" w:type="dxa"/>
            <w:vAlign w:val="bottom"/>
            <w:shd w:val="clear" w:color="auto" w:fill="C00000"/>
          </w:tcPr>
          <w:p>
            <w:pPr>
              <w:jc w:val="center"/>
              <w:ind w:left="92"/>
              <w:spacing w:after="0"/>
              <w:rPr>
                <w:sz w:val="20"/>
                <w:szCs w:val="20"/>
                <w:color w:val="auto"/>
              </w:rPr>
            </w:pPr>
            <w:r>
              <w:rPr>
                <w:rFonts w:ascii="Arial" w:cs="Arial" w:eastAsia="Arial" w:hAnsi="Arial"/>
                <w:sz w:val="14"/>
                <w:szCs w:val="14"/>
                <w:b w:val="1"/>
                <w:bCs w:val="1"/>
                <w:color w:val="FFFFFF"/>
              </w:rPr>
              <w:t>Actual</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30% corporate revenue growth</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00" w:type="dxa"/>
            <w:vAlign w:val="bottom"/>
          </w:tcPr>
          <w:p>
            <w:pPr>
              <w:jc w:val="center"/>
              <w:ind w:left="72"/>
              <w:spacing w:after="0" w:line="201" w:lineRule="exact"/>
              <w:rPr>
                <w:sz w:val="20"/>
                <w:szCs w:val="20"/>
                <w:color w:val="auto"/>
              </w:rPr>
            </w:pPr>
            <w:r>
              <w:rPr>
                <w:rFonts w:ascii="Arial" w:cs="Arial" w:eastAsia="Arial" w:hAnsi="Arial"/>
                <w:sz w:val="18"/>
                <w:szCs w:val="18"/>
                <w:color w:val="auto"/>
              </w:rPr>
              <w:t>0.1%</w:t>
            </w:r>
          </w:p>
        </w:tc>
      </w:tr>
      <w:tr>
        <w:trPr>
          <w:trHeight w:val="203"/>
        </w:trPr>
        <w:tc>
          <w:tcPr>
            <w:tcW w:w="4060" w:type="dxa"/>
            <w:vAlign w:val="bottom"/>
          </w:tcPr>
          <w:p>
            <w:pPr>
              <w:spacing w:after="0"/>
              <w:rPr>
                <w:sz w:val="17"/>
                <w:szCs w:val="17"/>
                <w:color w:val="auto"/>
              </w:rPr>
            </w:pPr>
          </w:p>
        </w:tc>
        <w:tc>
          <w:tcPr>
            <w:tcW w:w="1940" w:type="dxa"/>
            <w:vAlign w:val="bottom"/>
          </w:tcPr>
          <w:p>
            <w:pPr>
              <w:jc w:val="center"/>
              <w:ind w:left="597"/>
              <w:spacing w:after="0" w:line="203" w:lineRule="exact"/>
              <w:rPr>
                <w:sz w:val="20"/>
                <w:szCs w:val="20"/>
                <w:color w:val="auto"/>
              </w:rPr>
            </w:pPr>
            <w:r>
              <w:rPr>
                <w:rFonts w:ascii="Arial" w:cs="Arial" w:eastAsia="Arial" w:hAnsi="Arial"/>
                <w:sz w:val="18"/>
                <w:szCs w:val="18"/>
                <w:color w:val="auto"/>
              </w:rPr>
              <w:t>1.0%</w:t>
            </w:r>
          </w:p>
        </w:tc>
        <w:tc>
          <w:tcPr>
            <w:tcW w:w="1380" w:type="dxa"/>
            <w:vAlign w:val="bottom"/>
          </w:tcPr>
          <w:p>
            <w:pPr>
              <w:jc w:val="center"/>
              <w:spacing w:after="0" w:line="203" w:lineRule="exact"/>
              <w:rPr>
                <w:sz w:val="20"/>
                <w:szCs w:val="20"/>
                <w:color w:val="auto"/>
              </w:rPr>
            </w:pPr>
            <w:r>
              <w:rPr>
                <w:rFonts w:ascii="Arial" w:cs="Arial" w:eastAsia="Arial" w:hAnsi="Arial"/>
                <w:sz w:val="18"/>
                <w:szCs w:val="18"/>
                <w:color w:val="auto"/>
                <w:w w:val="99"/>
              </w:rPr>
              <w:t>3.0% – 5.0%</w:t>
            </w:r>
          </w:p>
        </w:tc>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7"/>
              </w:rPr>
              <w:t>7.0%</w:t>
            </w:r>
          </w:p>
        </w:tc>
        <w:tc>
          <w:tcPr>
            <w:tcW w:w="2700" w:type="dxa"/>
            <w:vAlign w:val="bottom"/>
          </w:tcPr>
          <w:p>
            <w:pPr>
              <w:jc w:val="center"/>
              <w:ind w:left="72"/>
              <w:spacing w:after="0" w:line="203" w:lineRule="exact"/>
              <w:rPr>
                <w:sz w:val="20"/>
                <w:szCs w:val="20"/>
                <w:color w:val="auto"/>
              </w:rPr>
            </w:pPr>
            <w:r>
              <w:rPr>
                <w:rFonts w:ascii="Arial" w:cs="Arial" w:eastAsia="Arial" w:hAnsi="Arial"/>
                <w:sz w:val="18"/>
                <w:szCs w:val="18"/>
                <w:color w:val="auto"/>
                <w:w w:val="99"/>
              </w:rPr>
              <w:t>(below threshold)</w:t>
            </w:r>
          </w:p>
        </w:tc>
      </w:tr>
      <w:tr>
        <w:trPr>
          <w:trHeight w:val="202"/>
        </w:trPr>
        <w:tc>
          <w:tcPr>
            <w:tcW w:w="406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40% diluted net EPS</w:t>
            </w:r>
          </w:p>
        </w:tc>
        <w:tc>
          <w:tcPr>
            <w:tcW w:w="194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c>
          <w:tcPr>
            <w:tcW w:w="2700" w:type="dxa"/>
            <w:vAlign w:val="bottom"/>
            <w:shd w:val="clear" w:color="auto" w:fill="D9D9D9"/>
          </w:tcPr>
          <w:p>
            <w:pPr>
              <w:jc w:val="center"/>
              <w:ind w:left="72"/>
              <w:spacing w:after="0" w:line="201" w:lineRule="exact"/>
              <w:rPr>
                <w:sz w:val="20"/>
                <w:szCs w:val="20"/>
                <w:color w:val="auto"/>
              </w:rPr>
            </w:pPr>
            <w:r>
              <w:rPr>
                <w:rFonts w:ascii="Arial" w:cs="Arial" w:eastAsia="Arial" w:hAnsi="Arial"/>
                <w:sz w:val="18"/>
                <w:szCs w:val="18"/>
                <w:color w:val="auto"/>
                <w:w w:val="98"/>
              </w:rPr>
              <w:t>$2.060</w:t>
            </w:r>
          </w:p>
        </w:tc>
      </w:tr>
      <w:tr>
        <w:trPr>
          <w:trHeight w:val="203"/>
        </w:trPr>
        <w:tc>
          <w:tcPr>
            <w:tcW w:w="4060" w:type="dxa"/>
            <w:vAlign w:val="bottom"/>
            <w:shd w:val="clear" w:color="auto" w:fill="D9D9D9"/>
          </w:tcPr>
          <w:p>
            <w:pPr>
              <w:spacing w:after="0"/>
              <w:rPr>
                <w:sz w:val="17"/>
                <w:szCs w:val="17"/>
                <w:color w:val="auto"/>
              </w:rPr>
            </w:pPr>
          </w:p>
        </w:tc>
        <w:tc>
          <w:tcPr>
            <w:tcW w:w="1940" w:type="dxa"/>
            <w:vAlign w:val="bottom"/>
            <w:shd w:val="clear" w:color="auto" w:fill="D9D9D9"/>
          </w:tcPr>
          <w:p>
            <w:pPr>
              <w:jc w:val="center"/>
              <w:ind w:left="597"/>
              <w:spacing w:after="0" w:line="203" w:lineRule="exact"/>
              <w:rPr>
                <w:sz w:val="20"/>
                <w:szCs w:val="20"/>
                <w:color w:val="auto"/>
              </w:rPr>
            </w:pPr>
            <w:r>
              <w:rPr>
                <w:rFonts w:ascii="Arial" w:cs="Arial" w:eastAsia="Arial" w:hAnsi="Arial"/>
                <w:sz w:val="18"/>
                <w:szCs w:val="18"/>
                <w:color w:val="auto"/>
                <w:w w:val="98"/>
              </w:rPr>
              <w:t>$1.545</w:t>
            </w:r>
          </w:p>
        </w:tc>
        <w:tc>
          <w:tcPr>
            <w:tcW w:w="138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w w:val="98"/>
              </w:rPr>
              <w:t>$1.930</w:t>
            </w:r>
          </w:p>
        </w:tc>
        <w:tc>
          <w:tcPr>
            <w:tcW w:w="134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rPr>
              <w:t>$2.315</w:t>
            </w:r>
          </w:p>
        </w:tc>
        <w:tc>
          <w:tcPr>
            <w:tcW w:w="2700" w:type="dxa"/>
            <w:vAlign w:val="bottom"/>
            <w:shd w:val="clear" w:color="auto" w:fill="D9D9D9"/>
          </w:tcPr>
          <w:p>
            <w:pPr>
              <w:jc w:val="center"/>
              <w:ind w:left="72"/>
              <w:spacing w:after="0" w:line="203" w:lineRule="exact"/>
              <w:rPr>
                <w:sz w:val="20"/>
                <w:szCs w:val="20"/>
                <w:color w:val="auto"/>
              </w:rPr>
            </w:pPr>
            <w:r>
              <w:rPr>
                <w:rFonts w:ascii="Arial" w:cs="Arial" w:eastAsia="Arial" w:hAnsi="Arial"/>
                <w:sz w:val="18"/>
                <w:szCs w:val="18"/>
                <w:color w:val="auto"/>
              </w:rPr>
              <w:t>(between target and maximum)</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30% corporate average net assets turns</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00" w:type="dxa"/>
            <w:vAlign w:val="bottom"/>
          </w:tcPr>
          <w:p>
            <w:pPr>
              <w:jc w:val="center"/>
              <w:ind w:left="72"/>
              <w:spacing w:after="0" w:line="201" w:lineRule="exact"/>
              <w:rPr>
                <w:sz w:val="20"/>
                <w:szCs w:val="20"/>
                <w:color w:val="auto"/>
              </w:rPr>
            </w:pPr>
            <w:r>
              <w:rPr>
                <w:rFonts w:ascii="Arial" w:cs="Arial" w:eastAsia="Arial" w:hAnsi="Arial"/>
                <w:sz w:val="18"/>
                <w:szCs w:val="18"/>
                <w:color w:val="auto"/>
              </w:rPr>
              <w:t>2.14940</w:t>
            </w:r>
          </w:p>
        </w:tc>
      </w:tr>
      <w:tr>
        <w:trPr>
          <w:trHeight w:val="203"/>
        </w:trPr>
        <w:tc>
          <w:tcPr>
            <w:tcW w:w="4060" w:type="dxa"/>
            <w:vAlign w:val="bottom"/>
          </w:tcPr>
          <w:p>
            <w:pPr>
              <w:spacing w:after="0"/>
              <w:rPr>
                <w:sz w:val="17"/>
                <w:szCs w:val="17"/>
                <w:color w:val="auto"/>
              </w:rPr>
            </w:pPr>
          </w:p>
        </w:tc>
        <w:tc>
          <w:tcPr>
            <w:tcW w:w="1940" w:type="dxa"/>
            <w:vAlign w:val="bottom"/>
          </w:tcPr>
          <w:p>
            <w:pPr>
              <w:jc w:val="center"/>
              <w:ind w:left="597"/>
              <w:spacing w:after="0" w:line="203" w:lineRule="exact"/>
              <w:rPr>
                <w:sz w:val="20"/>
                <w:szCs w:val="20"/>
                <w:color w:val="auto"/>
              </w:rPr>
            </w:pPr>
            <w:r>
              <w:rPr>
                <w:rFonts w:ascii="Arial" w:cs="Arial" w:eastAsia="Arial" w:hAnsi="Arial"/>
                <w:sz w:val="18"/>
                <w:szCs w:val="18"/>
                <w:color w:val="auto"/>
              </w:rPr>
              <w:t>1.83864</w:t>
            </w:r>
          </w:p>
        </w:tc>
        <w:tc>
          <w:tcPr>
            <w:tcW w:w="1380" w:type="dxa"/>
            <w:vAlign w:val="bottom"/>
          </w:tcPr>
          <w:p>
            <w:pPr>
              <w:jc w:val="center"/>
              <w:spacing w:after="0" w:line="203" w:lineRule="exact"/>
              <w:rPr>
                <w:sz w:val="20"/>
                <w:szCs w:val="20"/>
                <w:color w:val="auto"/>
              </w:rPr>
            </w:pPr>
            <w:r>
              <w:rPr>
                <w:rFonts w:ascii="Arial" w:cs="Arial" w:eastAsia="Arial" w:hAnsi="Arial"/>
                <w:sz w:val="18"/>
                <w:szCs w:val="18"/>
                <w:color w:val="auto"/>
              </w:rPr>
              <w:t>2.16310</w:t>
            </w:r>
          </w:p>
        </w:tc>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8"/>
              </w:rPr>
              <w:t>2.48757</w:t>
            </w:r>
          </w:p>
        </w:tc>
        <w:tc>
          <w:tcPr>
            <w:tcW w:w="2700" w:type="dxa"/>
            <w:vAlign w:val="bottom"/>
          </w:tcPr>
          <w:p>
            <w:pPr>
              <w:jc w:val="center"/>
              <w:ind w:left="72"/>
              <w:spacing w:after="0" w:line="203" w:lineRule="exact"/>
              <w:rPr>
                <w:sz w:val="20"/>
                <w:szCs w:val="20"/>
                <w:color w:val="auto"/>
              </w:rPr>
            </w:pPr>
            <w:r>
              <w:rPr>
                <w:rFonts w:ascii="Arial" w:cs="Arial" w:eastAsia="Arial" w:hAnsi="Arial"/>
                <w:sz w:val="18"/>
                <w:szCs w:val="18"/>
                <w:color w:val="auto"/>
              </w:rPr>
              <w:t>(between threshold and target)</w:t>
            </w:r>
          </w:p>
        </w:tc>
      </w:tr>
      <w:tr>
        <w:trPr>
          <w:trHeight w:val="203"/>
        </w:trPr>
        <w:tc>
          <w:tcPr>
            <w:tcW w:w="406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Corporate performance payout</w:t>
            </w:r>
          </w:p>
        </w:tc>
        <w:tc>
          <w:tcPr>
            <w:tcW w:w="194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c>
          <w:tcPr>
            <w:tcW w:w="2700" w:type="dxa"/>
            <w:vAlign w:val="bottom"/>
            <w:shd w:val="clear" w:color="auto" w:fill="D9D9D9"/>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82.71% of target</w:t>
            </w: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table above, our fiscal 2016 financial performance resulted in a corporate performance payout of 82.71% for our fiscal</w:t>
      </w:r>
    </w:p>
    <w:p>
      <w:pPr>
        <w:ind w:right="300"/>
        <w:spacing w:after="0"/>
        <w:rPr>
          <w:sz w:val="20"/>
          <w:szCs w:val="20"/>
          <w:color w:val="auto"/>
        </w:rPr>
      </w:pPr>
      <w:r>
        <w:rPr>
          <w:rFonts w:ascii="Arial" w:cs="Arial" w:eastAsia="Arial" w:hAnsi="Arial"/>
          <w:sz w:val="18"/>
          <w:szCs w:val="18"/>
          <w:color w:val="auto"/>
        </w:rPr>
        <w:t>2016 annual cash incentive awards. For a portion of fiscal 2016, the annual cash incentive payout for Mr. Brown was also subject to division performance. Details on division performance and the corresponding payout percentages are described in detail under “Annual Cash Incentives” beginning on page 40.</w:t>
      </w:r>
    </w:p>
    <w:p>
      <w:pPr>
        <w:spacing w:after="0" w:line="181" w:lineRule="exact"/>
        <w:rPr>
          <w:sz w:val="20"/>
          <w:szCs w:val="20"/>
          <w:color w:val="auto"/>
        </w:rPr>
      </w:pPr>
    </w:p>
    <w:p>
      <w:pPr>
        <w:ind w:right="3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Impact on Long-Term Incentives. </w:t>
      </w:r>
      <w:r>
        <w:rPr>
          <w:rFonts w:ascii="Arial" w:cs="Arial" w:eastAsia="Arial" w:hAnsi="Arial"/>
          <w:sz w:val="18"/>
          <w:szCs w:val="18"/>
          <w:color w:val="auto"/>
        </w:rPr>
        <w:t>As described in more detail under “Long-Term Incentives—Performance Measures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 Ending in Fiscal 2016” beginning on page 46, the three-year cumulative corporate performance for fiscal 2014 to fiscal 2016 as compared to the cumulative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corporate performance measures established for the fiscal 2014 to fiscal 2016 performance period, is indicated in the table below:</w:t>
      </w:r>
    </w:p>
    <w:p>
      <w:pPr>
        <w:sectPr>
          <w:pgSz w:w="11900" w:h="16838" w:orient="portrait"/>
          <w:cols w:equalWidth="0" w:num="1">
            <w:col w:w="11380"/>
          </w:cols>
          <w:pgMar w:left="240" w:top="459" w:right="27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Fiscal 2014 to Fiscal 2016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Performance Measures</w:t>
      </w:r>
    </w:p>
    <w:p>
      <w:pPr>
        <w:ind w:left="180" w:right="60" w:hanging="179"/>
        <w:spacing w:after="0" w:line="234" w:lineRule="auto"/>
        <w:rPr>
          <w:sz w:val="20"/>
          <w:szCs w:val="20"/>
          <w:color w:val="auto"/>
        </w:rPr>
      </w:pPr>
      <w:r>
        <w:rPr>
          <w:rFonts w:ascii="Arial" w:cs="Arial" w:eastAsia="Arial" w:hAnsi="Arial"/>
          <w:sz w:val="18"/>
          <w:szCs w:val="18"/>
          <w:color w:val="auto"/>
        </w:rPr>
        <w:t>50% cumulative corporate net income plus after-tax interest (in thousands)*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30% cumulative corporate revenue (in thousands)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20% cumulative corporate average net assets turns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to fiscal 2016 corporate performance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26073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FFFFFF"/>
              </w:rPr>
              <w:t>Threshold</w:t>
            </w:r>
          </w:p>
        </w:tc>
        <w:tc>
          <w:tcPr>
            <w:tcW w:w="1260" w:type="dxa"/>
            <w:vAlign w:val="bottom"/>
          </w:tcPr>
          <w:p>
            <w:pPr>
              <w:jc w:val="right"/>
              <w:ind w:right="357"/>
              <w:spacing w:after="0"/>
              <w:rPr>
                <w:sz w:val="20"/>
                <w:szCs w:val="20"/>
                <w:color w:val="auto"/>
              </w:rPr>
            </w:pPr>
            <w:r>
              <w:rPr>
                <w:rFonts w:ascii="Arial" w:cs="Arial" w:eastAsia="Arial" w:hAnsi="Arial"/>
                <w:sz w:val="14"/>
                <w:szCs w:val="14"/>
                <w:b w:val="1"/>
                <w:bCs w:val="1"/>
                <w:color w:val="FFFFFF"/>
              </w:rPr>
              <w:t>Target</w:t>
            </w: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FFFFFF"/>
              </w:rPr>
              <w:t>Maximum</w:t>
            </w:r>
          </w:p>
        </w:tc>
        <w:tc>
          <w:tcPr>
            <w:tcW w:w="2640" w:type="dxa"/>
            <w:vAlign w:val="bottom"/>
          </w:tcPr>
          <w:p>
            <w:pPr>
              <w:spacing w:after="0"/>
              <w:rPr>
                <w:sz w:val="14"/>
                <w:szCs w:val="14"/>
                <w:color w:val="auto"/>
              </w:rPr>
            </w:pPr>
          </w:p>
        </w:tc>
      </w:tr>
      <w:tr>
        <w:trPr>
          <w:trHeight w:val="188"/>
        </w:trPr>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FFFFFF"/>
                <w:w w:val="98"/>
              </w:rPr>
              <w:t>(40% payout)</w:t>
            </w:r>
          </w:p>
        </w:tc>
        <w:tc>
          <w:tcPr>
            <w:tcW w:w="1260" w:type="dxa"/>
            <w:vAlign w:val="bottom"/>
          </w:tcPr>
          <w:p>
            <w:pPr>
              <w:jc w:val="right"/>
              <w:ind w:right="77"/>
              <w:spacing w:after="0"/>
              <w:rPr>
                <w:sz w:val="20"/>
                <w:szCs w:val="20"/>
                <w:color w:val="auto"/>
              </w:rPr>
            </w:pPr>
            <w:r>
              <w:rPr>
                <w:rFonts w:ascii="Arial" w:cs="Arial" w:eastAsia="Arial" w:hAnsi="Arial"/>
                <w:sz w:val="14"/>
                <w:szCs w:val="14"/>
                <w:b w:val="1"/>
                <w:bCs w:val="1"/>
                <w:color w:val="FFFFFF"/>
              </w:rPr>
              <w:t>(100% payout)</w:t>
            </w:r>
          </w:p>
        </w:tc>
        <w:tc>
          <w:tcPr>
            <w:tcW w:w="1280" w:type="dxa"/>
            <w:vAlign w:val="bottom"/>
          </w:tcPr>
          <w:p>
            <w:pPr>
              <w:jc w:val="right"/>
              <w:ind w:right="97"/>
              <w:spacing w:after="0"/>
              <w:rPr>
                <w:sz w:val="20"/>
                <w:szCs w:val="20"/>
                <w:color w:val="auto"/>
              </w:rPr>
            </w:pPr>
            <w:r>
              <w:rPr>
                <w:rFonts w:ascii="Arial" w:cs="Arial" w:eastAsia="Arial" w:hAnsi="Arial"/>
                <w:sz w:val="14"/>
                <w:szCs w:val="14"/>
                <w:b w:val="1"/>
                <w:bCs w:val="1"/>
                <w:color w:val="FFFFFF"/>
              </w:rPr>
              <w:t>(200% payout)</w:t>
            </w:r>
          </w:p>
        </w:tc>
        <w:tc>
          <w:tcPr>
            <w:tcW w:w="2640" w:type="dxa"/>
            <w:vAlign w:val="bottom"/>
          </w:tcPr>
          <w:p>
            <w:pPr>
              <w:jc w:val="center"/>
              <w:ind w:left="72"/>
              <w:spacing w:after="0"/>
              <w:rPr>
                <w:sz w:val="20"/>
                <w:szCs w:val="20"/>
                <w:color w:val="auto"/>
              </w:rPr>
            </w:pPr>
            <w:r>
              <w:rPr>
                <w:rFonts w:ascii="Arial" w:cs="Arial" w:eastAsia="Arial" w:hAnsi="Arial"/>
                <w:sz w:val="14"/>
                <w:szCs w:val="14"/>
                <w:b w:val="1"/>
                <w:bCs w:val="1"/>
                <w:color w:val="FFFFFF"/>
              </w:rPr>
              <w:t>Actual</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40" w:type="dxa"/>
            <w:vAlign w:val="bottom"/>
          </w:tcPr>
          <w:p>
            <w:pPr>
              <w:jc w:val="center"/>
              <w:ind w:left="72"/>
              <w:spacing w:after="0" w:line="202" w:lineRule="exact"/>
              <w:rPr>
                <w:sz w:val="20"/>
                <w:szCs w:val="20"/>
                <w:color w:val="auto"/>
              </w:rPr>
            </w:pPr>
            <w:r>
              <w:rPr>
                <w:rFonts w:ascii="Arial" w:cs="Arial" w:eastAsia="Arial" w:hAnsi="Arial"/>
                <w:sz w:val="18"/>
                <w:szCs w:val="18"/>
                <w:color w:val="auto"/>
              </w:rPr>
              <w:t>$608,228</w:t>
            </w:r>
          </w:p>
        </w:tc>
      </w:tr>
      <w:tr>
        <w:trPr>
          <w:trHeight w:val="203"/>
        </w:trPr>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$461,052</w:t>
            </w:r>
          </w:p>
        </w:tc>
        <w:tc>
          <w:tcPr>
            <w:tcW w:w="12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$576,316</w:t>
            </w:r>
          </w:p>
        </w:tc>
        <w:tc>
          <w:tcPr>
            <w:tcW w:w="12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$653,156</w:t>
            </w:r>
          </w:p>
        </w:tc>
        <w:tc>
          <w:tcPr>
            <w:tcW w:w="264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9"/>
              </w:rPr>
              <w:t>(between target and maximum)</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4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9"/>
              </w:rPr>
              <w:t>$6,709,262</w:t>
            </w:r>
          </w:p>
        </w:tc>
      </w:tr>
      <w:tr>
        <w:trPr>
          <w:trHeight w:val="203"/>
        </w:trPr>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$6,410,354</w:t>
            </w:r>
          </w:p>
        </w:tc>
        <w:tc>
          <w:tcPr>
            <w:tcW w:w="12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$6,822,670</w:t>
            </w:r>
          </w:p>
        </w:tc>
        <w:tc>
          <w:tcPr>
            <w:tcW w:w="12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$7,198,345</w:t>
            </w:r>
          </w:p>
        </w:tc>
        <w:tc>
          <w:tcPr>
            <w:tcW w:w="264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9"/>
              </w:rPr>
              <w:t>(between threshold and target)</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4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8"/>
              </w:rPr>
              <w:t>8.82768</w:t>
            </w:r>
          </w:p>
        </w:tc>
      </w:tr>
      <w:tr>
        <w:trPr>
          <w:trHeight w:val="181"/>
        </w:trPr>
        <w:tc>
          <w:tcPr>
            <w:tcW w:w="1060" w:type="dxa"/>
            <w:vAlign w:val="bottom"/>
          </w:tcPr>
          <w:p>
            <w:pPr>
              <w:jc w:val="right"/>
              <w:ind w:right="37"/>
              <w:spacing w:after="0" w:line="181" w:lineRule="exact"/>
              <w:rPr>
                <w:sz w:val="20"/>
                <w:szCs w:val="20"/>
                <w:color w:val="auto"/>
              </w:rPr>
            </w:pPr>
            <w:r>
              <w:rPr>
                <w:rFonts w:ascii="Arial" w:cs="Arial" w:eastAsia="Arial" w:hAnsi="Arial"/>
                <w:sz w:val="18"/>
                <w:szCs w:val="18"/>
                <w:color w:val="auto"/>
              </w:rPr>
              <w:t>7.54389</w:t>
            </w:r>
          </w:p>
        </w:tc>
        <w:tc>
          <w:tcPr>
            <w:tcW w:w="1260" w:type="dxa"/>
            <w:vAlign w:val="bottom"/>
          </w:tcPr>
          <w:p>
            <w:pPr>
              <w:jc w:val="right"/>
              <w:ind w:right="37"/>
              <w:spacing w:after="0" w:line="181" w:lineRule="exact"/>
              <w:rPr>
                <w:sz w:val="20"/>
                <w:szCs w:val="20"/>
                <w:color w:val="auto"/>
              </w:rPr>
            </w:pPr>
            <w:r>
              <w:rPr>
                <w:rFonts w:ascii="Arial" w:cs="Arial" w:eastAsia="Arial" w:hAnsi="Arial"/>
                <w:sz w:val="18"/>
                <w:szCs w:val="18"/>
                <w:color w:val="auto"/>
              </w:rPr>
              <w:t>8.87516</w:t>
            </w:r>
          </w:p>
        </w:tc>
        <w:tc>
          <w:tcPr>
            <w:tcW w:w="1280" w:type="dxa"/>
            <w:vAlign w:val="bottom"/>
          </w:tcPr>
          <w:p>
            <w:pPr>
              <w:jc w:val="right"/>
              <w:ind w:right="57"/>
              <w:spacing w:after="0" w:line="181" w:lineRule="exact"/>
              <w:rPr>
                <w:sz w:val="20"/>
                <w:szCs w:val="20"/>
                <w:color w:val="auto"/>
              </w:rPr>
            </w:pPr>
            <w:r>
              <w:rPr>
                <w:rFonts w:ascii="Arial" w:cs="Arial" w:eastAsia="Arial" w:hAnsi="Arial"/>
                <w:sz w:val="18"/>
                <w:szCs w:val="18"/>
                <w:color w:val="auto"/>
              </w:rPr>
              <w:t>10.20643</w:t>
            </w:r>
          </w:p>
        </w:tc>
        <w:tc>
          <w:tcPr>
            <w:tcW w:w="2640" w:type="dxa"/>
            <w:vAlign w:val="bottom"/>
          </w:tcPr>
          <w:p>
            <w:pPr>
              <w:jc w:val="center"/>
              <w:ind w:left="72"/>
              <w:spacing w:after="0" w:line="181" w:lineRule="exact"/>
              <w:rPr>
                <w:sz w:val="20"/>
                <w:szCs w:val="20"/>
                <w:color w:val="auto"/>
              </w:rPr>
            </w:pPr>
            <w:r>
              <w:rPr>
                <w:rFonts w:ascii="Arial" w:cs="Arial" w:eastAsia="Arial" w:hAnsi="Arial"/>
                <w:sz w:val="18"/>
                <w:szCs w:val="18"/>
                <w:color w:val="auto"/>
                <w:w w:val="99"/>
              </w:rPr>
              <w:t>(between threshold and target)</w:t>
            </w:r>
          </w:p>
        </w:tc>
      </w:tr>
      <w:tr>
        <w:trPr>
          <w:trHeight w:val="239"/>
        </w:trPr>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40" w:type="dxa"/>
            <w:vAlign w:val="bottom"/>
          </w:tcPr>
          <w:p>
            <w:pPr>
              <w:jc w:val="center"/>
              <w:ind w:left="72"/>
              <w:spacing w:after="0"/>
              <w:rPr>
                <w:sz w:val="20"/>
                <w:szCs w:val="20"/>
                <w:color w:val="auto"/>
              </w:rPr>
            </w:pPr>
            <w:r>
              <w:rPr>
                <w:rFonts w:ascii="Arial" w:cs="Arial" w:eastAsia="Arial" w:hAnsi="Arial"/>
                <w:sz w:val="18"/>
                <w:szCs w:val="18"/>
                <w:b w:val="1"/>
                <w:bCs w:val="1"/>
                <w:color w:val="auto"/>
                <w:w w:val="99"/>
              </w:rPr>
              <w:t>115.39%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-1122680</wp:posOffset>
            </wp:positionV>
            <wp:extent cx="72466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-650875</wp:posOffset>
            </wp:positionV>
            <wp:extent cx="7246620"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-136525</wp:posOffset>
            </wp:positionV>
            <wp:extent cx="724662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820" w:space="260"/>
            <w:col w:w="6300"/>
          </w:cols>
          <w:pgMar w:left="240" w:top="459" w:right="279" w:bottom="1440" w:gutter="0" w:footer="0" w:header="0"/>
          <w:type w:val="continuous"/>
        </w:sect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Cumulative corporate net income plus after-tax interest is defined as net earnings plus interest expense, net of taxes.</w:t>
      </w:r>
    </w:p>
    <w:p>
      <w:pPr>
        <w:spacing w:after="0" w:line="212"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As indicated in the table above, our three-year cumulative corporate performance resulted in a corporate performance payout of 115.39% of target for the fiscal 2014 to fiscal 2016 performance share awards.</w:t>
      </w:r>
    </w:p>
    <w:p>
      <w:pPr>
        <w:spacing w:after="0" w:line="17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There are several elements to our executive officer compensation decision-making,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allow us to most effectively implement our established compensation philosophy. Each of these elements and their roles are described briefly below.</w:t>
      </w:r>
    </w:p>
    <w:p>
      <w:pPr>
        <w:spacing w:after="0" w:line="169" w:lineRule="exact"/>
        <w:rPr>
          <w:sz w:val="20"/>
          <w:szCs w:val="20"/>
          <w:color w:val="auto"/>
        </w:rPr>
      </w:pPr>
    </w:p>
    <w:p>
      <w:pPr>
        <w:ind w:right="620" w:firstLine="456"/>
        <w:spacing w:after="0" w:line="247"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solely of independent directors, oversees our executive compensation program. Within its duties, the Committee approves compensation for each of our executive officers. In addition, compensation approved by the Committee for our CEO, is submitted to the independent directors of the Board for ratification. In doing so, the Committee:</w:t>
      </w:r>
    </w:p>
    <w:p>
      <w:pPr>
        <w:spacing w:after="0" w:line="223" w:lineRule="exact"/>
        <w:rPr>
          <w:sz w:val="20"/>
          <w:szCs w:val="20"/>
          <w:color w:val="auto"/>
        </w:rPr>
      </w:pPr>
    </w:p>
    <w:p>
      <w:pPr>
        <w:ind w:left="780" w:right="280" w:hanging="326"/>
        <w:spacing w:after="0" w:line="24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223" w:lineRule="exact"/>
        <w:rPr>
          <w:rFonts w:ascii="Arial" w:cs="Arial" w:eastAsia="Arial" w:hAnsi="Arial"/>
          <w:sz w:val="18"/>
          <w:szCs w:val="18"/>
          <w:color w:val="auto"/>
        </w:rPr>
      </w:pPr>
    </w:p>
    <w:p>
      <w:pPr>
        <w:ind w:left="780" w:right="160" w:hanging="326"/>
        <w:spacing w:after="0" w:line="24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Reviews and approves, as appropriate, corporate and division financial performance measures, weightings, goals and performance adjustment events, if any, related to our annual and long-term incentive awards;</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performance share award payouts;</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Evaluates proposed significant changes to other elements of our executive compensation program.</w:t>
      </w:r>
    </w:p>
    <w:p>
      <w:pPr>
        <w:spacing w:after="0" w:line="212" w:lineRule="exact"/>
        <w:rPr>
          <w:sz w:val="20"/>
          <w:szCs w:val="20"/>
          <w:color w:val="auto"/>
        </w:rPr>
      </w:pPr>
    </w:p>
    <w:p>
      <w:pPr>
        <w:jc w:val="both"/>
        <w:ind w:right="120" w:firstLine="456"/>
        <w:spacing w:after="0"/>
        <w:rPr>
          <w:sz w:val="20"/>
          <w:szCs w:val="20"/>
          <w:color w:val="auto"/>
        </w:rPr>
      </w:pPr>
      <w:r>
        <w:rPr>
          <w:rFonts w:ascii="Arial" w:cs="Arial" w:eastAsia="Arial" w:hAnsi="Arial"/>
          <w:sz w:val="18"/>
          <w:szCs w:val="18"/>
          <w:color w:val="auto"/>
        </w:rPr>
        <w:t>During fiscal 2016, the Committee received input from Willis Towers Watson, its independent external compensation consultant, and our Management, including our Chairman and CEO, President and COO, Vice President, Human Resources and our Managing Director, HR and Total Rewards.</w:t>
      </w:r>
    </w:p>
    <w:p>
      <w:pPr>
        <w:spacing w:after="0" w:line="181" w:lineRule="exact"/>
        <w:rPr>
          <w:sz w:val="20"/>
          <w:szCs w:val="20"/>
          <w:color w:val="auto"/>
        </w:rPr>
      </w:pPr>
    </w:p>
    <w:p>
      <w:pPr>
        <w:ind w:right="220" w:firstLine="456"/>
        <w:spacing w:after="0" w:line="271" w:lineRule="auto"/>
        <w:rPr>
          <w:sz w:val="20"/>
          <w:szCs w:val="20"/>
          <w:color w:val="auto"/>
        </w:rPr>
      </w:pPr>
      <w:r>
        <w:rPr>
          <w:rFonts w:ascii="Arial" w:cs="Arial" w:eastAsia="Arial" w:hAnsi="Arial"/>
          <w:sz w:val="18"/>
          <w:szCs w:val="18"/>
          <w:b w:val="1"/>
          <w:bCs w:val="1"/>
          <w:i w:val="1"/>
          <w:iCs w:val="1"/>
          <w:color w:val="auto"/>
        </w:rPr>
        <w:t xml:space="preserve">Role of the Independent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17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A representative from Willis Towers Watson attended each Committee meeting in fiscal 2016 and generally communicated with the Chair of the Committee in advance of, or following, such Committee meetings. During fiscal 2016, Willis Towers Watson reviewed and discussed executive compensation trends with Management and the Committee and provided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5"/>
          <w:szCs w:val="15"/>
          <w:color w:val="auto"/>
        </w:rPr>
        <w:t>th</w:t>
      </w:r>
      <w:r>
        <w:rPr>
          <w:rFonts w:ascii="Arial" w:cs="Arial" w:eastAsia="Arial" w:hAnsi="Arial"/>
          <w:sz w:val="18"/>
          <w:szCs w:val="18"/>
          <w:color w:val="auto"/>
        </w:rPr>
        <w:t>, 50</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Additionally, during fiscal 2016, Willis Towers Watson reviewed and discussed executive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officer compensation recommendations made by Management in advance of applicable Committee meetings and participated in discussions at the Committee meetings regarding those recommendations.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Willis Towers Watson was engaged by the Committee from time to time to perform other compensation consulting services, which in fiscal</w:t>
      </w:r>
    </w:p>
    <w:p>
      <w:pPr>
        <w:spacing w:after="0" w:line="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2016 included a review of non-employee director compensation and a review of chief executive officer and executive chairman of the board compensation in connection with the transitions of Mr. Hoffman and Mr. Olson at the beginning of fiscal 2017.</w:t>
      </w:r>
    </w:p>
    <w:p>
      <w:pPr>
        <w:spacing w:after="0" w:line="175" w:lineRule="exact"/>
        <w:rPr>
          <w:sz w:val="20"/>
          <w:szCs w:val="20"/>
          <w:color w:val="auto"/>
        </w:rPr>
      </w:pPr>
    </w:p>
    <w:p>
      <w:pPr>
        <w:ind w:right="140" w:firstLine="456"/>
        <w:spacing w:after="0" w:line="242"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and information regarding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duties and responsibilities to Willis Towers Watson and provide analysis and recommendations on executive officer compensation to the Committee based on the comparison to market; the executive’s level of professional experience; the executive’s duties and responsibilities; individual performance; tenure in the position; corporate, division and/or plant performance, as applicable; internal pay comparisons; and outside market factors, including general economic conditions. None of our executive officers provides input or recommendations with respect to his or her own compensation.</w:t>
      </w:r>
    </w:p>
    <w:p>
      <w:pPr>
        <w:spacing w:after="0" w:line="179"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b w:val="1"/>
          <w:bCs w:val="1"/>
          <w:i w:val="1"/>
          <w:iCs w:val="1"/>
          <w:color w:val="auto"/>
        </w:rPr>
        <w:t xml:space="preserve">Use of Market Data. </w:t>
      </w:r>
      <w:r>
        <w:rPr>
          <w:rFonts w:ascii="Arial" w:cs="Arial" w:eastAsia="Arial" w:hAnsi="Arial"/>
          <w:sz w:val="18"/>
          <w:szCs w:val="18"/>
          <w:color w:val="auto"/>
        </w:rPr>
        <w:t>Since one of the objectives of our executive compensation program is to provide market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during fiscal 2016 the Committee used market data provided by Willis Towers Watson to help evaluate and make compensation decisions. Market data is provided by Willis Towers Watson through its executive compensation database, which includes over 1,000 participating companies. The market data provided by Willis Towers Watson for executive officers is size-adjusted through regression analysis. If regression data is not available, data is provided for participating companies with annual revenue between $1 billion and $3 billion. For executive officers with divisional responsibilities, the data is size adjusted for specific division revenue.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individual data for participating companies in the survey was not provided and, therefore, was not considered when determining executive officer compensation in total or for any individual element.</w:t>
      </w:r>
    </w:p>
    <w:p>
      <w:pPr>
        <w:spacing w:after="0" w:line="181" w:lineRule="exact"/>
        <w:rPr>
          <w:sz w:val="20"/>
          <w:szCs w:val="20"/>
          <w:color w:val="auto"/>
        </w:rPr>
      </w:pPr>
    </w:p>
    <w:p>
      <w:pPr>
        <w:ind w:right="240" w:firstLine="456"/>
        <w:spacing w:after="0" w:line="247"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2016, our executive compensation program consisted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key elements: base salary, annual cash incentive, long-term incentives in the form of stock options and performance share awards, health and welfare benefits, retirement plans and perquisites. The following table provides some of the key characteristics of and purpose for each element along with some key actions taken during fiscal 2016.</w:t>
      </w:r>
    </w:p>
    <w:p>
      <w:pPr>
        <w:sectPr>
          <w:pgSz w:w="11900" w:h="16838" w:orient="portrait"/>
          <w:cols w:equalWidth="0" w:num="1">
            <w:col w:w="11420"/>
          </w:cols>
          <w:pgMar w:left="240" w:top="459" w:right="239" w:bottom="1440" w:gutter="0" w:footer="0" w:header="0"/>
        </w:sectPr>
      </w:pPr>
    </w:p>
    <w:p>
      <w:pPr>
        <w:spacing w:after="0" w:line="211" w:lineRule="exact"/>
        <w:rPr>
          <w:sz w:val="20"/>
          <w:szCs w:val="20"/>
          <w:color w:val="auto"/>
        </w:rPr>
      </w:pPr>
    </w:p>
    <w:p>
      <w:pPr>
        <w:spacing w:after="0"/>
        <w:tabs>
          <w:tab w:leader="none" w:pos="2580" w:val="left"/>
          <w:tab w:leader="none" w:pos="638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r>
        <w:rPr>
          <w:sz w:val="20"/>
          <w:szCs w:val="20"/>
          <w:color w:val="auto"/>
        </w:rPr>
        <w:tab/>
      </w:r>
      <w:r>
        <w:rPr>
          <w:rFonts w:ascii="Arial" w:cs="Arial" w:eastAsia="Arial" w:hAnsi="Arial"/>
          <w:sz w:val="14"/>
          <w:szCs w:val="14"/>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tabs>
          <w:tab w:leader="none" w:pos="1480" w:val="left"/>
          <w:tab w:leader="none" w:pos="514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8"/>
          <w:szCs w:val="18"/>
          <w:color w:val="auto"/>
        </w:rPr>
        <w:t>A fixed amount, paid in cash and reviewed</w:t>
      </w:r>
      <w:r>
        <w:rPr>
          <w:sz w:val="20"/>
          <w:szCs w:val="20"/>
          <w:color w:val="auto"/>
        </w:rPr>
        <w:tab/>
      </w:r>
      <w:r>
        <w:rPr>
          <w:rFonts w:ascii="Arial" w:cs="Arial" w:eastAsia="Arial" w:hAnsi="Arial"/>
          <w:sz w:val="17"/>
          <w:szCs w:val="17"/>
          <w:color w:val="auto"/>
        </w:rPr>
        <w:t>Provide a source of fixed income that</w:t>
      </w:r>
    </w:p>
    <w:p>
      <w:pPr>
        <w:ind w:left="1500"/>
        <w:spacing w:after="0"/>
        <w:tabs>
          <w:tab w:leader="none" w:pos="5140" w:val="left"/>
        </w:tabs>
        <w:rPr>
          <w:sz w:val="20"/>
          <w:szCs w:val="20"/>
          <w:color w:val="auto"/>
        </w:rPr>
      </w:pPr>
      <w:r>
        <w:rPr>
          <w:rFonts w:ascii="Arial" w:cs="Arial" w:eastAsia="Arial" w:hAnsi="Arial"/>
          <w:sz w:val="18"/>
          <w:szCs w:val="18"/>
          <w:color w:val="auto"/>
        </w:rPr>
        <w:t>annually and,</w:t>
      </w:r>
      <w:r>
        <w:rPr>
          <w:sz w:val="20"/>
          <w:szCs w:val="20"/>
          <w:color w:val="auto"/>
        </w:rPr>
        <w:tab/>
      </w:r>
      <w:r>
        <w:rPr>
          <w:rFonts w:ascii="Arial" w:cs="Arial" w:eastAsia="Arial" w:hAnsi="Arial"/>
          <w:sz w:val="17"/>
          <w:szCs w:val="17"/>
          <w:color w:val="auto"/>
        </w:rPr>
        <w:t>is market competitive and reflects</w:t>
      </w:r>
    </w:p>
    <w:p>
      <w:pPr>
        <w:ind w:left="1500"/>
        <w:spacing w:after="0"/>
        <w:tabs>
          <w:tab w:leader="none" w:pos="5140" w:val="left"/>
        </w:tabs>
        <w:rPr>
          <w:sz w:val="20"/>
          <w:szCs w:val="20"/>
          <w:color w:val="auto"/>
        </w:rPr>
      </w:pPr>
      <w:r>
        <w:rPr>
          <w:rFonts w:ascii="Arial" w:cs="Arial" w:eastAsia="Arial" w:hAnsi="Arial"/>
          <w:sz w:val="18"/>
          <w:szCs w:val="18"/>
          <w:color w:val="auto"/>
        </w:rPr>
        <w:t>if appropriate, adjusted.</w:t>
      </w:r>
      <w:r>
        <w:rPr>
          <w:sz w:val="20"/>
          <w:szCs w:val="20"/>
          <w:color w:val="auto"/>
        </w:rPr>
        <w:tab/>
      </w:r>
      <w:r>
        <w:rPr>
          <w:rFonts w:ascii="Arial" w:cs="Arial" w:eastAsia="Arial" w:hAnsi="Arial"/>
          <w:sz w:val="17"/>
          <w:szCs w:val="17"/>
          <w:color w:val="auto"/>
        </w:rPr>
        <w:t>scope and responsibility of the</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position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FFFFFF"/>
        </w:rPr>
        <w:t>Key Fiscal 2016 Actions</w:t>
      </w:r>
    </w:p>
    <w:p>
      <w:pPr>
        <w:spacing w:after="0" w:line="1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September 2015, prior to the beginning of fiscal 2016, Mr. Olson was promoted to President and COO. In connection with that promotion, the Committee established a base salary level of $ 500,000 for Mr. Olson, which went into effect on September 1, 2015 and remained in effect throughout fiscal 2016.</w:t>
      </w:r>
    </w:p>
    <w:p>
      <w:pPr>
        <w:spacing w:after="0" w:line="1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other named executive officers received base salary increases effective as of November 1, 2015, the first day of fiscal 2016, ranging from 2.1% to 5.1% of their then current annual base salaries.</w:t>
      </w:r>
    </w:p>
    <w:p>
      <w:pPr>
        <w:sectPr>
          <w:pgSz w:w="11900" w:h="16838" w:orient="portrait"/>
          <w:cols w:equalWidth="0" w:num="2">
            <w:col w:w="8120" w:space="200"/>
            <w:col w:w="3100"/>
          </w:cols>
          <w:pgMar w:left="240" w:top="459"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tabs>
          <w:tab w:leader="none" w:pos="258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Annual Cash</w:t>
      </w:r>
      <w:r>
        <w:rPr>
          <w:sz w:val="20"/>
          <w:szCs w:val="20"/>
          <w:color w:val="auto"/>
        </w:rPr>
        <w:tab/>
      </w:r>
      <w:r>
        <w:rPr>
          <w:rFonts w:ascii="Arial" w:cs="Arial" w:eastAsia="Arial" w:hAnsi="Arial"/>
          <w:sz w:val="18"/>
          <w:szCs w:val="18"/>
          <w:color w:val="auto"/>
        </w:rPr>
        <w:t>A variable, short-term element of</w:t>
      </w:r>
    </w:p>
    <w:p>
      <w:pPr>
        <w:spacing w:after="0" w:line="234" w:lineRule="auto"/>
        <w:tabs>
          <w:tab w:leader="none" w:pos="148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compensation that is payable in cash based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 achievement of key pre-established annual corporate financial goals and for division participants, division financial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Long-Term</w:t>
      </w:r>
      <w:r>
        <w:rPr>
          <w:sz w:val="20"/>
          <w:szCs w:val="20"/>
          <w:color w:val="auto"/>
        </w:rPr>
        <w:tab/>
      </w:r>
      <w:r>
        <w:rPr>
          <w:rFonts w:ascii="Arial" w:cs="Arial" w:eastAsia="Arial" w:hAnsi="Arial"/>
          <w:sz w:val="18"/>
          <w:szCs w:val="18"/>
          <w:color w:val="auto"/>
        </w:rPr>
        <w:t>A variable, long-term element of</w:t>
      </w:r>
    </w:p>
    <w:p>
      <w:pPr>
        <w:spacing w:after="0" w:line="234" w:lineRule="auto"/>
        <w:tabs>
          <w:tab w:leader="none" w:pos="1480" w:val="left"/>
        </w:tabs>
        <w:rPr>
          <w:sz w:val="20"/>
          <w:szCs w:val="20"/>
          <w:color w:val="auto"/>
        </w:rPr>
      </w:pPr>
      <w:r>
        <w:rPr>
          <w:rFonts w:ascii="Arial" w:cs="Arial" w:eastAsia="Arial" w:hAnsi="Arial"/>
          <w:sz w:val="18"/>
          <w:szCs w:val="18"/>
          <w:color w:val="auto"/>
        </w:rPr>
        <w:t>Incentives</w:t>
      </w:r>
      <w:r>
        <w:rPr>
          <w:sz w:val="20"/>
          <w:szCs w:val="20"/>
          <w:color w:val="auto"/>
        </w:rPr>
        <w:tab/>
      </w:r>
      <w:r>
        <w:rPr>
          <w:rFonts w:ascii="Arial" w:cs="Arial" w:eastAsia="Arial" w:hAnsi="Arial"/>
          <w:sz w:val="18"/>
          <w:szCs w:val="18"/>
          <w:color w:val="auto"/>
        </w:rPr>
        <w:t>compensation that is provided in the form of</w:t>
      </w:r>
    </w:p>
    <w:p>
      <w:pPr>
        <w:spacing w:after="0" w:line="1" w:lineRule="exact"/>
        <w:rPr>
          <w:sz w:val="20"/>
          <w:szCs w:val="20"/>
          <w:color w:val="auto"/>
        </w:rPr>
      </w:pPr>
    </w:p>
    <w:p>
      <w:pPr>
        <w:ind w:left="1500" w:right="160"/>
        <w:spacing w:after="0" w:line="237" w:lineRule="auto"/>
        <w:rPr>
          <w:sz w:val="20"/>
          <w:szCs w:val="20"/>
          <w:color w:val="auto"/>
        </w:rPr>
      </w:pPr>
      <w:r>
        <w:rPr>
          <w:rFonts w:ascii="Arial" w:cs="Arial" w:eastAsia="Arial" w:hAnsi="Arial"/>
          <w:sz w:val="18"/>
          <w:szCs w:val="18"/>
          <w:color w:val="auto"/>
        </w:rPr>
        <w:t>stock options and performance share awards. Stock options are time-based and vest ratably over three years and performance share awards are payable based on achievement of cumulative financial goals after three years and are paid out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Health and</w:t>
      </w:r>
      <w:r>
        <w:rPr>
          <w:sz w:val="20"/>
          <w:szCs w:val="20"/>
          <w:color w:val="auto"/>
        </w:rPr>
        <w:tab/>
      </w:r>
      <w:r>
        <w:rPr>
          <w:rFonts w:ascii="Arial" w:cs="Arial" w:eastAsia="Arial" w:hAnsi="Arial"/>
          <w:sz w:val="17"/>
          <w:szCs w:val="17"/>
          <w:color w:val="auto"/>
        </w:rPr>
        <w:t>Includes medical and dental insurance; life,</w:t>
      </w:r>
    </w:p>
    <w:p>
      <w:pPr>
        <w:spacing w:after="0" w:line="234" w:lineRule="auto"/>
        <w:tabs>
          <w:tab w:leader="none" w:pos="1480" w:val="left"/>
        </w:tabs>
        <w:rPr>
          <w:sz w:val="20"/>
          <w:szCs w:val="20"/>
          <w:color w:val="auto"/>
        </w:rPr>
      </w:pPr>
      <w:r>
        <w:rPr>
          <w:rFonts w:ascii="Arial" w:cs="Arial" w:eastAsia="Arial" w:hAnsi="Arial"/>
          <w:sz w:val="18"/>
          <w:szCs w:val="18"/>
          <w:color w:val="auto"/>
        </w:rPr>
        <w:t>Welfare</w:t>
      </w:r>
      <w:r>
        <w:rPr>
          <w:sz w:val="20"/>
          <w:szCs w:val="20"/>
          <w:color w:val="auto"/>
        </w:rPr>
        <w:tab/>
      </w:r>
      <w:r>
        <w:rPr>
          <w:rFonts w:ascii="Arial" w:cs="Arial" w:eastAsia="Arial" w:hAnsi="Arial"/>
          <w:sz w:val="18"/>
          <w:szCs w:val="18"/>
          <w:color w:val="auto"/>
        </w:rPr>
        <w:t>accidental death and dismemberment</w:t>
      </w:r>
    </w:p>
    <w:p>
      <w:pPr>
        <w:spacing w:after="0" w:line="235" w:lineRule="auto"/>
        <w:tabs>
          <w:tab w:leader="none" w:pos="1480" w:val="left"/>
        </w:tabs>
        <w:rPr>
          <w:sz w:val="20"/>
          <w:szCs w:val="20"/>
          <w:color w:val="auto"/>
        </w:rPr>
      </w:pPr>
      <w:r>
        <w:rPr>
          <w:rFonts w:ascii="Arial" w:cs="Arial" w:eastAsia="Arial" w:hAnsi="Arial"/>
          <w:sz w:val="18"/>
          <w:szCs w:val="18"/>
          <w:color w:val="auto"/>
        </w:rPr>
        <w:t>Benefits</w:t>
      </w:r>
      <w:r>
        <w:rPr>
          <w:sz w:val="20"/>
          <w:szCs w:val="20"/>
          <w:color w:val="auto"/>
        </w:rPr>
        <w:tab/>
      </w:r>
      <w:r>
        <w:rPr>
          <w:rFonts w:ascii="Arial" w:cs="Arial" w:eastAsia="Arial" w:hAnsi="Arial"/>
          <w:sz w:val="18"/>
          <w:szCs w:val="18"/>
          <w:color w:val="auto"/>
        </w:rPr>
        <w:t>insurance; and disability insurance.</w:t>
      </w:r>
    </w:p>
    <w:p>
      <w:pPr>
        <w:spacing w:after="0" w:line="235" w:lineRule="auto"/>
        <w:tabs>
          <w:tab w:leader="none" w:pos="1480" w:val="left"/>
        </w:tabs>
        <w:rPr>
          <w:sz w:val="20"/>
          <w:szCs w:val="20"/>
          <w:color w:val="auto"/>
        </w:rPr>
      </w:pPr>
      <w:r>
        <w:rPr>
          <w:rFonts w:ascii="Arial" w:cs="Arial" w:eastAsia="Arial" w:hAnsi="Arial"/>
          <w:sz w:val="18"/>
          <w:szCs w:val="18"/>
          <w:color w:val="auto"/>
        </w:rPr>
        <w:t>Retirement</w:t>
      </w:r>
      <w:r>
        <w:rPr>
          <w:sz w:val="20"/>
          <w:szCs w:val="20"/>
          <w:color w:val="auto"/>
        </w:rPr>
        <w:tab/>
      </w:r>
      <w:r>
        <w:rPr>
          <w:rFonts w:ascii="Arial" w:cs="Arial" w:eastAsia="Arial" w:hAnsi="Arial"/>
          <w:sz w:val="18"/>
          <w:szCs w:val="18"/>
          <w:color w:val="auto"/>
        </w:rPr>
        <w:t>Includes a defined contribution retirement</w:t>
      </w:r>
    </w:p>
    <w:p>
      <w:pPr>
        <w:spacing w:after="0" w:line="235" w:lineRule="auto"/>
        <w:tabs>
          <w:tab w:leader="none" w:pos="1480" w:val="left"/>
        </w:tabs>
        <w:rPr>
          <w:sz w:val="20"/>
          <w:szCs w:val="20"/>
          <w:color w:val="auto"/>
        </w:rPr>
      </w:pPr>
      <w:r>
        <w:rPr>
          <w:rFonts w:ascii="Arial" w:cs="Arial" w:eastAsia="Arial" w:hAnsi="Arial"/>
          <w:sz w:val="18"/>
          <w:szCs w:val="18"/>
          <w:color w:val="auto"/>
        </w:rPr>
        <w:t>Plans</w:t>
      </w:r>
      <w:r>
        <w:rPr>
          <w:sz w:val="20"/>
          <w:szCs w:val="20"/>
          <w:color w:val="auto"/>
        </w:rPr>
        <w:tab/>
      </w:r>
      <w:r>
        <w:rPr>
          <w:rFonts w:ascii="Arial" w:cs="Arial" w:eastAsia="Arial" w:hAnsi="Arial"/>
          <w:sz w:val="18"/>
          <w:szCs w:val="18"/>
          <w:color w:val="auto"/>
        </w:rPr>
        <w:t>plan and certain nonqualified retirement</w:t>
      </w:r>
    </w:p>
    <w:p>
      <w:pPr>
        <w:ind w:left="1500"/>
        <w:spacing w:after="0" w:line="234" w:lineRule="auto"/>
        <w:rPr>
          <w:sz w:val="20"/>
          <w:szCs w:val="20"/>
          <w:color w:val="auto"/>
        </w:rPr>
      </w:pPr>
      <w:r>
        <w:rPr>
          <w:rFonts w:ascii="Arial" w:cs="Arial" w:eastAsia="Arial" w:hAnsi="Arial"/>
          <w:sz w:val="18"/>
          <w:szCs w:val="18"/>
          <w:color w:val="auto"/>
        </w:rPr>
        <w:t>plans.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-93345</wp:posOffset>
            </wp:positionV>
            <wp:extent cx="724662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right="200"/>
        <w:spacing w:after="0" w:line="238" w:lineRule="auto"/>
        <w:rPr>
          <w:sz w:val="20"/>
          <w:szCs w:val="20"/>
          <w:color w:val="auto"/>
        </w:rPr>
      </w:pPr>
      <w:r>
        <w:rPr>
          <w:rFonts w:ascii="Arial" w:cs="Arial" w:eastAsia="Arial" w:hAnsi="Arial"/>
          <w:sz w:val="18"/>
          <w:szCs w:val="18"/>
          <w:color w:val="auto"/>
        </w:rPr>
        <w:t>Motivate and reward our executive officers for achievement of annual financial business goals intended to drive overall company and division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-650240</wp:posOffset>
            </wp:positionV>
            <wp:extent cx="7246620" cy="2710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Align the interests of our executive officers with our shareholders; encourage focus on long-term company financial performance measures that are deemed strategically and operationally important to our company; promote retention of our executive officers; and encourage significant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Provide competitive health and welfare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-267970</wp:posOffset>
            </wp:positionV>
            <wp:extent cx="7246620" cy="3860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16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FFFFFF"/>
        </w:rPr>
        <w:t>Key Fiscal 2016 Actions</w:t>
      </w:r>
    </w:p>
    <w:p>
      <w:pPr>
        <w:spacing w:after="0" w:line="1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September 2015, prior to the beginning of fiscal 2016, Mr. Olson was promoted to President and COO. In connection with that promotion, the Committee established a fiscal 2016 target award as a percent of base salary of 80% for Mr. Olson, which went into effect on September 1, 2015 and remained in effect throughout fiscal 2016.</w:t>
      </w:r>
    </w:p>
    <w:p>
      <w:pPr>
        <w:spacing w:after="0" w:line="19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Target awards as a percent of base salary for our other named executive officers were established at 55% to 125% of fiscal year base salary. In fiscal 2016, we changed the weightings of our performance measures to increase focus on asset performance and, therefore, decreased the weighting on the earnings measure.</w:t>
      </w:r>
    </w:p>
    <w:p>
      <w:pPr>
        <w:spacing w:after="0" w:line="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Our named executive officers were granted stock options and performance share awards.</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Corporate performance measures and weightings were established for all of our executive officers for our fiscal 2016 to fiscal 2018 performance period to strengthen alignment to overall corporate goals and performance. In fiscal 2016, the weightings of our corporate performance measures for the fiscal 2016 to fiscal 2018 award term were changed to increase focus on asset performance and, therefore, decreased the weighting on the earnings measure.</w:t>
      </w:r>
    </w:p>
    <w:p>
      <w:pPr>
        <w:ind w:right="140"/>
        <w:spacing w:after="0" w:line="246" w:lineRule="auto"/>
        <w:rPr>
          <w:sz w:val="20"/>
          <w:szCs w:val="20"/>
          <w:color w:val="auto"/>
        </w:rPr>
      </w:pPr>
      <w:r>
        <w:rPr>
          <w:rFonts w:ascii="Arial" w:cs="Arial" w:eastAsia="Arial" w:hAnsi="Arial"/>
          <w:sz w:val="18"/>
          <w:szCs w:val="18"/>
          <w:color w:val="auto"/>
        </w:rPr>
        <w:t>No significant changes were made to health and welfare benefits.</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No significant changes were made to retirement plans.</w:t>
      </w:r>
    </w:p>
    <w:p>
      <w:pPr>
        <w:spacing w:after="0" w:line="183" w:lineRule="exact"/>
        <w:rPr>
          <w:sz w:val="20"/>
          <w:szCs w:val="20"/>
          <w:color w:val="auto"/>
        </w:rPr>
      </w:pPr>
    </w:p>
    <w:p>
      <w:pPr>
        <w:sectPr>
          <w:pgSz w:w="11900" w:h="16838" w:orient="portrait"/>
          <w:cols w:equalWidth="0" w:num="3">
            <w:col w:w="5020" w:space="140"/>
            <w:col w:w="3040" w:space="120"/>
            <w:col w:w="3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00" w:type="dxa"/>
            <w:vAlign w:val="bottom"/>
            <w:shd w:val="clear" w:color="auto" w:fill="D9D9D9"/>
          </w:tcPr>
          <w:p>
            <w:pPr>
              <w:spacing w:after="0" w:line="204" w:lineRule="exact"/>
              <w:rPr>
                <w:sz w:val="20"/>
                <w:szCs w:val="20"/>
                <w:color w:val="auto"/>
              </w:rPr>
            </w:pPr>
            <w:r>
              <w:rPr>
                <w:rFonts w:ascii="Arial" w:cs="Arial" w:eastAsia="Arial" w:hAnsi="Arial"/>
                <w:sz w:val="18"/>
                <w:szCs w:val="18"/>
                <w:color w:val="auto"/>
              </w:rPr>
              <w:t>Perquisites</w:t>
            </w:r>
          </w:p>
        </w:tc>
        <w:tc>
          <w:tcPr>
            <w:tcW w:w="3720" w:type="dxa"/>
            <w:vAlign w:val="bottom"/>
            <w:shd w:val="clear" w:color="auto" w:fill="D9D9D9"/>
          </w:tcPr>
          <w:p>
            <w:pPr>
              <w:ind w:left="300"/>
              <w:spacing w:after="0" w:line="204" w:lineRule="exact"/>
              <w:rPr>
                <w:sz w:val="20"/>
                <w:szCs w:val="20"/>
                <w:color w:val="auto"/>
              </w:rPr>
            </w:pPr>
            <w:r>
              <w:rPr>
                <w:rFonts w:ascii="Arial" w:cs="Arial" w:eastAsia="Arial" w:hAnsi="Arial"/>
                <w:sz w:val="18"/>
                <w:szCs w:val="18"/>
                <w:color w:val="auto"/>
              </w:rPr>
              <w:t>Includes a company-leased automobile,</w:t>
            </w:r>
          </w:p>
        </w:tc>
        <w:tc>
          <w:tcPr>
            <w:tcW w:w="3240" w:type="dxa"/>
            <w:vAlign w:val="bottom"/>
            <w:shd w:val="clear" w:color="auto" w:fill="D9D9D9"/>
          </w:tcPr>
          <w:p>
            <w:pPr>
              <w:ind w:left="240"/>
              <w:spacing w:after="0" w:line="204" w:lineRule="exact"/>
              <w:rPr>
                <w:sz w:val="20"/>
                <w:szCs w:val="20"/>
                <w:color w:val="auto"/>
              </w:rPr>
            </w:pPr>
            <w:r>
              <w:rPr>
                <w:rFonts w:ascii="Arial" w:cs="Arial" w:eastAsia="Arial" w:hAnsi="Arial"/>
                <w:sz w:val="18"/>
                <w:szCs w:val="18"/>
                <w:color w:val="auto"/>
              </w:rPr>
              <w:t>Assist in promoting the health and</w:t>
            </w:r>
          </w:p>
        </w:tc>
        <w:tc>
          <w:tcPr>
            <w:tcW w:w="3260" w:type="dxa"/>
            <w:vAlign w:val="bottom"/>
            <w:shd w:val="clear" w:color="auto" w:fill="D9D9D9"/>
          </w:tcPr>
          <w:p>
            <w:pPr>
              <w:ind w:left="160"/>
              <w:spacing w:after="0" w:line="204" w:lineRule="exact"/>
              <w:rPr>
                <w:sz w:val="20"/>
                <w:szCs w:val="20"/>
                <w:color w:val="auto"/>
              </w:rPr>
            </w:pPr>
            <w:r>
              <w:rPr>
                <w:rFonts w:ascii="Arial" w:cs="Arial" w:eastAsia="Arial" w:hAnsi="Arial"/>
                <w:sz w:val="18"/>
                <w:szCs w:val="18"/>
                <w:color w:val="auto"/>
              </w:rPr>
              <w:t>No significant changes were made to</w:t>
            </w:r>
          </w:p>
        </w:tc>
      </w:tr>
      <w:tr>
        <w:trPr>
          <w:trHeight w:val="203"/>
        </w:trPr>
        <w:tc>
          <w:tcPr>
            <w:tcW w:w="1200" w:type="dxa"/>
            <w:vAlign w:val="bottom"/>
            <w:shd w:val="clear" w:color="auto" w:fill="D9D9D9"/>
          </w:tcPr>
          <w:p>
            <w:pPr>
              <w:spacing w:after="0"/>
              <w:rPr>
                <w:sz w:val="17"/>
                <w:szCs w:val="17"/>
                <w:color w:val="auto"/>
              </w:rPr>
            </w:pPr>
          </w:p>
        </w:tc>
        <w:tc>
          <w:tcPr>
            <w:tcW w:w="3720" w:type="dxa"/>
            <w:vAlign w:val="bottom"/>
            <w:shd w:val="clear" w:color="auto" w:fill="D9D9D9"/>
          </w:tcPr>
          <w:p>
            <w:pPr>
              <w:ind w:left="300"/>
              <w:spacing w:after="0" w:line="202" w:lineRule="exact"/>
              <w:rPr>
                <w:sz w:val="20"/>
                <w:szCs w:val="20"/>
                <w:color w:val="auto"/>
              </w:rPr>
            </w:pPr>
            <w:r>
              <w:rPr>
                <w:rFonts w:ascii="Arial" w:cs="Arial" w:eastAsia="Arial" w:hAnsi="Arial"/>
                <w:sz w:val="18"/>
                <w:szCs w:val="18"/>
                <w:color w:val="auto"/>
              </w:rPr>
              <w:t>financial planning allowance, company</w:t>
            </w:r>
          </w:p>
        </w:tc>
        <w:tc>
          <w:tcPr>
            <w:tcW w:w="3240" w:type="dxa"/>
            <w:vAlign w:val="bottom"/>
            <w:shd w:val="clear" w:color="auto" w:fill="D9D9D9"/>
          </w:tcPr>
          <w:p>
            <w:pPr>
              <w:ind w:left="240"/>
              <w:spacing w:after="0" w:line="202" w:lineRule="exact"/>
              <w:rPr>
                <w:sz w:val="20"/>
                <w:szCs w:val="20"/>
                <w:color w:val="auto"/>
              </w:rPr>
            </w:pPr>
            <w:r>
              <w:rPr>
                <w:rFonts w:ascii="Arial" w:cs="Arial" w:eastAsia="Arial" w:hAnsi="Arial"/>
                <w:sz w:val="18"/>
                <w:szCs w:val="18"/>
                <w:color w:val="auto"/>
              </w:rPr>
              <w:t>personal financial security of our</w:t>
            </w:r>
          </w:p>
        </w:tc>
        <w:tc>
          <w:tcPr>
            <w:tcW w:w="326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perquisites.</w:t>
            </w:r>
          </w:p>
        </w:tc>
      </w:tr>
      <w:tr>
        <w:trPr>
          <w:trHeight w:val="203"/>
        </w:trPr>
        <w:tc>
          <w:tcPr>
            <w:tcW w:w="1200" w:type="dxa"/>
            <w:vAlign w:val="bottom"/>
            <w:shd w:val="clear" w:color="auto" w:fill="D9D9D9"/>
          </w:tcPr>
          <w:p>
            <w:pPr>
              <w:spacing w:after="0"/>
              <w:rPr>
                <w:sz w:val="17"/>
                <w:szCs w:val="17"/>
                <w:color w:val="auto"/>
              </w:rPr>
            </w:pPr>
          </w:p>
        </w:tc>
        <w:tc>
          <w:tcPr>
            <w:tcW w:w="3720" w:type="dxa"/>
            <w:vAlign w:val="bottom"/>
            <w:shd w:val="clear" w:color="auto" w:fill="D9D9D9"/>
          </w:tcPr>
          <w:p>
            <w:pPr>
              <w:ind w:left="300"/>
              <w:spacing w:after="0" w:line="202" w:lineRule="exact"/>
              <w:rPr>
                <w:sz w:val="20"/>
                <w:szCs w:val="20"/>
                <w:color w:val="auto"/>
              </w:rPr>
            </w:pPr>
            <w:r>
              <w:rPr>
                <w:rFonts w:ascii="Arial" w:cs="Arial" w:eastAsia="Arial" w:hAnsi="Arial"/>
                <w:sz w:val="18"/>
                <w:szCs w:val="18"/>
                <w:color w:val="auto"/>
              </w:rPr>
              <w:t>products and executive physicals.</w:t>
            </w:r>
          </w:p>
        </w:tc>
        <w:tc>
          <w:tcPr>
            <w:tcW w:w="3240" w:type="dxa"/>
            <w:vAlign w:val="bottom"/>
            <w:shd w:val="clear" w:color="auto" w:fill="D9D9D9"/>
          </w:tcPr>
          <w:p>
            <w:pPr>
              <w:ind w:left="240"/>
              <w:spacing w:after="0" w:line="202" w:lineRule="exact"/>
              <w:rPr>
                <w:sz w:val="20"/>
                <w:szCs w:val="20"/>
                <w:color w:val="auto"/>
              </w:rPr>
            </w:pPr>
            <w:r>
              <w:rPr>
                <w:rFonts w:ascii="Arial" w:cs="Arial" w:eastAsia="Arial" w:hAnsi="Arial"/>
                <w:sz w:val="18"/>
                <w:szCs w:val="18"/>
                <w:color w:val="auto"/>
              </w:rPr>
              <w:t>executive officers; promote the</w:t>
            </w:r>
          </w:p>
        </w:tc>
        <w:tc>
          <w:tcPr>
            <w:tcW w:w="3260" w:type="dxa"/>
            <w:vAlign w:val="bottom"/>
            <w:shd w:val="clear" w:color="auto" w:fill="D9D9D9"/>
          </w:tcPr>
          <w:p>
            <w:pPr>
              <w:spacing w:after="0"/>
              <w:rPr>
                <w:sz w:val="17"/>
                <w:szCs w:val="17"/>
                <w:color w:val="auto"/>
              </w:rPr>
            </w:pPr>
          </w:p>
        </w:tc>
      </w:tr>
      <w:tr>
        <w:trPr>
          <w:trHeight w:val="203"/>
        </w:trPr>
        <w:tc>
          <w:tcPr>
            <w:tcW w:w="1200" w:type="dxa"/>
            <w:vAlign w:val="bottom"/>
            <w:shd w:val="clear" w:color="auto" w:fill="D9D9D9"/>
          </w:tcPr>
          <w:p>
            <w:pPr>
              <w:spacing w:after="0"/>
              <w:rPr>
                <w:sz w:val="17"/>
                <w:szCs w:val="17"/>
                <w:color w:val="auto"/>
              </w:rPr>
            </w:pPr>
          </w:p>
        </w:tc>
        <w:tc>
          <w:tcPr>
            <w:tcW w:w="3720" w:type="dxa"/>
            <w:vAlign w:val="bottom"/>
            <w:shd w:val="clear" w:color="auto" w:fill="D9D9D9"/>
          </w:tcPr>
          <w:p>
            <w:pPr>
              <w:spacing w:after="0"/>
              <w:rPr>
                <w:sz w:val="17"/>
                <w:szCs w:val="17"/>
                <w:color w:val="auto"/>
              </w:rPr>
            </w:pPr>
          </w:p>
        </w:tc>
        <w:tc>
          <w:tcPr>
            <w:tcW w:w="3240" w:type="dxa"/>
            <w:vAlign w:val="bottom"/>
            <w:shd w:val="clear" w:color="auto" w:fill="D9D9D9"/>
          </w:tcPr>
          <w:p>
            <w:pPr>
              <w:ind w:left="240"/>
              <w:spacing w:after="0" w:line="202" w:lineRule="exact"/>
              <w:rPr>
                <w:sz w:val="20"/>
                <w:szCs w:val="20"/>
                <w:color w:val="auto"/>
              </w:rPr>
            </w:pPr>
            <w:r>
              <w:rPr>
                <w:rFonts w:ascii="Arial" w:cs="Arial" w:eastAsia="Arial" w:hAnsi="Arial"/>
                <w:sz w:val="18"/>
                <w:szCs w:val="18"/>
                <w:color w:val="auto"/>
              </w:rPr>
              <w:t>personal use of our products by our</w:t>
            </w:r>
          </w:p>
        </w:tc>
        <w:tc>
          <w:tcPr>
            <w:tcW w:w="3260" w:type="dxa"/>
            <w:vAlign w:val="bottom"/>
            <w:shd w:val="clear" w:color="auto" w:fill="D9D9D9"/>
          </w:tcPr>
          <w:p>
            <w:pPr>
              <w:spacing w:after="0"/>
              <w:rPr>
                <w:sz w:val="17"/>
                <w:szCs w:val="17"/>
                <w:color w:val="auto"/>
              </w:rPr>
            </w:pPr>
          </w:p>
        </w:tc>
      </w:tr>
      <w:tr>
        <w:trPr>
          <w:trHeight w:val="203"/>
        </w:trPr>
        <w:tc>
          <w:tcPr>
            <w:tcW w:w="1200" w:type="dxa"/>
            <w:vAlign w:val="bottom"/>
            <w:shd w:val="clear" w:color="auto" w:fill="D9D9D9"/>
          </w:tcPr>
          <w:p>
            <w:pPr>
              <w:spacing w:after="0"/>
              <w:rPr>
                <w:sz w:val="17"/>
                <w:szCs w:val="17"/>
                <w:color w:val="auto"/>
              </w:rPr>
            </w:pPr>
          </w:p>
        </w:tc>
        <w:tc>
          <w:tcPr>
            <w:tcW w:w="3720" w:type="dxa"/>
            <w:vAlign w:val="bottom"/>
            <w:shd w:val="clear" w:color="auto" w:fill="D9D9D9"/>
          </w:tcPr>
          <w:p>
            <w:pPr>
              <w:spacing w:after="0"/>
              <w:rPr>
                <w:sz w:val="17"/>
                <w:szCs w:val="17"/>
                <w:color w:val="auto"/>
              </w:rPr>
            </w:pPr>
          </w:p>
        </w:tc>
        <w:tc>
          <w:tcPr>
            <w:tcW w:w="3240" w:type="dxa"/>
            <w:vAlign w:val="bottom"/>
            <w:shd w:val="clear" w:color="auto" w:fill="D9D9D9"/>
          </w:tcPr>
          <w:p>
            <w:pPr>
              <w:ind w:left="240"/>
              <w:spacing w:after="0" w:line="202" w:lineRule="exact"/>
              <w:rPr>
                <w:sz w:val="20"/>
                <w:szCs w:val="20"/>
                <w:color w:val="auto"/>
              </w:rPr>
            </w:pPr>
            <w:r>
              <w:rPr>
                <w:rFonts w:ascii="Arial" w:cs="Arial" w:eastAsia="Arial" w:hAnsi="Arial"/>
                <w:sz w:val="18"/>
                <w:szCs w:val="18"/>
                <w:color w:val="auto"/>
              </w:rPr>
              <w:t>executive officers; and promote the</w:t>
            </w:r>
          </w:p>
        </w:tc>
        <w:tc>
          <w:tcPr>
            <w:tcW w:w="3260" w:type="dxa"/>
            <w:vAlign w:val="bottom"/>
            <w:shd w:val="clear" w:color="auto" w:fill="D9D9D9"/>
          </w:tcPr>
          <w:p>
            <w:pPr>
              <w:spacing w:after="0"/>
              <w:rPr>
                <w:sz w:val="17"/>
                <w:szCs w:val="17"/>
                <w:color w:val="auto"/>
              </w:rPr>
            </w:pPr>
          </w:p>
        </w:tc>
      </w:tr>
      <w:tr>
        <w:trPr>
          <w:trHeight w:val="203"/>
        </w:trPr>
        <w:tc>
          <w:tcPr>
            <w:tcW w:w="1200" w:type="dxa"/>
            <w:vAlign w:val="bottom"/>
            <w:shd w:val="clear" w:color="auto" w:fill="D9D9D9"/>
          </w:tcPr>
          <w:p>
            <w:pPr>
              <w:spacing w:after="0"/>
              <w:rPr>
                <w:sz w:val="17"/>
                <w:szCs w:val="17"/>
                <w:color w:val="auto"/>
              </w:rPr>
            </w:pPr>
          </w:p>
        </w:tc>
        <w:tc>
          <w:tcPr>
            <w:tcW w:w="3720" w:type="dxa"/>
            <w:vAlign w:val="bottom"/>
            <w:shd w:val="clear" w:color="auto" w:fill="D9D9D9"/>
          </w:tcPr>
          <w:p>
            <w:pPr>
              <w:spacing w:after="0"/>
              <w:rPr>
                <w:sz w:val="17"/>
                <w:szCs w:val="17"/>
                <w:color w:val="auto"/>
              </w:rPr>
            </w:pPr>
          </w:p>
        </w:tc>
        <w:tc>
          <w:tcPr>
            <w:tcW w:w="3240" w:type="dxa"/>
            <w:vAlign w:val="bottom"/>
            <w:shd w:val="clear" w:color="auto" w:fill="D9D9D9"/>
          </w:tcPr>
          <w:p>
            <w:pPr>
              <w:ind w:left="240"/>
              <w:spacing w:after="0" w:line="202" w:lineRule="exact"/>
              <w:rPr>
                <w:sz w:val="20"/>
                <w:szCs w:val="20"/>
                <w:color w:val="auto"/>
              </w:rPr>
            </w:pPr>
            <w:r>
              <w:rPr>
                <w:rFonts w:ascii="Arial" w:cs="Arial" w:eastAsia="Arial" w:hAnsi="Arial"/>
                <w:sz w:val="18"/>
                <w:szCs w:val="18"/>
                <w:color w:val="auto"/>
              </w:rPr>
              <w:t>attraction and retention of our</w:t>
            </w:r>
          </w:p>
        </w:tc>
        <w:tc>
          <w:tcPr>
            <w:tcW w:w="3260" w:type="dxa"/>
            <w:vAlign w:val="bottom"/>
            <w:shd w:val="clear" w:color="auto" w:fill="D9D9D9"/>
          </w:tcPr>
          <w:p>
            <w:pPr>
              <w:spacing w:after="0"/>
              <w:rPr>
                <w:sz w:val="17"/>
                <w:szCs w:val="17"/>
                <w:color w:val="auto"/>
              </w:rPr>
            </w:pPr>
          </w:p>
        </w:tc>
      </w:tr>
      <w:tr>
        <w:trPr>
          <w:trHeight w:val="203"/>
        </w:trPr>
        <w:tc>
          <w:tcPr>
            <w:tcW w:w="1200" w:type="dxa"/>
            <w:vAlign w:val="bottom"/>
            <w:shd w:val="clear" w:color="auto" w:fill="D9D9D9"/>
          </w:tcPr>
          <w:p>
            <w:pPr>
              <w:spacing w:after="0"/>
              <w:rPr>
                <w:sz w:val="17"/>
                <w:szCs w:val="17"/>
                <w:color w:val="auto"/>
              </w:rPr>
            </w:pPr>
          </w:p>
        </w:tc>
        <w:tc>
          <w:tcPr>
            <w:tcW w:w="3720" w:type="dxa"/>
            <w:vAlign w:val="bottom"/>
            <w:shd w:val="clear" w:color="auto" w:fill="D9D9D9"/>
          </w:tcPr>
          <w:p>
            <w:pPr>
              <w:spacing w:after="0"/>
              <w:rPr>
                <w:sz w:val="17"/>
                <w:szCs w:val="17"/>
                <w:color w:val="auto"/>
              </w:rPr>
            </w:pPr>
          </w:p>
        </w:tc>
        <w:tc>
          <w:tcPr>
            <w:tcW w:w="3240" w:type="dxa"/>
            <w:vAlign w:val="bottom"/>
            <w:shd w:val="clear" w:color="auto" w:fill="D9D9D9"/>
          </w:tcPr>
          <w:p>
            <w:pPr>
              <w:ind w:left="240"/>
              <w:spacing w:after="0" w:line="203" w:lineRule="exact"/>
              <w:rPr>
                <w:sz w:val="20"/>
                <w:szCs w:val="20"/>
                <w:color w:val="auto"/>
              </w:rPr>
            </w:pPr>
            <w:r>
              <w:rPr>
                <w:rFonts w:ascii="Arial" w:cs="Arial" w:eastAsia="Arial" w:hAnsi="Arial"/>
                <w:sz w:val="18"/>
                <w:szCs w:val="18"/>
                <w:color w:val="auto"/>
              </w:rPr>
              <w:t>executive officers.</w:t>
            </w:r>
          </w:p>
        </w:tc>
        <w:tc>
          <w:tcPr>
            <w:tcW w:w="3260" w:type="dxa"/>
            <w:vAlign w:val="bottom"/>
            <w:shd w:val="clear" w:color="auto" w:fill="D9D9D9"/>
          </w:tcPr>
          <w:p>
            <w:pPr>
              <w:spacing w:after="0"/>
              <w:rPr>
                <w:sz w:val="17"/>
                <w:szCs w:val="17"/>
                <w:color w:val="auto"/>
              </w:rPr>
            </w:pPr>
          </w:p>
        </w:tc>
      </w:tr>
    </w:tbl>
    <w:p>
      <w:pPr>
        <w:spacing w:after="0" w:line="215" w:lineRule="exact"/>
        <w:rPr>
          <w:sz w:val="20"/>
          <w:szCs w:val="20"/>
          <w:color w:val="auto"/>
        </w:rPr>
      </w:pPr>
    </w:p>
    <w:p>
      <w:pPr>
        <w:ind w:right="1160" w:firstLine="456"/>
        <w:spacing w:after="0" w:line="246"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Decisions Relating to Fiscal 2017 CEO Transition.</w:t>
      </w:r>
    </w:p>
    <w:p>
      <w:pPr>
        <w:spacing w:after="0" w:line="23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7"/>
          <w:szCs w:val="17"/>
          <w:color w:val="auto"/>
        </w:rPr>
        <w:t>As described above, in connection with Mr. Olson’s promotion to President and COO, the Committee established a base salary level of $500,000 and target annual cash incentive award of 80% of base salary for Mr. Olson in September 2015, prior to the beginning of fiscal 2016. These changes took effect on September 1, 2015 and remained in effect throughout fiscal 2016. In December 2015, in connection with our annual compensation review process for executive officers, the Committee granted stock options and performance share awards to Mr. Olson.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19, 2016, we announced the following:</w:t>
      </w:r>
    </w:p>
    <w:p>
      <w:pPr>
        <w:spacing w:after="0" w:line="239"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Olson’s promotion to President and CEO, effective as of the beginning of fiscal 2017; and</w:t>
      </w:r>
    </w:p>
    <w:p>
      <w:pPr>
        <w:spacing w:after="0" w:line="238" w:lineRule="exact"/>
        <w:rPr>
          <w:rFonts w:ascii="Arial" w:cs="Arial" w:eastAsia="Arial" w:hAnsi="Arial"/>
          <w:sz w:val="18"/>
          <w:szCs w:val="18"/>
          <w:color w:val="auto"/>
        </w:rPr>
      </w:pPr>
    </w:p>
    <w:p>
      <w:pPr>
        <w:ind w:left="460" w:right="1320" w:hanging="6"/>
        <w:spacing w:after="0" w:line="496" w:lineRule="auto"/>
        <w:tabs>
          <w:tab w:leader="none" w:pos="7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Hoffman would continue to serve as executive Chairman of the Board, effective as of the beginning of fiscal 2017. In connection with this announcement, the following compensation decisions were made:</w:t>
      </w:r>
    </w:p>
    <w:p>
      <w:pPr>
        <w:spacing w:after="0" w:line="8" w:lineRule="exact"/>
        <w:rPr>
          <w:rFonts w:ascii="Arial" w:cs="Arial" w:eastAsia="Arial" w:hAnsi="Arial"/>
          <w:sz w:val="18"/>
          <w:szCs w:val="18"/>
          <w:color w:val="auto"/>
        </w:rPr>
      </w:pPr>
    </w:p>
    <w:p>
      <w:pPr>
        <w:ind w:left="780" w:right="540" w:hanging="326"/>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Olson’s fiscal 2017 annual base salary was increased from $500,000 to $775,000 and his fiscal 2017 annual cash incentive payout percentage was increased from 80% to 100% of his fiscal year base salary; and</w:t>
      </w:r>
    </w:p>
    <w:p>
      <w:pPr>
        <w:spacing w:after="0" w:line="223" w:lineRule="exact"/>
        <w:rPr>
          <w:rFonts w:ascii="Arial" w:cs="Arial" w:eastAsia="Arial" w:hAnsi="Arial"/>
          <w:sz w:val="18"/>
          <w:szCs w:val="18"/>
          <w:color w:val="auto"/>
        </w:rPr>
      </w:pPr>
    </w:p>
    <w:p>
      <w:pPr>
        <w:ind w:left="780" w:right="280" w:hanging="326"/>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Hoffman’s fiscal 2017 annual base salary was decreased from $990,000 to $680,000 and his fiscal 2017 annual cash incentive payout percentage remained the same at 125% of his fiscal year base salary.</w:t>
      </w:r>
    </w:p>
    <w:p>
      <w:pPr>
        <w:spacing w:after="0" w:line="197"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These compensation decisions were made using the same process described under “How We Make Compensation Decisions” beginning on page 36.</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216"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to ensure that they remain market competitive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scope and responsibility of their positions. Specifically, the base salaries for our executive officers are reviewed and discussed at the regular meeting of the Compensation &amp; Human Resources Committee held in November or December of each year and base salary increases, if any, for our executive officers are approved at that meeting and are effective November 1, the first day of our fiscal year. Additionally, base salaries for executive officers are reviewed upon a change in an executive officer’s responsibilities or role within our Company.</w:t>
      </w:r>
    </w:p>
    <w:p>
      <w:pPr>
        <w:spacing w:after="0" w:line="185"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When we recommended fiscal 2016 base salaries for our named executive officers, the following factors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current base salary, positioning relative to competitive market data, scope and complexity of the position, experience, tenure, historical and current levels of individual performance and internal pay comparisons. Fiscal 2016 annual base salaries, fiscal 2016 annual base salary increases compared to fiscal 2015 and fiscal 2016 annual base salaries compared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provided in the table below for our named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C00000"/>
          </w:tcPr>
          <w:p>
            <w:pPr>
              <w:spacing w:after="0"/>
              <w:rPr>
                <w:sz w:val="14"/>
                <w:szCs w:val="14"/>
                <w:color w:val="auto"/>
              </w:rPr>
            </w:pPr>
          </w:p>
        </w:tc>
        <w:tc>
          <w:tcPr>
            <w:tcW w:w="4080" w:type="dxa"/>
            <w:vAlign w:val="bottom"/>
            <w:shd w:val="clear" w:color="auto" w:fill="C00000"/>
          </w:tcPr>
          <w:p>
            <w:pPr>
              <w:spacing w:after="0"/>
              <w:rPr>
                <w:sz w:val="14"/>
                <w:szCs w:val="14"/>
                <w:color w:val="auto"/>
              </w:rPr>
            </w:pPr>
          </w:p>
        </w:tc>
        <w:tc>
          <w:tcPr>
            <w:tcW w:w="16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2016</w:t>
            </w:r>
          </w:p>
        </w:tc>
        <w:tc>
          <w:tcPr>
            <w:tcW w:w="1720" w:type="dxa"/>
            <w:vAlign w:val="bottom"/>
            <w:shd w:val="clear" w:color="auto" w:fill="C00000"/>
          </w:tcPr>
          <w:p>
            <w:pPr>
              <w:jc w:val="center"/>
              <w:ind w:left="80"/>
              <w:spacing w:after="0"/>
              <w:rPr>
                <w:sz w:val="20"/>
                <w:szCs w:val="20"/>
                <w:color w:val="auto"/>
              </w:rPr>
            </w:pPr>
            <w:r>
              <w:rPr>
                <w:rFonts w:ascii="Arial" w:cs="Arial" w:eastAsia="Arial" w:hAnsi="Arial"/>
                <w:sz w:val="14"/>
                <w:szCs w:val="14"/>
                <w:b w:val="1"/>
                <w:bCs w:val="1"/>
                <w:color w:val="FFFFFF"/>
              </w:rPr>
              <w:t>Fiscal 2016</w:t>
            </w:r>
          </w:p>
        </w:tc>
        <w:tc>
          <w:tcPr>
            <w:tcW w:w="0" w:type="dxa"/>
            <w:vAlign w:val="bottom"/>
          </w:tcPr>
          <w:p>
            <w:pPr>
              <w:spacing w:after="0"/>
              <w:rPr>
                <w:sz w:val="1"/>
                <w:szCs w:val="1"/>
                <w:color w:val="auto"/>
              </w:rPr>
            </w:pPr>
          </w:p>
        </w:tc>
      </w:tr>
      <w:tr>
        <w:trPr>
          <w:trHeight w:val="162"/>
        </w:trPr>
        <w:tc>
          <w:tcPr>
            <w:tcW w:w="4020" w:type="dxa"/>
            <w:vAlign w:val="bottom"/>
            <w:shd w:val="clear" w:color="auto" w:fill="C00000"/>
          </w:tcPr>
          <w:p>
            <w:pPr>
              <w:spacing w:after="0"/>
              <w:rPr>
                <w:sz w:val="14"/>
                <w:szCs w:val="14"/>
                <w:color w:val="auto"/>
              </w:rPr>
            </w:pPr>
          </w:p>
        </w:tc>
        <w:tc>
          <w:tcPr>
            <w:tcW w:w="4080" w:type="dxa"/>
            <w:vAlign w:val="bottom"/>
            <w:vMerge w:val="restart"/>
            <w:shd w:val="clear" w:color="auto" w:fill="C00000"/>
          </w:tcPr>
          <w:p>
            <w:pPr>
              <w:jc w:val="right"/>
              <w:ind w:right="237"/>
              <w:spacing w:after="0"/>
              <w:rPr>
                <w:sz w:val="20"/>
                <w:szCs w:val="20"/>
                <w:color w:val="auto"/>
              </w:rPr>
            </w:pPr>
            <w:r>
              <w:rPr>
                <w:rFonts w:ascii="Arial" w:cs="Arial" w:eastAsia="Arial" w:hAnsi="Arial"/>
                <w:sz w:val="14"/>
                <w:szCs w:val="14"/>
                <w:b w:val="1"/>
                <w:bCs w:val="1"/>
                <w:color w:val="FFFFFF"/>
              </w:rPr>
              <w:t>Fiscal 2016</w:t>
            </w:r>
          </w:p>
        </w:tc>
        <w:tc>
          <w:tcPr>
            <w:tcW w:w="16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Annual Base</w:t>
            </w:r>
          </w:p>
        </w:tc>
        <w:tc>
          <w:tcPr>
            <w:tcW w:w="1720" w:type="dxa"/>
            <w:vAlign w:val="bottom"/>
            <w:shd w:val="clear" w:color="auto" w:fill="C00000"/>
          </w:tcPr>
          <w:p>
            <w:pPr>
              <w:jc w:val="right"/>
              <w:ind w:right="40"/>
              <w:spacing w:after="0"/>
              <w:rPr>
                <w:sz w:val="20"/>
                <w:szCs w:val="20"/>
                <w:color w:val="auto"/>
              </w:rPr>
            </w:pPr>
            <w:r>
              <w:rPr>
                <w:rFonts w:ascii="Arial" w:cs="Arial" w:eastAsia="Arial" w:hAnsi="Arial"/>
                <w:sz w:val="14"/>
                <w:szCs w:val="14"/>
                <w:b w:val="1"/>
                <w:bCs w:val="1"/>
                <w:color w:val="FFFFFF"/>
              </w:rPr>
              <w:t>Annual Base Salary</w:t>
            </w:r>
          </w:p>
        </w:tc>
        <w:tc>
          <w:tcPr>
            <w:tcW w:w="0" w:type="dxa"/>
            <w:vAlign w:val="bottom"/>
          </w:tcPr>
          <w:p>
            <w:pPr>
              <w:spacing w:after="0"/>
              <w:rPr>
                <w:sz w:val="1"/>
                <w:szCs w:val="1"/>
                <w:color w:val="auto"/>
              </w:rPr>
            </w:pPr>
          </w:p>
        </w:tc>
      </w:tr>
      <w:tr>
        <w:trPr>
          <w:trHeight w:val="149"/>
        </w:trPr>
        <w:tc>
          <w:tcPr>
            <w:tcW w:w="4020" w:type="dxa"/>
            <w:vAlign w:val="bottom"/>
            <w:shd w:val="clear" w:color="auto" w:fill="C00000"/>
          </w:tcPr>
          <w:p>
            <w:pPr>
              <w:spacing w:after="0"/>
              <w:rPr>
                <w:sz w:val="12"/>
                <w:szCs w:val="12"/>
                <w:color w:val="auto"/>
              </w:rPr>
            </w:pPr>
          </w:p>
        </w:tc>
        <w:tc>
          <w:tcPr>
            <w:tcW w:w="4080" w:type="dxa"/>
            <w:vAlign w:val="bottom"/>
            <w:vMerge w:val="continue"/>
            <w:shd w:val="clear" w:color="auto" w:fill="C00000"/>
          </w:tcPr>
          <w:p>
            <w:pPr>
              <w:spacing w:after="0"/>
              <w:rPr>
                <w:sz w:val="12"/>
                <w:szCs w:val="12"/>
                <w:color w:val="auto"/>
              </w:rPr>
            </w:pPr>
          </w:p>
        </w:tc>
        <w:tc>
          <w:tcPr>
            <w:tcW w:w="1600" w:type="dxa"/>
            <w:vAlign w:val="bottom"/>
            <w:shd w:val="clear" w:color="auto" w:fill="C00000"/>
          </w:tcPr>
          <w:p>
            <w:pPr>
              <w:jc w:val="center"/>
              <w:spacing w:after="0" w:line="149" w:lineRule="exact"/>
              <w:rPr>
                <w:sz w:val="20"/>
                <w:szCs w:val="20"/>
                <w:color w:val="auto"/>
              </w:rPr>
            </w:pPr>
            <w:r>
              <w:rPr>
                <w:rFonts w:ascii="Arial" w:cs="Arial" w:eastAsia="Arial" w:hAnsi="Arial"/>
                <w:sz w:val="14"/>
                <w:szCs w:val="14"/>
                <w:b w:val="1"/>
                <w:bCs w:val="1"/>
                <w:color w:val="FFFFFF"/>
              </w:rPr>
              <w:t>Salary Increase</w:t>
            </w:r>
          </w:p>
        </w:tc>
        <w:tc>
          <w:tcPr>
            <w:tcW w:w="1720" w:type="dxa"/>
            <w:vAlign w:val="bottom"/>
            <w:shd w:val="clear" w:color="auto" w:fill="C00000"/>
          </w:tcPr>
          <w:p>
            <w:pPr>
              <w:jc w:val="center"/>
              <w:ind w:left="80"/>
              <w:spacing w:after="0" w:line="149" w:lineRule="exact"/>
              <w:rPr>
                <w:sz w:val="20"/>
                <w:szCs w:val="20"/>
                <w:color w:val="auto"/>
              </w:rPr>
            </w:pPr>
            <w:r>
              <w:rPr>
                <w:rFonts w:ascii="Arial" w:cs="Arial" w:eastAsia="Arial" w:hAnsi="Arial"/>
                <w:sz w:val="14"/>
                <w:szCs w:val="14"/>
                <w:b w:val="1"/>
                <w:bCs w:val="1"/>
                <w:color w:val="FFFFFF"/>
              </w:rPr>
              <w:t>Compared to</w:t>
            </w:r>
          </w:p>
        </w:tc>
        <w:tc>
          <w:tcPr>
            <w:tcW w:w="0" w:type="dxa"/>
            <w:vAlign w:val="bottom"/>
          </w:tcPr>
          <w:p>
            <w:pPr>
              <w:spacing w:after="0"/>
              <w:rPr>
                <w:sz w:val="1"/>
                <w:szCs w:val="1"/>
                <w:color w:val="auto"/>
              </w:rPr>
            </w:pPr>
          </w:p>
        </w:tc>
      </w:tr>
      <w:tr>
        <w:trPr>
          <w:trHeight w:val="162"/>
        </w:trPr>
        <w:tc>
          <w:tcPr>
            <w:tcW w:w="4020" w:type="dxa"/>
            <w:vAlign w:val="bottom"/>
            <w:shd w:val="clear" w:color="auto" w:fill="C00000"/>
          </w:tcPr>
          <w:p>
            <w:pPr>
              <w:spacing w:after="0"/>
              <w:rPr>
                <w:sz w:val="14"/>
                <w:szCs w:val="14"/>
                <w:color w:val="auto"/>
              </w:rPr>
            </w:pPr>
          </w:p>
        </w:tc>
        <w:tc>
          <w:tcPr>
            <w:tcW w:w="4080" w:type="dxa"/>
            <w:vAlign w:val="bottom"/>
            <w:shd w:val="clear" w:color="auto" w:fill="C00000"/>
          </w:tcPr>
          <w:p>
            <w:pPr>
              <w:jc w:val="right"/>
              <w:ind w:right="177"/>
              <w:spacing w:after="0"/>
              <w:rPr>
                <w:sz w:val="20"/>
                <w:szCs w:val="20"/>
                <w:color w:val="auto"/>
              </w:rPr>
            </w:pPr>
            <w:r>
              <w:rPr>
                <w:rFonts w:ascii="Arial" w:cs="Arial" w:eastAsia="Arial" w:hAnsi="Arial"/>
                <w:sz w:val="14"/>
                <w:szCs w:val="14"/>
                <w:b w:val="1"/>
                <w:bCs w:val="1"/>
                <w:color w:val="FFFFFF"/>
              </w:rPr>
              <w:t>Annual Base</w:t>
            </w:r>
          </w:p>
        </w:tc>
        <w:tc>
          <w:tcPr>
            <w:tcW w:w="16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Compared to</w:t>
            </w:r>
          </w:p>
        </w:tc>
        <w:tc>
          <w:tcPr>
            <w:tcW w:w="1720" w:type="dxa"/>
            <w:vAlign w:val="bottom"/>
            <w:shd w:val="clear" w:color="auto" w:fill="C00000"/>
          </w:tcPr>
          <w:p>
            <w:pPr>
              <w:jc w:val="center"/>
              <w:ind w:left="60"/>
              <w:spacing w:after="0" w:line="162" w:lineRule="exact"/>
              <w:rPr>
                <w:sz w:val="20"/>
                <w:szCs w:val="20"/>
                <w:color w:val="auto"/>
              </w:rPr>
            </w:pPr>
            <w:r>
              <w:rPr>
                <w:rFonts w:ascii="Arial" w:cs="Arial" w:eastAsia="Arial" w:hAnsi="Arial"/>
                <w:sz w:val="11"/>
                <w:szCs w:val="11"/>
                <w:b w:val="1"/>
                <w:bCs w:val="1"/>
                <w:color w:val="FFFFFF"/>
              </w:rPr>
              <w:t>Market 50</w:t>
            </w:r>
            <w:r>
              <w:rPr>
                <w:rFonts w:ascii="Arial" w:cs="Arial" w:eastAsia="Arial" w:hAnsi="Arial"/>
                <w:sz w:val="18"/>
                <w:szCs w:val="18"/>
                <w:b w:val="1"/>
                <w:bCs w:val="1"/>
                <w:color w:val="FFFFFF"/>
                <w:vertAlign w:val="superscript"/>
              </w:rPr>
              <w:t>th</w:t>
            </w:r>
          </w:p>
        </w:tc>
        <w:tc>
          <w:tcPr>
            <w:tcW w:w="0" w:type="dxa"/>
            <w:vAlign w:val="bottom"/>
          </w:tcPr>
          <w:p>
            <w:pPr>
              <w:spacing w:after="0"/>
              <w:rPr>
                <w:sz w:val="1"/>
                <w:szCs w:val="1"/>
                <w:color w:val="auto"/>
              </w:rPr>
            </w:pPr>
          </w:p>
        </w:tc>
      </w:tr>
      <w:tr>
        <w:trPr>
          <w:trHeight w:val="189"/>
        </w:trPr>
        <w:tc>
          <w:tcPr>
            <w:tcW w:w="40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4080" w:type="dxa"/>
            <w:vAlign w:val="bottom"/>
            <w:shd w:val="clear" w:color="auto" w:fill="C00000"/>
          </w:tcPr>
          <w:p>
            <w:pPr>
              <w:jc w:val="right"/>
              <w:ind w:right="397"/>
              <w:spacing w:after="0"/>
              <w:rPr>
                <w:sz w:val="20"/>
                <w:szCs w:val="20"/>
                <w:color w:val="auto"/>
              </w:rPr>
            </w:pPr>
            <w:r>
              <w:rPr>
                <w:rFonts w:ascii="Arial" w:cs="Arial" w:eastAsia="Arial" w:hAnsi="Arial"/>
                <w:sz w:val="14"/>
                <w:szCs w:val="14"/>
                <w:b w:val="1"/>
                <w:bCs w:val="1"/>
                <w:color w:val="FFFFFF"/>
              </w:rPr>
              <w:t>Salary</w:t>
            </w:r>
          </w:p>
        </w:tc>
        <w:tc>
          <w:tcPr>
            <w:tcW w:w="16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2015</w:t>
            </w:r>
          </w:p>
        </w:tc>
        <w:tc>
          <w:tcPr>
            <w:tcW w:w="1720" w:type="dxa"/>
            <w:vAlign w:val="bottom"/>
            <w:shd w:val="clear" w:color="auto" w:fill="C00000"/>
          </w:tcPr>
          <w:p>
            <w:pPr>
              <w:jc w:val="center"/>
              <w:ind w:left="80"/>
              <w:spacing w:after="0"/>
              <w:rPr>
                <w:sz w:val="20"/>
                <w:szCs w:val="20"/>
                <w:color w:val="auto"/>
              </w:rPr>
            </w:pPr>
            <w:r>
              <w:rPr>
                <w:rFonts w:ascii="Arial" w:cs="Arial" w:eastAsia="Arial" w:hAnsi="Arial"/>
                <w:sz w:val="14"/>
                <w:szCs w:val="14"/>
                <w:b w:val="1"/>
                <w:bCs w:val="1"/>
                <w:color w:val="FFFFFF"/>
              </w:rPr>
              <w:t>Percentile</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Mr. Hoffman</w:t>
            </w:r>
          </w:p>
        </w:tc>
        <w:tc>
          <w:tcPr>
            <w:tcW w:w="40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$990,000</w:t>
            </w:r>
          </w:p>
        </w:tc>
        <w:tc>
          <w:tcPr>
            <w:tcW w:w="1600" w:type="dxa"/>
            <w:vAlign w:val="bottom"/>
          </w:tcPr>
          <w:p>
            <w:pPr>
              <w:jc w:val="right"/>
              <w:ind w:right="479"/>
              <w:spacing w:after="0" w:line="202" w:lineRule="exact"/>
              <w:rPr>
                <w:sz w:val="20"/>
                <w:szCs w:val="20"/>
                <w:color w:val="auto"/>
              </w:rPr>
            </w:pPr>
            <w:r>
              <w:rPr>
                <w:rFonts w:ascii="Arial" w:cs="Arial" w:eastAsia="Arial" w:hAnsi="Arial"/>
                <w:sz w:val="18"/>
                <w:szCs w:val="18"/>
                <w:color w:val="auto"/>
              </w:rPr>
              <w:t>3.1%</w:t>
            </w:r>
          </w:p>
        </w:tc>
        <w:tc>
          <w:tcPr>
            <w:tcW w:w="17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8% above</w:t>
            </w:r>
          </w:p>
        </w:tc>
        <w:tc>
          <w:tcPr>
            <w:tcW w:w="0" w:type="dxa"/>
            <w:vAlign w:val="bottom"/>
          </w:tcPr>
          <w:p>
            <w:pPr>
              <w:spacing w:after="0"/>
              <w:rPr>
                <w:sz w:val="1"/>
                <w:szCs w:val="1"/>
                <w:color w:val="auto"/>
              </w:rPr>
            </w:pPr>
          </w:p>
        </w:tc>
      </w:tr>
      <w:tr>
        <w:trPr>
          <w:trHeight w:val="203"/>
        </w:trPr>
        <w:tc>
          <w:tcPr>
            <w:tcW w:w="40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Ms. Peterson</w:t>
            </w:r>
          </w:p>
        </w:tc>
        <w:tc>
          <w:tcPr>
            <w:tcW w:w="4080" w:type="dxa"/>
            <w:vAlign w:val="bottom"/>
            <w:shd w:val="clear" w:color="auto" w:fill="D9D9D9"/>
          </w:tcPr>
          <w:p>
            <w:pPr>
              <w:jc w:val="right"/>
              <w:ind w:right="177"/>
              <w:spacing w:after="0" w:line="202" w:lineRule="exact"/>
              <w:rPr>
                <w:sz w:val="20"/>
                <w:szCs w:val="20"/>
                <w:color w:val="auto"/>
              </w:rPr>
            </w:pPr>
            <w:r>
              <w:rPr>
                <w:rFonts w:ascii="Arial" w:cs="Arial" w:eastAsia="Arial" w:hAnsi="Arial"/>
                <w:sz w:val="18"/>
                <w:szCs w:val="18"/>
                <w:color w:val="auto"/>
              </w:rPr>
              <w:t>$485,000</w:t>
            </w:r>
          </w:p>
        </w:tc>
        <w:tc>
          <w:tcPr>
            <w:tcW w:w="1600" w:type="dxa"/>
            <w:vAlign w:val="bottom"/>
            <w:shd w:val="clear" w:color="auto" w:fill="D9D9D9"/>
          </w:tcPr>
          <w:p>
            <w:pPr>
              <w:jc w:val="right"/>
              <w:ind w:right="479"/>
              <w:spacing w:after="0" w:line="202" w:lineRule="exact"/>
              <w:rPr>
                <w:sz w:val="20"/>
                <w:szCs w:val="20"/>
                <w:color w:val="auto"/>
              </w:rPr>
            </w:pPr>
            <w:r>
              <w:rPr>
                <w:rFonts w:ascii="Arial" w:cs="Arial" w:eastAsia="Arial" w:hAnsi="Arial"/>
                <w:sz w:val="18"/>
                <w:szCs w:val="18"/>
                <w:color w:val="auto"/>
              </w:rPr>
              <w:t>2.1%</w:t>
            </w:r>
          </w:p>
        </w:tc>
        <w:tc>
          <w:tcPr>
            <w:tcW w:w="1720" w:type="dxa"/>
            <w:vAlign w:val="bottom"/>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At market</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Mr. Olson</w:t>
            </w:r>
          </w:p>
        </w:tc>
        <w:tc>
          <w:tcPr>
            <w:tcW w:w="40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$500,000</w:t>
            </w:r>
          </w:p>
        </w:tc>
        <w:tc>
          <w:tcPr>
            <w:tcW w:w="1600" w:type="dxa"/>
            <w:vAlign w:val="bottom"/>
          </w:tcPr>
          <w:p>
            <w:pPr>
              <w:jc w:val="right"/>
              <w:ind w:right="479"/>
              <w:spacing w:after="0" w:line="202" w:lineRule="exact"/>
              <w:rPr>
                <w:sz w:val="20"/>
                <w:szCs w:val="20"/>
                <w:color w:val="auto"/>
              </w:rPr>
            </w:pPr>
            <w:r>
              <w:rPr>
                <w:rFonts w:ascii="Arial" w:cs="Arial" w:eastAsia="Arial" w:hAnsi="Arial"/>
                <w:sz w:val="18"/>
                <w:szCs w:val="18"/>
                <w:color w:val="auto"/>
              </w:rPr>
              <w:t>29.0%</w:t>
            </w:r>
          </w:p>
        </w:tc>
        <w:tc>
          <w:tcPr>
            <w:tcW w:w="17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15% below</w:t>
            </w:r>
          </w:p>
        </w:tc>
        <w:tc>
          <w:tcPr>
            <w:tcW w:w="0" w:type="dxa"/>
            <w:vAlign w:val="bottom"/>
          </w:tcPr>
          <w:p>
            <w:pPr>
              <w:spacing w:after="0"/>
              <w:rPr>
                <w:sz w:val="1"/>
                <w:szCs w:val="1"/>
                <w:color w:val="auto"/>
              </w:rPr>
            </w:pPr>
          </w:p>
        </w:tc>
      </w:tr>
      <w:tr>
        <w:trPr>
          <w:trHeight w:val="203"/>
        </w:trPr>
        <w:tc>
          <w:tcPr>
            <w:tcW w:w="40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Mr. Brown</w:t>
            </w:r>
          </w:p>
        </w:tc>
        <w:tc>
          <w:tcPr>
            <w:tcW w:w="4080" w:type="dxa"/>
            <w:vAlign w:val="bottom"/>
            <w:shd w:val="clear" w:color="auto" w:fill="D9D9D9"/>
          </w:tcPr>
          <w:p>
            <w:pPr>
              <w:jc w:val="right"/>
              <w:ind w:right="177"/>
              <w:spacing w:after="0" w:line="202" w:lineRule="exact"/>
              <w:rPr>
                <w:sz w:val="20"/>
                <w:szCs w:val="20"/>
                <w:color w:val="auto"/>
              </w:rPr>
            </w:pPr>
            <w:r>
              <w:rPr>
                <w:rFonts w:ascii="Arial" w:cs="Arial" w:eastAsia="Arial" w:hAnsi="Arial"/>
                <w:sz w:val="18"/>
                <w:szCs w:val="18"/>
                <w:color w:val="auto"/>
              </w:rPr>
              <w:t>$410,000</w:t>
            </w:r>
          </w:p>
        </w:tc>
        <w:tc>
          <w:tcPr>
            <w:tcW w:w="1600" w:type="dxa"/>
            <w:vAlign w:val="bottom"/>
            <w:shd w:val="clear" w:color="auto" w:fill="D9D9D9"/>
          </w:tcPr>
          <w:p>
            <w:pPr>
              <w:jc w:val="right"/>
              <w:ind w:right="479"/>
              <w:spacing w:after="0" w:line="202" w:lineRule="exact"/>
              <w:rPr>
                <w:sz w:val="20"/>
                <w:szCs w:val="20"/>
                <w:color w:val="auto"/>
              </w:rPr>
            </w:pPr>
            <w:r>
              <w:rPr>
                <w:rFonts w:ascii="Arial" w:cs="Arial" w:eastAsia="Arial" w:hAnsi="Arial"/>
                <w:sz w:val="18"/>
                <w:szCs w:val="18"/>
                <w:color w:val="auto"/>
              </w:rPr>
              <w:t>5.1%</w:t>
            </w:r>
          </w:p>
        </w:tc>
        <w:tc>
          <w:tcPr>
            <w:tcW w:w="1720" w:type="dxa"/>
            <w:vAlign w:val="bottom"/>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4% below</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Mr. Dordell</w:t>
            </w:r>
          </w:p>
        </w:tc>
        <w:tc>
          <w:tcPr>
            <w:tcW w:w="4080" w:type="dxa"/>
            <w:vAlign w:val="bottom"/>
          </w:tcPr>
          <w:p>
            <w:pPr>
              <w:jc w:val="right"/>
              <w:ind w:right="177"/>
              <w:spacing w:after="0"/>
              <w:rPr>
                <w:sz w:val="20"/>
                <w:szCs w:val="20"/>
                <w:color w:val="auto"/>
              </w:rPr>
            </w:pPr>
            <w:r>
              <w:rPr>
                <w:rFonts w:ascii="Arial" w:cs="Arial" w:eastAsia="Arial" w:hAnsi="Arial"/>
                <w:sz w:val="18"/>
                <w:szCs w:val="18"/>
                <w:color w:val="auto"/>
              </w:rPr>
              <w:t>$410,000</w:t>
            </w:r>
          </w:p>
        </w:tc>
        <w:tc>
          <w:tcPr>
            <w:tcW w:w="1600" w:type="dxa"/>
            <w:vAlign w:val="bottom"/>
          </w:tcPr>
          <w:p>
            <w:pPr>
              <w:jc w:val="right"/>
              <w:ind w:right="479"/>
              <w:spacing w:after="0"/>
              <w:rPr>
                <w:sz w:val="20"/>
                <w:szCs w:val="20"/>
                <w:color w:val="auto"/>
              </w:rPr>
            </w:pPr>
            <w:r>
              <w:rPr>
                <w:rFonts w:ascii="Arial" w:cs="Arial" w:eastAsia="Arial" w:hAnsi="Arial"/>
                <w:sz w:val="18"/>
                <w:szCs w:val="18"/>
                <w:color w:val="auto"/>
              </w:rPr>
              <w:t>3.1%</w:t>
            </w:r>
          </w:p>
        </w:tc>
        <w:tc>
          <w:tcPr>
            <w:tcW w:w="1720" w:type="dxa"/>
            <w:vAlign w:val="bottom"/>
          </w:tcPr>
          <w:p>
            <w:pPr>
              <w:jc w:val="right"/>
              <w:ind w:right="20"/>
              <w:spacing w:after="0"/>
              <w:rPr>
                <w:sz w:val="20"/>
                <w:szCs w:val="20"/>
                <w:color w:val="auto"/>
              </w:rPr>
            </w:pPr>
            <w:r>
              <w:rPr>
                <w:rFonts w:ascii="Arial" w:cs="Arial" w:eastAsia="Arial" w:hAnsi="Arial"/>
                <w:sz w:val="18"/>
                <w:szCs w:val="18"/>
                <w:color w:val="auto"/>
              </w:rPr>
              <w:t>1% above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In fiscal 2016, the base salary increases for all other named executive officers were intended to bring their respective annual base salaries to, or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resulting base salaries for three of our named executive officers are at or close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base salary increase of 3.1% for Mr. Hoffman resulted in his base salary being slightly above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which the Committee believes was appropriate given Mr. Hoffman’s experience, performance and tenure in the role. In September 2015, in connection with his promotion to President and COO, the Committee established a base salary for Mr. Olson of $500,000, which was effective as of September 1, 2015. This annual base salary for Mr. Olson remained in effect throughout fiscal 2016 and represented 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29% increase over his fiscal 2015 base salary. The base salary for Mr. Olson was 15%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which the Committee believes was appropriate given that Mr. Olson was new to the President and COO role in fiscal 2016.</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216" w:lineRule="exact"/>
        <w:rPr>
          <w:sz w:val="20"/>
          <w:szCs w:val="20"/>
          <w:color w:val="auto"/>
        </w:rPr>
      </w:pPr>
    </w:p>
    <w:p>
      <w:pPr>
        <w:ind w:right="60" w:firstLine="456"/>
        <w:spacing w:after="0" w:line="25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earn an annual cash incentive, which is designed to motivate attainment and reward accomplishment of annual financial business goals. This is done by establishing financial goals for our annual incentive plan that link closely to our annual financial plan.</w:t>
      </w:r>
    </w:p>
    <w:p>
      <w:pPr>
        <w:spacing w:after="0" w:line="19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At the beginning of each fiscal year, during its regular meeting held in November or December, the Compensation &amp; Human Resources Committee approves a target award expressed as a percentage of base salary for each executive officer. Additionally, the Committee approves specific performance measures, weightings, goals and performance adjustment events, if any, at the corporate and division level, as applicable, for the fiscal year. The performance measures are derived from a list of performance measures included in our Amended and Restated 2010 Plan.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 December, Management presents a summary of, and the Committee certifies, actual performance as compared to the established corporate and division goals along with a corresponding payout percentage, which is expressed as a percent of target performance. Annual cash incentive awards are contingent upon, and paid out to the executive officers in December following, our earnings release for the recently completed fiscal year.</w:t>
      </w:r>
    </w:p>
    <w:p>
      <w:pPr>
        <w:spacing w:after="0" w:line="189"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as a percent of base salary, for each executive officer, the Committee reviews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50</w:t>
      </w:r>
      <w:r>
        <w:rPr>
          <w:rFonts w:ascii="Arial" w:cs="Arial" w:eastAsia="Arial" w:hAnsi="Arial"/>
          <w:sz w:val="15"/>
          <w:szCs w:val="15"/>
          <w:color w:val="auto"/>
        </w:rPr>
        <w:t>th</w:t>
      </w:r>
      <w:r>
        <w:rPr>
          <w:rFonts w:ascii="Arial" w:cs="Arial" w:eastAsia="Arial" w:hAnsi="Arial"/>
          <w:sz w:val="18"/>
          <w:szCs w:val="18"/>
          <w:color w:val="auto"/>
        </w:rPr>
        <w:t xml:space="preserve"> percentile for target total cash compensation (sum of base salary and target annual cash incentives) for the positions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exceeds established target annual financial business goals and will generally be less than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is below established target annual financial business goals. In addition to considering the market data, the 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20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December 2015, the Committee approved the fiscal 2016 target awards shown below for our named executive officers. The fiscal 2016 target annual cash incentive award, the change in the target award percentage, the resulting fiscal 2016 target total cash compensation (sum of fiscal 2016 annual base salary and fiscal 2016 target annual cash incentive award) and the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also provided.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shd w:val="clear" w:color="auto" w:fill="C00000"/>
          </w:tcPr>
          <w:p>
            <w:pPr>
              <w:spacing w:after="0"/>
              <w:rPr>
                <w:sz w:val="14"/>
                <w:szCs w:val="14"/>
                <w:color w:val="auto"/>
              </w:rPr>
            </w:pPr>
          </w:p>
        </w:tc>
        <w:tc>
          <w:tcPr>
            <w:tcW w:w="2620" w:type="dxa"/>
            <w:vAlign w:val="bottom"/>
            <w:shd w:val="clear" w:color="auto" w:fill="C00000"/>
          </w:tcPr>
          <w:p>
            <w:pPr>
              <w:spacing w:after="0"/>
              <w:rPr>
                <w:sz w:val="14"/>
                <w:szCs w:val="14"/>
                <w:color w:val="auto"/>
              </w:rPr>
            </w:pPr>
          </w:p>
        </w:tc>
        <w:tc>
          <w:tcPr>
            <w:tcW w:w="1100" w:type="dxa"/>
            <w:vAlign w:val="bottom"/>
            <w:shd w:val="clear" w:color="auto" w:fill="C00000"/>
          </w:tcPr>
          <w:p>
            <w:pPr>
              <w:spacing w:after="0"/>
              <w:rPr>
                <w:sz w:val="14"/>
                <w:szCs w:val="14"/>
                <w:color w:val="auto"/>
              </w:rPr>
            </w:pPr>
          </w:p>
        </w:tc>
        <w:tc>
          <w:tcPr>
            <w:tcW w:w="1140" w:type="dxa"/>
            <w:vAlign w:val="bottom"/>
            <w:shd w:val="clear" w:color="auto" w:fill="C00000"/>
          </w:tcPr>
          <w:p>
            <w:pPr>
              <w:spacing w:after="0"/>
              <w:rPr>
                <w:sz w:val="14"/>
                <w:szCs w:val="14"/>
                <w:color w:val="auto"/>
              </w:rPr>
            </w:pPr>
          </w:p>
        </w:tc>
        <w:tc>
          <w:tcPr>
            <w:tcW w:w="24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30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1460" w:type="dxa"/>
            <w:vAlign w:val="bottom"/>
            <w:shd w:val="clear" w:color="auto" w:fill="C00000"/>
          </w:tcPr>
          <w:p>
            <w:pPr>
              <w:jc w:val="right"/>
              <w:ind w:right="41"/>
              <w:spacing w:after="0"/>
              <w:rPr>
                <w:sz w:val="20"/>
                <w:szCs w:val="20"/>
                <w:color w:val="auto"/>
              </w:rPr>
            </w:pPr>
            <w:r>
              <w:rPr>
                <w:rFonts w:ascii="Arial" w:cs="Arial" w:eastAsia="Arial" w:hAnsi="Arial"/>
                <w:sz w:val="14"/>
                <w:szCs w:val="14"/>
                <w:b w:val="1"/>
                <w:bCs w:val="1"/>
                <w:color w:val="FFFFFF"/>
              </w:rPr>
              <w:t>Fiscal 2016 Target</w:t>
            </w:r>
          </w:p>
        </w:tc>
      </w:tr>
      <w:tr>
        <w:trPr>
          <w:trHeight w:val="162"/>
        </w:trPr>
        <w:tc>
          <w:tcPr>
            <w:tcW w:w="2760" w:type="dxa"/>
            <w:vAlign w:val="bottom"/>
            <w:shd w:val="clear" w:color="auto" w:fill="C00000"/>
          </w:tcPr>
          <w:p>
            <w:pPr>
              <w:spacing w:after="0"/>
              <w:rPr>
                <w:sz w:val="14"/>
                <w:szCs w:val="14"/>
                <w:color w:val="auto"/>
              </w:rPr>
            </w:pPr>
          </w:p>
        </w:tc>
        <w:tc>
          <w:tcPr>
            <w:tcW w:w="2620" w:type="dxa"/>
            <w:vAlign w:val="bottom"/>
            <w:shd w:val="clear" w:color="auto" w:fill="C00000"/>
          </w:tcPr>
          <w:p>
            <w:pPr>
              <w:spacing w:after="0"/>
              <w:rPr>
                <w:sz w:val="14"/>
                <w:szCs w:val="14"/>
                <w:color w:val="auto"/>
              </w:rPr>
            </w:pPr>
          </w:p>
        </w:tc>
        <w:tc>
          <w:tcPr>
            <w:tcW w:w="1100" w:type="dxa"/>
            <w:vAlign w:val="bottom"/>
            <w:shd w:val="clear" w:color="auto" w:fill="C00000"/>
          </w:tcPr>
          <w:p>
            <w:pPr>
              <w:jc w:val="center"/>
              <w:ind w:right="59"/>
              <w:spacing w:after="0"/>
              <w:rPr>
                <w:sz w:val="20"/>
                <w:szCs w:val="20"/>
                <w:color w:val="auto"/>
              </w:rPr>
            </w:pPr>
            <w:r>
              <w:rPr>
                <w:rFonts w:ascii="Arial" w:cs="Arial" w:eastAsia="Arial" w:hAnsi="Arial"/>
                <w:sz w:val="14"/>
                <w:szCs w:val="14"/>
                <w:b w:val="1"/>
                <w:bCs w:val="1"/>
                <w:color w:val="FFFFFF"/>
              </w:rPr>
              <w:t>Fiscal 2016</w:t>
            </w:r>
          </w:p>
        </w:tc>
        <w:tc>
          <w:tcPr>
            <w:tcW w:w="1140" w:type="dxa"/>
            <w:vAlign w:val="bottom"/>
            <w:shd w:val="clear" w:color="auto" w:fill="C00000"/>
          </w:tcPr>
          <w:p>
            <w:pPr>
              <w:spacing w:after="0"/>
              <w:rPr>
                <w:sz w:val="14"/>
                <w:szCs w:val="14"/>
                <w:color w:val="auto"/>
              </w:rPr>
            </w:pPr>
          </w:p>
        </w:tc>
        <w:tc>
          <w:tcPr>
            <w:tcW w:w="11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2016</w:t>
            </w:r>
          </w:p>
        </w:tc>
        <w:tc>
          <w:tcPr>
            <w:tcW w:w="30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14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Total Cash</w:t>
            </w:r>
          </w:p>
        </w:tc>
      </w:tr>
      <w:tr>
        <w:trPr>
          <w:trHeight w:val="162"/>
        </w:trPr>
        <w:tc>
          <w:tcPr>
            <w:tcW w:w="2760" w:type="dxa"/>
            <w:vAlign w:val="bottom"/>
            <w:shd w:val="clear" w:color="auto" w:fill="C00000"/>
          </w:tcPr>
          <w:p>
            <w:pPr>
              <w:spacing w:after="0"/>
              <w:rPr>
                <w:sz w:val="14"/>
                <w:szCs w:val="14"/>
                <w:color w:val="auto"/>
              </w:rPr>
            </w:pPr>
          </w:p>
        </w:tc>
        <w:tc>
          <w:tcPr>
            <w:tcW w:w="2620" w:type="dxa"/>
            <w:vAlign w:val="bottom"/>
            <w:shd w:val="clear" w:color="auto" w:fill="C00000"/>
          </w:tcPr>
          <w:p>
            <w:pPr>
              <w:spacing w:after="0"/>
              <w:rPr>
                <w:sz w:val="14"/>
                <w:szCs w:val="14"/>
                <w:color w:val="auto"/>
              </w:rPr>
            </w:pPr>
          </w:p>
        </w:tc>
        <w:tc>
          <w:tcPr>
            <w:tcW w:w="1100" w:type="dxa"/>
            <w:vAlign w:val="bottom"/>
            <w:shd w:val="clear" w:color="auto" w:fill="C00000"/>
          </w:tcPr>
          <w:p>
            <w:pPr>
              <w:jc w:val="center"/>
              <w:ind w:right="59"/>
              <w:spacing w:after="0"/>
              <w:rPr>
                <w:sz w:val="20"/>
                <w:szCs w:val="20"/>
                <w:color w:val="auto"/>
              </w:rPr>
            </w:pPr>
            <w:r>
              <w:rPr>
                <w:rFonts w:ascii="Arial" w:cs="Arial" w:eastAsia="Arial" w:hAnsi="Arial"/>
                <w:sz w:val="14"/>
                <w:szCs w:val="14"/>
                <w:b w:val="1"/>
                <w:bCs w:val="1"/>
                <w:color w:val="FFFFFF"/>
              </w:rPr>
              <w:t>Award at</w:t>
            </w:r>
          </w:p>
        </w:tc>
        <w:tc>
          <w:tcPr>
            <w:tcW w:w="1140" w:type="dxa"/>
            <w:vAlign w:val="bottom"/>
            <w:shd w:val="clear" w:color="auto" w:fill="C00000"/>
          </w:tcPr>
          <w:p>
            <w:pPr>
              <w:jc w:val="center"/>
              <w:ind w:right="18"/>
              <w:spacing w:after="0"/>
              <w:rPr>
                <w:sz w:val="20"/>
                <w:szCs w:val="20"/>
                <w:color w:val="auto"/>
              </w:rPr>
            </w:pPr>
            <w:r>
              <w:rPr>
                <w:rFonts w:ascii="Arial" w:cs="Arial" w:eastAsia="Arial" w:hAnsi="Arial"/>
                <w:sz w:val="14"/>
                <w:szCs w:val="14"/>
                <w:b w:val="1"/>
                <w:bCs w:val="1"/>
                <w:color w:val="FFFFFF"/>
              </w:rPr>
              <w:t>Fiscal 2016</w:t>
            </w:r>
          </w:p>
        </w:tc>
        <w:tc>
          <w:tcPr>
            <w:tcW w:w="240" w:type="dxa"/>
            <w:vAlign w:val="bottom"/>
            <w:shd w:val="clear" w:color="auto" w:fill="C00000"/>
          </w:tcPr>
          <w:p>
            <w:pPr>
              <w:spacing w:after="0"/>
              <w:rPr>
                <w:sz w:val="14"/>
                <w:szCs w:val="14"/>
                <w:color w:val="auto"/>
              </w:rPr>
            </w:pPr>
          </w:p>
        </w:tc>
        <w:tc>
          <w:tcPr>
            <w:tcW w:w="900" w:type="dxa"/>
            <w:vAlign w:val="bottom"/>
            <w:shd w:val="clear" w:color="auto" w:fill="C00000"/>
          </w:tcPr>
          <w:p>
            <w:pPr>
              <w:jc w:val="center"/>
              <w:ind w:right="197"/>
              <w:spacing w:after="0"/>
              <w:rPr>
                <w:sz w:val="20"/>
                <w:szCs w:val="20"/>
                <w:color w:val="auto"/>
              </w:rPr>
            </w:pPr>
            <w:r>
              <w:rPr>
                <w:rFonts w:ascii="Arial" w:cs="Arial" w:eastAsia="Arial" w:hAnsi="Arial"/>
                <w:sz w:val="14"/>
                <w:szCs w:val="14"/>
                <w:b w:val="1"/>
                <w:bCs w:val="1"/>
                <w:color w:val="FFFFFF"/>
                <w:w w:val="98"/>
              </w:rPr>
              <w:t>Target</w:t>
            </w:r>
          </w:p>
        </w:tc>
        <w:tc>
          <w:tcPr>
            <w:tcW w:w="1200" w:type="dxa"/>
            <w:vAlign w:val="bottom"/>
            <w:gridSpan w:val="2"/>
            <w:shd w:val="clear" w:color="auto" w:fill="C00000"/>
          </w:tcPr>
          <w:p>
            <w:pPr>
              <w:ind w:left="220"/>
              <w:spacing w:after="0"/>
              <w:rPr>
                <w:sz w:val="20"/>
                <w:szCs w:val="20"/>
                <w:color w:val="auto"/>
              </w:rPr>
            </w:pPr>
            <w:r>
              <w:rPr>
                <w:rFonts w:ascii="Arial" w:cs="Arial" w:eastAsia="Arial" w:hAnsi="Arial"/>
                <w:sz w:val="14"/>
                <w:szCs w:val="14"/>
                <w:b w:val="1"/>
                <w:bCs w:val="1"/>
                <w:color w:val="FFFFFF"/>
              </w:rPr>
              <w:t>Fiscal 2016</w:t>
            </w:r>
          </w:p>
        </w:tc>
        <w:tc>
          <w:tcPr>
            <w:tcW w:w="14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2760" w:type="dxa"/>
            <w:vAlign w:val="bottom"/>
            <w:shd w:val="clear" w:color="auto" w:fill="C00000"/>
          </w:tcPr>
          <w:p>
            <w:pPr>
              <w:spacing w:after="0"/>
              <w:rPr>
                <w:sz w:val="14"/>
                <w:szCs w:val="14"/>
                <w:color w:val="auto"/>
              </w:rPr>
            </w:pPr>
          </w:p>
        </w:tc>
        <w:tc>
          <w:tcPr>
            <w:tcW w:w="2620" w:type="dxa"/>
            <w:vAlign w:val="bottom"/>
            <w:shd w:val="clear" w:color="auto" w:fill="C00000"/>
          </w:tcPr>
          <w:p>
            <w:pPr>
              <w:jc w:val="right"/>
              <w:ind w:right="77"/>
              <w:spacing w:after="0"/>
              <w:rPr>
                <w:sz w:val="20"/>
                <w:szCs w:val="20"/>
                <w:color w:val="auto"/>
              </w:rPr>
            </w:pPr>
            <w:r>
              <w:rPr>
                <w:rFonts w:ascii="Arial" w:cs="Arial" w:eastAsia="Arial" w:hAnsi="Arial"/>
                <w:sz w:val="14"/>
                <w:szCs w:val="14"/>
                <w:b w:val="1"/>
                <w:bCs w:val="1"/>
                <w:color w:val="FFFFFF"/>
              </w:rPr>
              <w:t>Fiscal 2016</w:t>
            </w:r>
          </w:p>
        </w:tc>
        <w:tc>
          <w:tcPr>
            <w:tcW w:w="1100" w:type="dxa"/>
            <w:vAlign w:val="bottom"/>
            <w:shd w:val="clear" w:color="auto" w:fill="C00000"/>
          </w:tcPr>
          <w:p>
            <w:pPr>
              <w:jc w:val="center"/>
              <w:ind w:right="59"/>
              <w:spacing w:after="0"/>
              <w:rPr>
                <w:sz w:val="20"/>
                <w:szCs w:val="20"/>
                <w:color w:val="auto"/>
              </w:rPr>
            </w:pPr>
            <w:r>
              <w:rPr>
                <w:rFonts w:ascii="Arial" w:cs="Arial" w:eastAsia="Arial" w:hAnsi="Arial"/>
                <w:sz w:val="14"/>
                <w:szCs w:val="14"/>
                <w:b w:val="1"/>
                <w:bCs w:val="1"/>
                <w:color w:val="FFFFFF"/>
              </w:rPr>
              <w:t>Target</w:t>
            </w:r>
          </w:p>
        </w:tc>
        <w:tc>
          <w:tcPr>
            <w:tcW w:w="1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Target Award</w:t>
            </w:r>
          </w:p>
        </w:tc>
        <w:tc>
          <w:tcPr>
            <w:tcW w:w="1140" w:type="dxa"/>
            <w:vAlign w:val="bottom"/>
            <w:gridSpan w:val="2"/>
            <w:shd w:val="clear" w:color="auto" w:fill="C00000"/>
          </w:tcPr>
          <w:p>
            <w:pPr>
              <w:ind w:left="120"/>
              <w:spacing w:after="0"/>
              <w:rPr>
                <w:sz w:val="20"/>
                <w:szCs w:val="20"/>
                <w:color w:val="auto"/>
              </w:rPr>
            </w:pPr>
            <w:r>
              <w:rPr>
                <w:rFonts w:ascii="Arial" w:cs="Arial" w:eastAsia="Arial" w:hAnsi="Arial"/>
                <w:sz w:val="14"/>
                <w:szCs w:val="14"/>
                <w:b w:val="1"/>
                <w:bCs w:val="1"/>
                <w:color w:val="FFFFFF"/>
              </w:rPr>
              <w:t>Annual Cash</w:t>
            </w:r>
          </w:p>
        </w:tc>
        <w:tc>
          <w:tcPr>
            <w:tcW w:w="1200" w:type="dxa"/>
            <w:vAlign w:val="bottom"/>
            <w:gridSpan w:val="2"/>
            <w:shd w:val="clear" w:color="auto" w:fill="C00000"/>
          </w:tcPr>
          <w:p>
            <w:pPr>
              <w:ind w:left="200"/>
              <w:spacing w:after="0"/>
              <w:rPr>
                <w:sz w:val="20"/>
                <w:szCs w:val="20"/>
                <w:color w:val="auto"/>
              </w:rPr>
            </w:pPr>
            <w:r>
              <w:rPr>
                <w:rFonts w:ascii="Arial" w:cs="Arial" w:eastAsia="Arial" w:hAnsi="Arial"/>
                <w:sz w:val="14"/>
                <w:szCs w:val="14"/>
                <w:b w:val="1"/>
                <w:bCs w:val="1"/>
                <w:color w:val="FFFFFF"/>
              </w:rPr>
              <w:t>Target Total</w:t>
            </w:r>
          </w:p>
        </w:tc>
        <w:tc>
          <w:tcPr>
            <w:tcW w:w="14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Compared to</w:t>
            </w:r>
          </w:p>
        </w:tc>
      </w:tr>
      <w:tr>
        <w:trPr>
          <w:trHeight w:val="162"/>
        </w:trPr>
        <w:tc>
          <w:tcPr>
            <w:tcW w:w="2760" w:type="dxa"/>
            <w:vAlign w:val="bottom"/>
            <w:shd w:val="clear" w:color="auto" w:fill="C00000"/>
          </w:tcPr>
          <w:p>
            <w:pPr>
              <w:spacing w:after="0"/>
              <w:rPr>
                <w:sz w:val="14"/>
                <w:szCs w:val="14"/>
                <w:color w:val="auto"/>
              </w:rPr>
            </w:pPr>
          </w:p>
        </w:tc>
        <w:tc>
          <w:tcPr>
            <w:tcW w:w="2620" w:type="dxa"/>
            <w:vAlign w:val="bottom"/>
            <w:shd w:val="clear" w:color="auto" w:fill="C00000"/>
          </w:tcPr>
          <w:p>
            <w:pPr>
              <w:jc w:val="right"/>
              <w:ind w:right="17"/>
              <w:spacing w:after="0"/>
              <w:rPr>
                <w:sz w:val="20"/>
                <w:szCs w:val="20"/>
                <w:color w:val="auto"/>
              </w:rPr>
            </w:pPr>
            <w:r>
              <w:rPr>
                <w:rFonts w:ascii="Arial" w:cs="Arial" w:eastAsia="Arial" w:hAnsi="Arial"/>
                <w:sz w:val="14"/>
                <w:szCs w:val="14"/>
                <w:b w:val="1"/>
                <w:bCs w:val="1"/>
                <w:color w:val="FFFFFF"/>
              </w:rPr>
              <w:t>Annual Base</w:t>
            </w:r>
          </w:p>
        </w:tc>
        <w:tc>
          <w:tcPr>
            <w:tcW w:w="1100" w:type="dxa"/>
            <w:vAlign w:val="bottom"/>
            <w:shd w:val="clear" w:color="auto" w:fill="C00000"/>
          </w:tcPr>
          <w:p>
            <w:pPr>
              <w:jc w:val="center"/>
              <w:ind w:right="59"/>
              <w:spacing w:after="0"/>
              <w:rPr>
                <w:sz w:val="20"/>
                <w:szCs w:val="20"/>
                <w:color w:val="auto"/>
              </w:rPr>
            </w:pPr>
            <w:r>
              <w:rPr>
                <w:rFonts w:ascii="Arial" w:cs="Arial" w:eastAsia="Arial" w:hAnsi="Arial"/>
                <w:sz w:val="14"/>
                <w:szCs w:val="14"/>
                <w:b w:val="1"/>
                <w:bCs w:val="1"/>
                <w:color w:val="FFFFFF"/>
              </w:rPr>
              <w:t>(% of base</w:t>
            </w:r>
          </w:p>
        </w:tc>
        <w:tc>
          <w:tcPr>
            <w:tcW w:w="1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Percentage</w:t>
            </w:r>
          </w:p>
        </w:tc>
        <w:tc>
          <w:tcPr>
            <w:tcW w:w="240" w:type="dxa"/>
            <w:vAlign w:val="bottom"/>
            <w:shd w:val="clear" w:color="auto" w:fill="C00000"/>
          </w:tcPr>
          <w:p>
            <w:pPr>
              <w:spacing w:after="0"/>
              <w:rPr>
                <w:sz w:val="14"/>
                <w:szCs w:val="14"/>
                <w:color w:val="auto"/>
              </w:rPr>
            </w:pPr>
          </w:p>
        </w:tc>
        <w:tc>
          <w:tcPr>
            <w:tcW w:w="900" w:type="dxa"/>
            <w:vAlign w:val="bottom"/>
            <w:shd w:val="clear" w:color="auto" w:fill="C00000"/>
          </w:tcPr>
          <w:p>
            <w:pPr>
              <w:jc w:val="center"/>
              <w:ind w:right="197"/>
              <w:spacing w:after="0"/>
              <w:rPr>
                <w:sz w:val="20"/>
                <w:szCs w:val="20"/>
                <w:color w:val="auto"/>
              </w:rPr>
            </w:pPr>
            <w:r>
              <w:rPr>
                <w:rFonts w:ascii="Arial" w:cs="Arial" w:eastAsia="Arial" w:hAnsi="Arial"/>
                <w:sz w:val="14"/>
                <w:szCs w:val="14"/>
                <w:b w:val="1"/>
                <w:bCs w:val="1"/>
                <w:color w:val="FFFFFF"/>
              </w:rPr>
              <w:t>Incentive</w:t>
            </w:r>
          </w:p>
        </w:tc>
        <w:tc>
          <w:tcPr>
            <w:tcW w:w="300" w:type="dxa"/>
            <w:vAlign w:val="bottom"/>
            <w:shd w:val="clear" w:color="auto" w:fill="C00000"/>
          </w:tcPr>
          <w:p>
            <w:pPr>
              <w:spacing w:after="0"/>
              <w:rPr>
                <w:sz w:val="14"/>
                <w:szCs w:val="14"/>
                <w:color w:val="auto"/>
              </w:rPr>
            </w:pPr>
          </w:p>
        </w:tc>
        <w:tc>
          <w:tcPr>
            <w:tcW w:w="900" w:type="dxa"/>
            <w:vAlign w:val="bottom"/>
            <w:shd w:val="clear" w:color="auto" w:fill="C00000"/>
          </w:tcPr>
          <w:p>
            <w:pPr>
              <w:jc w:val="right"/>
              <w:ind w:right="333"/>
              <w:spacing w:after="0"/>
              <w:rPr>
                <w:sz w:val="20"/>
                <w:szCs w:val="20"/>
                <w:color w:val="auto"/>
              </w:rPr>
            </w:pPr>
            <w:r>
              <w:rPr>
                <w:rFonts w:ascii="Arial" w:cs="Arial" w:eastAsia="Arial" w:hAnsi="Arial"/>
                <w:sz w:val="14"/>
                <w:szCs w:val="14"/>
                <w:b w:val="1"/>
                <w:bCs w:val="1"/>
                <w:color w:val="FFFFFF"/>
              </w:rPr>
              <w:t>Cash</w:t>
            </w:r>
          </w:p>
        </w:tc>
        <w:tc>
          <w:tcPr>
            <w:tcW w:w="146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Market 50</w:t>
            </w:r>
            <w:r>
              <w:rPr>
                <w:rFonts w:ascii="Arial" w:cs="Arial" w:eastAsia="Arial" w:hAnsi="Arial"/>
                <w:sz w:val="18"/>
                <w:szCs w:val="18"/>
                <w:b w:val="1"/>
                <w:bCs w:val="1"/>
                <w:color w:val="FFFFFF"/>
                <w:vertAlign w:val="superscript"/>
              </w:rPr>
              <w:t>th</w:t>
            </w:r>
          </w:p>
        </w:tc>
      </w:tr>
      <w:tr>
        <w:trPr>
          <w:trHeight w:val="189"/>
        </w:trPr>
        <w:tc>
          <w:tcPr>
            <w:tcW w:w="27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2620" w:type="dxa"/>
            <w:vAlign w:val="bottom"/>
            <w:shd w:val="clear" w:color="auto" w:fill="C00000"/>
          </w:tcPr>
          <w:p>
            <w:pPr>
              <w:jc w:val="right"/>
              <w:ind w:right="237"/>
              <w:spacing w:after="0"/>
              <w:rPr>
                <w:sz w:val="20"/>
                <w:szCs w:val="20"/>
                <w:color w:val="auto"/>
              </w:rPr>
            </w:pPr>
            <w:r>
              <w:rPr>
                <w:rFonts w:ascii="Arial" w:cs="Arial" w:eastAsia="Arial" w:hAnsi="Arial"/>
                <w:sz w:val="14"/>
                <w:szCs w:val="14"/>
                <w:b w:val="1"/>
                <w:bCs w:val="1"/>
                <w:color w:val="FFFFFF"/>
              </w:rPr>
              <w:t>Salary</w:t>
            </w:r>
          </w:p>
        </w:tc>
        <w:tc>
          <w:tcPr>
            <w:tcW w:w="1100" w:type="dxa"/>
            <w:vAlign w:val="bottom"/>
            <w:shd w:val="clear" w:color="auto" w:fill="C00000"/>
          </w:tcPr>
          <w:p>
            <w:pPr>
              <w:jc w:val="center"/>
              <w:ind w:right="39"/>
              <w:spacing w:after="0"/>
              <w:rPr>
                <w:sz w:val="20"/>
                <w:szCs w:val="20"/>
                <w:color w:val="auto"/>
              </w:rPr>
            </w:pPr>
            <w:r>
              <w:rPr>
                <w:rFonts w:ascii="Arial" w:cs="Arial" w:eastAsia="Arial" w:hAnsi="Arial"/>
                <w:sz w:val="14"/>
                <w:szCs w:val="14"/>
                <w:b w:val="1"/>
                <w:bCs w:val="1"/>
                <w:color w:val="FFFFFF"/>
              </w:rPr>
              <w:t>salary)</w:t>
            </w:r>
          </w:p>
        </w:tc>
        <w:tc>
          <w:tcPr>
            <w:tcW w:w="1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Change</w:t>
            </w:r>
          </w:p>
        </w:tc>
        <w:tc>
          <w:tcPr>
            <w:tcW w:w="240" w:type="dxa"/>
            <w:vAlign w:val="bottom"/>
            <w:shd w:val="clear" w:color="auto" w:fill="C00000"/>
          </w:tcPr>
          <w:p>
            <w:pPr>
              <w:spacing w:after="0"/>
              <w:rPr>
                <w:sz w:val="16"/>
                <w:szCs w:val="16"/>
                <w:color w:val="auto"/>
              </w:rPr>
            </w:pPr>
          </w:p>
        </w:tc>
        <w:tc>
          <w:tcPr>
            <w:tcW w:w="900" w:type="dxa"/>
            <w:vAlign w:val="bottom"/>
            <w:shd w:val="clear" w:color="auto" w:fill="C00000"/>
          </w:tcPr>
          <w:p>
            <w:pPr>
              <w:jc w:val="center"/>
              <w:ind w:right="177"/>
              <w:spacing w:after="0"/>
              <w:rPr>
                <w:sz w:val="20"/>
                <w:szCs w:val="20"/>
                <w:color w:val="auto"/>
              </w:rPr>
            </w:pPr>
            <w:r>
              <w:rPr>
                <w:rFonts w:ascii="Arial" w:cs="Arial" w:eastAsia="Arial" w:hAnsi="Arial"/>
                <w:sz w:val="14"/>
                <w:szCs w:val="14"/>
                <w:b w:val="1"/>
                <w:bCs w:val="1"/>
                <w:color w:val="FFFFFF"/>
              </w:rPr>
              <w:t>Award</w:t>
            </w:r>
          </w:p>
        </w:tc>
        <w:tc>
          <w:tcPr>
            <w:tcW w:w="1200" w:type="dxa"/>
            <w:vAlign w:val="bottom"/>
            <w:gridSpan w:val="2"/>
            <w:shd w:val="clear" w:color="auto" w:fill="C00000"/>
          </w:tcPr>
          <w:p>
            <w:pPr>
              <w:ind w:left="100"/>
              <w:spacing w:after="0"/>
              <w:rPr>
                <w:sz w:val="20"/>
                <w:szCs w:val="20"/>
                <w:color w:val="auto"/>
              </w:rPr>
            </w:pPr>
            <w:r>
              <w:rPr>
                <w:rFonts w:ascii="Arial" w:cs="Arial" w:eastAsia="Arial" w:hAnsi="Arial"/>
                <w:sz w:val="14"/>
                <w:szCs w:val="14"/>
                <w:b w:val="1"/>
                <w:bCs w:val="1"/>
                <w:color w:val="FFFFFF"/>
              </w:rPr>
              <w:t>Compensation</w:t>
            </w:r>
          </w:p>
        </w:tc>
        <w:tc>
          <w:tcPr>
            <w:tcW w:w="14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Percentile</w:t>
            </w:r>
          </w:p>
        </w:tc>
      </w:tr>
      <w:tr>
        <w:trPr>
          <w:trHeight w:val="203"/>
        </w:trPr>
        <w:tc>
          <w:tcPr>
            <w:tcW w:w="2760" w:type="dxa"/>
            <w:vAlign w:val="bottom"/>
          </w:tcPr>
          <w:p>
            <w:pPr>
              <w:ind w:left="60"/>
              <w:spacing w:after="0" w:line="202" w:lineRule="exact"/>
              <w:rPr>
                <w:sz w:val="20"/>
                <w:szCs w:val="20"/>
                <w:color w:val="auto"/>
              </w:rPr>
            </w:pPr>
            <w:r>
              <w:rPr>
                <w:rFonts w:ascii="Arial" w:cs="Arial" w:eastAsia="Arial" w:hAnsi="Arial"/>
                <w:sz w:val="18"/>
                <w:szCs w:val="18"/>
                <w:color w:val="auto"/>
              </w:rPr>
              <w:t>Mr. Hoffman</w:t>
            </w:r>
          </w:p>
        </w:tc>
        <w:tc>
          <w:tcPr>
            <w:tcW w:w="26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$990,000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1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+ 5%</w:t>
            </w:r>
          </w:p>
        </w:tc>
        <w:tc>
          <w:tcPr>
            <w:tcW w:w="240" w:type="dxa"/>
            <w:vAlign w:val="bottom"/>
          </w:tcPr>
          <w:p>
            <w:pPr>
              <w:ind w:left="1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1,237,500</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7"/>
              </w:rPr>
              <w:t>2,227,500</w:t>
            </w:r>
          </w:p>
        </w:tc>
        <w:tc>
          <w:tcPr>
            <w:tcW w:w="146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13% above</w:t>
            </w:r>
          </w:p>
        </w:tc>
      </w:tr>
      <w:tr>
        <w:trPr>
          <w:trHeight w:val="203"/>
        </w:trPr>
        <w:tc>
          <w:tcPr>
            <w:tcW w:w="27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Ms. Peterson</w:t>
            </w:r>
          </w:p>
        </w:tc>
        <w:tc>
          <w:tcPr>
            <w:tcW w:w="2620" w:type="dxa"/>
            <w:vAlign w:val="bottom"/>
            <w:shd w:val="clear" w:color="auto" w:fill="D9D9D9"/>
          </w:tcPr>
          <w:p>
            <w:pPr>
              <w:jc w:val="right"/>
              <w:ind w:right="17"/>
              <w:spacing w:after="0" w:line="202" w:lineRule="exact"/>
              <w:rPr>
                <w:sz w:val="20"/>
                <w:szCs w:val="20"/>
                <w:color w:val="auto"/>
              </w:rPr>
            </w:pPr>
            <w:r>
              <w:rPr>
                <w:rFonts w:ascii="Arial" w:cs="Arial" w:eastAsia="Arial" w:hAnsi="Arial"/>
                <w:sz w:val="18"/>
                <w:szCs w:val="18"/>
                <w:color w:val="auto"/>
              </w:rPr>
              <w:t>$485,000</w:t>
            </w: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75%</w:t>
            </w:r>
          </w:p>
        </w:tc>
        <w:tc>
          <w:tcPr>
            <w:tcW w:w="1140" w:type="dxa"/>
            <w:vAlign w:val="bottom"/>
            <w:shd w:val="clear" w:color="auto" w:fill="D9D9D9"/>
          </w:tcPr>
          <w:p>
            <w:pPr>
              <w:jc w:val="right"/>
              <w:ind w:right="38"/>
              <w:spacing w:after="0" w:line="202" w:lineRule="exact"/>
              <w:rPr>
                <w:sz w:val="20"/>
                <w:szCs w:val="20"/>
                <w:color w:val="auto"/>
              </w:rPr>
            </w:pPr>
            <w:r>
              <w:rPr>
                <w:rFonts w:ascii="Arial" w:cs="Arial" w:eastAsia="Arial" w:hAnsi="Arial"/>
                <w:sz w:val="18"/>
                <w:szCs w:val="18"/>
                <w:color w:val="auto"/>
              </w:rPr>
              <w:t>+ 5%</w:t>
            </w:r>
          </w:p>
        </w:tc>
        <w:tc>
          <w:tcPr>
            <w:tcW w:w="2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9D9D9"/>
          </w:tcPr>
          <w:p>
            <w:pPr>
              <w:jc w:val="right"/>
              <w:ind w:right="17"/>
              <w:spacing w:after="0" w:line="202" w:lineRule="exact"/>
              <w:rPr>
                <w:sz w:val="20"/>
                <w:szCs w:val="20"/>
                <w:color w:val="auto"/>
              </w:rPr>
            </w:pPr>
            <w:r>
              <w:rPr>
                <w:rFonts w:ascii="Arial" w:cs="Arial" w:eastAsia="Arial" w:hAnsi="Arial"/>
                <w:sz w:val="18"/>
                <w:szCs w:val="18"/>
                <w:color w:val="auto"/>
              </w:rPr>
              <w:t>363,750</w:t>
            </w:r>
          </w:p>
        </w:tc>
        <w:tc>
          <w:tcPr>
            <w:tcW w:w="300" w:type="dxa"/>
            <w:vAlign w:val="bottom"/>
            <w:shd w:val="clear" w:color="auto" w:fill="D9D9D9"/>
          </w:tcPr>
          <w:p>
            <w:pPr>
              <w:ind w:left="20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9D9D9"/>
          </w:tcPr>
          <w:p>
            <w:pPr>
              <w:jc w:val="right"/>
              <w:ind w:right="13"/>
              <w:spacing w:after="0" w:line="202" w:lineRule="exact"/>
              <w:rPr>
                <w:sz w:val="20"/>
                <w:szCs w:val="20"/>
                <w:color w:val="auto"/>
              </w:rPr>
            </w:pPr>
            <w:r>
              <w:rPr>
                <w:rFonts w:ascii="Arial" w:cs="Arial" w:eastAsia="Arial" w:hAnsi="Arial"/>
                <w:sz w:val="18"/>
                <w:szCs w:val="18"/>
                <w:color w:val="auto"/>
              </w:rPr>
              <w:t>848,750</w:t>
            </w:r>
          </w:p>
        </w:tc>
        <w:tc>
          <w:tcPr>
            <w:tcW w:w="1460" w:type="dxa"/>
            <w:vAlign w:val="bottom"/>
            <w:shd w:val="clear" w:color="auto" w:fill="D9D9D9"/>
          </w:tcPr>
          <w:p>
            <w:pPr>
              <w:jc w:val="right"/>
              <w:ind w:right="21"/>
              <w:spacing w:after="0" w:line="202" w:lineRule="exact"/>
              <w:rPr>
                <w:sz w:val="20"/>
                <w:szCs w:val="20"/>
                <w:color w:val="auto"/>
              </w:rPr>
            </w:pPr>
            <w:r>
              <w:rPr>
                <w:rFonts w:ascii="Arial" w:cs="Arial" w:eastAsia="Arial" w:hAnsi="Arial"/>
                <w:sz w:val="18"/>
                <w:szCs w:val="18"/>
                <w:color w:val="auto"/>
              </w:rPr>
              <w:t>At market</w:t>
            </w:r>
          </w:p>
        </w:tc>
      </w:tr>
      <w:tr>
        <w:trPr>
          <w:trHeight w:val="203"/>
        </w:trPr>
        <w:tc>
          <w:tcPr>
            <w:tcW w:w="2760" w:type="dxa"/>
            <w:vAlign w:val="bottom"/>
          </w:tcPr>
          <w:p>
            <w:pPr>
              <w:ind w:left="60"/>
              <w:spacing w:after="0" w:line="202" w:lineRule="exact"/>
              <w:rPr>
                <w:sz w:val="20"/>
                <w:szCs w:val="20"/>
                <w:color w:val="auto"/>
              </w:rPr>
            </w:pPr>
            <w:r>
              <w:rPr>
                <w:rFonts w:ascii="Arial" w:cs="Arial" w:eastAsia="Arial" w:hAnsi="Arial"/>
                <w:sz w:val="18"/>
                <w:szCs w:val="18"/>
                <w:color w:val="auto"/>
              </w:rPr>
              <w:t>Mr. Olson</w:t>
            </w:r>
          </w:p>
        </w:tc>
        <w:tc>
          <w:tcPr>
            <w:tcW w:w="26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$500,000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1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+ 20%</w:t>
            </w:r>
          </w:p>
        </w:tc>
        <w:tc>
          <w:tcPr>
            <w:tcW w:w="240" w:type="dxa"/>
            <w:vAlign w:val="bottom"/>
          </w:tcPr>
          <w:p>
            <w:pPr>
              <w:ind w:left="1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400,000</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900,000</w:t>
            </w:r>
          </w:p>
        </w:tc>
        <w:tc>
          <w:tcPr>
            <w:tcW w:w="146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16% below</w:t>
            </w:r>
          </w:p>
        </w:tc>
      </w:tr>
      <w:tr>
        <w:trPr>
          <w:trHeight w:val="203"/>
        </w:trPr>
        <w:tc>
          <w:tcPr>
            <w:tcW w:w="27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Mr. Brown</w:t>
            </w:r>
          </w:p>
        </w:tc>
        <w:tc>
          <w:tcPr>
            <w:tcW w:w="2620" w:type="dxa"/>
            <w:vAlign w:val="bottom"/>
            <w:shd w:val="clear" w:color="auto" w:fill="D9D9D9"/>
          </w:tcPr>
          <w:p>
            <w:pPr>
              <w:jc w:val="right"/>
              <w:ind w:right="17"/>
              <w:spacing w:after="0" w:line="202" w:lineRule="exact"/>
              <w:rPr>
                <w:sz w:val="20"/>
                <w:szCs w:val="20"/>
                <w:color w:val="auto"/>
              </w:rPr>
            </w:pPr>
            <w:r>
              <w:rPr>
                <w:rFonts w:ascii="Arial" w:cs="Arial" w:eastAsia="Arial" w:hAnsi="Arial"/>
                <w:sz w:val="18"/>
                <w:szCs w:val="18"/>
                <w:color w:val="auto"/>
              </w:rPr>
              <w:t>$410,000</w:t>
            </w:r>
          </w:p>
        </w:tc>
        <w:tc>
          <w:tcPr>
            <w:tcW w:w="11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65%</w:t>
            </w:r>
          </w:p>
        </w:tc>
        <w:tc>
          <w:tcPr>
            <w:tcW w:w="1140" w:type="dxa"/>
            <w:vAlign w:val="bottom"/>
            <w:shd w:val="clear" w:color="auto" w:fill="D9D9D9"/>
          </w:tcPr>
          <w:p>
            <w:pPr>
              <w:jc w:val="right"/>
              <w:ind w:right="38"/>
              <w:spacing w:after="0" w:line="202" w:lineRule="exact"/>
              <w:rPr>
                <w:sz w:val="20"/>
                <w:szCs w:val="20"/>
                <w:color w:val="auto"/>
              </w:rPr>
            </w:pPr>
            <w:r>
              <w:rPr>
                <w:rFonts w:ascii="Arial" w:cs="Arial" w:eastAsia="Arial" w:hAnsi="Arial"/>
                <w:sz w:val="18"/>
                <w:szCs w:val="18"/>
                <w:color w:val="auto"/>
              </w:rPr>
              <w:t>+ 5%</w:t>
            </w:r>
          </w:p>
        </w:tc>
        <w:tc>
          <w:tcPr>
            <w:tcW w:w="24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9D9D9"/>
          </w:tcPr>
          <w:p>
            <w:pPr>
              <w:jc w:val="right"/>
              <w:ind w:right="17"/>
              <w:spacing w:after="0" w:line="202" w:lineRule="exact"/>
              <w:rPr>
                <w:sz w:val="20"/>
                <w:szCs w:val="20"/>
                <w:color w:val="auto"/>
              </w:rPr>
            </w:pPr>
            <w:r>
              <w:rPr>
                <w:rFonts w:ascii="Arial" w:cs="Arial" w:eastAsia="Arial" w:hAnsi="Arial"/>
                <w:sz w:val="18"/>
                <w:szCs w:val="18"/>
                <w:color w:val="auto"/>
              </w:rPr>
              <w:t>266,500</w:t>
            </w:r>
          </w:p>
        </w:tc>
        <w:tc>
          <w:tcPr>
            <w:tcW w:w="300" w:type="dxa"/>
            <w:vAlign w:val="bottom"/>
            <w:shd w:val="clear" w:color="auto" w:fill="D9D9D9"/>
          </w:tcPr>
          <w:p>
            <w:pPr>
              <w:ind w:left="20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9D9D9"/>
          </w:tcPr>
          <w:p>
            <w:pPr>
              <w:jc w:val="right"/>
              <w:ind w:right="13"/>
              <w:spacing w:after="0" w:line="202" w:lineRule="exact"/>
              <w:rPr>
                <w:sz w:val="20"/>
                <w:szCs w:val="20"/>
                <w:color w:val="auto"/>
              </w:rPr>
            </w:pPr>
            <w:r>
              <w:rPr>
                <w:rFonts w:ascii="Arial" w:cs="Arial" w:eastAsia="Arial" w:hAnsi="Arial"/>
                <w:sz w:val="18"/>
                <w:szCs w:val="18"/>
                <w:color w:val="auto"/>
              </w:rPr>
              <w:t>676,500</w:t>
            </w:r>
          </w:p>
        </w:tc>
        <w:tc>
          <w:tcPr>
            <w:tcW w:w="1460" w:type="dxa"/>
            <w:vAlign w:val="bottom"/>
            <w:shd w:val="clear" w:color="auto" w:fill="D9D9D9"/>
          </w:tcPr>
          <w:p>
            <w:pPr>
              <w:jc w:val="right"/>
              <w:ind w:right="21"/>
              <w:spacing w:after="0" w:line="202" w:lineRule="exact"/>
              <w:rPr>
                <w:sz w:val="20"/>
                <w:szCs w:val="20"/>
                <w:color w:val="auto"/>
              </w:rPr>
            </w:pPr>
            <w:r>
              <w:rPr>
                <w:rFonts w:ascii="Arial" w:cs="Arial" w:eastAsia="Arial" w:hAnsi="Arial"/>
                <w:sz w:val="18"/>
                <w:szCs w:val="18"/>
                <w:color w:val="auto"/>
              </w:rPr>
              <w:t>5% below</w:t>
            </w:r>
          </w:p>
        </w:tc>
      </w:tr>
      <w:tr>
        <w:trPr>
          <w:trHeight w:val="217"/>
        </w:trPr>
        <w:tc>
          <w:tcPr>
            <w:tcW w:w="2760" w:type="dxa"/>
            <w:vAlign w:val="bottom"/>
          </w:tcPr>
          <w:p>
            <w:pPr>
              <w:ind w:left="60"/>
              <w:spacing w:after="0"/>
              <w:rPr>
                <w:sz w:val="20"/>
                <w:szCs w:val="20"/>
                <w:color w:val="auto"/>
              </w:rPr>
            </w:pPr>
            <w:r>
              <w:rPr>
                <w:rFonts w:ascii="Arial" w:cs="Arial" w:eastAsia="Arial" w:hAnsi="Arial"/>
                <w:sz w:val="18"/>
                <w:szCs w:val="18"/>
                <w:color w:val="auto"/>
              </w:rPr>
              <w:t>Mr. Dordell</w:t>
            </w:r>
          </w:p>
        </w:tc>
        <w:tc>
          <w:tcPr>
            <w:tcW w:w="2620" w:type="dxa"/>
            <w:vAlign w:val="bottom"/>
          </w:tcPr>
          <w:p>
            <w:pPr>
              <w:jc w:val="right"/>
              <w:ind w:right="17"/>
              <w:spacing w:after="0"/>
              <w:rPr>
                <w:sz w:val="20"/>
                <w:szCs w:val="20"/>
                <w:color w:val="auto"/>
              </w:rPr>
            </w:pPr>
            <w:r>
              <w:rPr>
                <w:rFonts w:ascii="Arial" w:cs="Arial" w:eastAsia="Arial" w:hAnsi="Arial"/>
                <w:sz w:val="18"/>
                <w:szCs w:val="18"/>
                <w:color w:val="auto"/>
              </w:rPr>
              <w:t>$410,000</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No change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225,500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635,500</w:t>
            </w: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4% below</w:t>
            </w:r>
          </w:p>
        </w:tc>
      </w:tr>
    </w:tbl>
    <w:p>
      <w:pPr>
        <w:spacing w:after="0" w:line="201"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We believe that the fiscal 2016 target annual cash incentive awards reflect market competitive annual cash incentive opportunities and that the differentiation of target awards among our named executive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officers was appropriate given the scope and responsibility of their respective positions. The change in the target award for Mr. Hoffman was intended to compensate him for his experience, performance and tenure in the role. The change in the target award for Ms. Peterson and Mr. Brown was intended to bring their target total cash compensation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In September 2015, in connection with his promotion to President and COO, the Committee established a target annual cash incentive award of 80% of fiscal year base salary for Mr. Olson, which was effective as of September 1, 2015. This target annual cash incentive award of 80% of fiscal year base salary remained in effect throughout fiscal 2016.</w:t>
      </w:r>
    </w:p>
    <w:p>
      <w:pPr>
        <w:spacing w:after="0" w:line="203"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The target awards resulted in fiscal 2016 target total cash compensation being at or slightly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Ms. Peterson and Messrs. Brown and Dordell. The target award for Mr. Hoffman resulted in his fiscal 2016 target total cash compensation being above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target award for Mr. Olson resulted in his fiscal 2016 target total cash compensation being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Details regarding actual total cash compensation for fiscal 2016 can be found under “Annual Cash Incentives— Actual Cash Compensation Discussion and Analysis” beginning on page 43.</w:t>
      </w:r>
    </w:p>
    <w:p>
      <w:pPr>
        <w:spacing w:after="0" w:line="187"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 weightings,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adjustment events, if any, for the annual cash incentive awards. We believe that in order to motivate our executive officers to achieve annual financial business goals, it is important to select performance measures designed to motivate our executive officers to achieve our annual financial plan, as well as drive shareholder value. Key drivers in our annual financial plan for fiscal 2016 included revenue growth, profitability and asset efficiency. Accordingly, the corporate performance measures for fiscal 2016 were corporate revenue growth, diluted net EPS and corporate average net assets turns, and the division performance measures were division revenue growth, division controllable profit contribution, or CPC, and division working capital as a percent of sales. Division CPC is defined as divisional operating earnings plus divisional other income, net. Division working capital as a percent of sales is defined as the twelve month average divisional receivables divided by divisional net sales plus the twelve month average divisional inventories divided by divisional net sales minus the total Company accounts payables divided by the total Company net sales.</w:t>
      </w:r>
    </w:p>
    <w:p>
      <w:pPr>
        <w:spacing w:after="0" w:line="20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To further enhance focus on asset efficiency for fiscal 2016, the Committee increased the weighting of corporate average net assets turns in the corporate performance measures and increased the weighting of division working capital as a percent of sales in the division performance measures, thereby decreasing the weighting on EPS and CPC performance measures. The corporate and division performance measures and weightings for fiscal 2016, as approved by the Committee,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Corporate Performance Measures</w:t>
            </w:r>
          </w:p>
        </w:tc>
        <w:tc>
          <w:tcPr>
            <w:tcW w:w="6760" w:type="dxa"/>
            <w:vAlign w:val="bottom"/>
            <w:shd w:val="clear" w:color="auto" w:fill="C00000"/>
          </w:tcPr>
          <w:p>
            <w:pPr>
              <w:ind w:left="1400"/>
              <w:spacing w:after="0"/>
              <w:rPr>
                <w:sz w:val="20"/>
                <w:szCs w:val="20"/>
                <w:color w:val="auto"/>
              </w:rPr>
            </w:pPr>
            <w:r>
              <w:rPr>
                <w:rFonts w:ascii="Arial" w:cs="Arial" w:eastAsia="Arial" w:hAnsi="Arial"/>
                <w:sz w:val="14"/>
                <w:szCs w:val="14"/>
                <w:b w:val="1"/>
                <w:bCs w:val="1"/>
                <w:color w:val="FFFFFF"/>
              </w:rPr>
              <w:t>Division Performance Measures</w:t>
            </w: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8"/>
                <w:szCs w:val="18"/>
                <w:color w:val="auto"/>
              </w:rPr>
              <w:t>30% corporate revenue growth</w:t>
            </w:r>
          </w:p>
        </w:tc>
        <w:tc>
          <w:tcPr>
            <w:tcW w:w="6760" w:type="dxa"/>
            <w:vAlign w:val="bottom"/>
          </w:tcPr>
          <w:p>
            <w:pPr>
              <w:ind w:left="1400"/>
              <w:spacing w:after="0" w:line="202" w:lineRule="exact"/>
              <w:rPr>
                <w:sz w:val="20"/>
                <w:szCs w:val="20"/>
                <w:color w:val="auto"/>
              </w:rPr>
            </w:pPr>
            <w:r>
              <w:rPr>
                <w:rFonts w:ascii="Arial" w:cs="Arial" w:eastAsia="Arial" w:hAnsi="Arial"/>
                <w:sz w:val="18"/>
                <w:szCs w:val="18"/>
                <w:color w:val="auto"/>
              </w:rPr>
              <w:t>30% division revenue growth</w:t>
            </w:r>
          </w:p>
        </w:tc>
      </w:tr>
      <w:tr>
        <w:trPr>
          <w:trHeight w:val="203"/>
        </w:trPr>
        <w:tc>
          <w:tcPr>
            <w:tcW w:w="466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40% diluted net EPS</w:t>
            </w:r>
          </w:p>
        </w:tc>
        <w:tc>
          <w:tcPr>
            <w:tcW w:w="6760" w:type="dxa"/>
            <w:vAlign w:val="bottom"/>
            <w:shd w:val="clear" w:color="auto" w:fill="D9D9D9"/>
          </w:tcPr>
          <w:p>
            <w:pPr>
              <w:ind w:left="1400"/>
              <w:spacing w:after="0" w:line="202" w:lineRule="exact"/>
              <w:rPr>
                <w:sz w:val="20"/>
                <w:szCs w:val="20"/>
                <w:color w:val="auto"/>
              </w:rPr>
            </w:pPr>
            <w:r>
              <w:rPr>
                <w:rFonts w:ascii="Arial" w:cs="Arial" w:eastAsia="Arial" w:hAnsi="Arial"/>
                <w:sz w:val="18"/>
                <w:szCs w:val="18"/>
                <w:color w:val="auto"/>
              </w:rPr>
              <w:t>40% division CPC</w:t>
            </w:r>
          </w:p>
        </w:tc>
      </w:tr>
      <w:tr>
        <w:trPr>
          <w:trHeight w:val="217"/>
        </w:trPr>
        <w:tc>
          <w:tcPr>
            <w:tcW w:w="4660" w:type="dxa"/>
            <w:vAlign w:val="bottom"/>
          </w:tcPr>
          <w:p>
            <w:pPr>
              <w:ind w:left="60"/>
              <w:spacing w:after="0"/>
              <w:rPr>
                <w:sz w:val="20"/>
                <w:szCs w:val="20"/>
                <w:color w:val="auto"/>
              </w:rPr>
            </w:pPr>
            <w:r>
              <w:rPr>
                <w:rFonts w:ascii="Arial" w:cs="Arial" w:eastAsia="Arial" w:hAnsi="Arial"/>
                <w:sz w:val="18"/>
                <w:szCs w:val="18"/>
                <w:color w:val="auto"/>
              </w:rPr>
              <w:t>30% corporate average net assets turns</w:t>
            </w:r>
          </w:p>
        </w:tc>
        <w:tc>
          <w:tcPr>
            <w:tcW w:w="6760" w:type="dxa"/>
            <w:vAlign w:val="bottom"/>
          </w:tcPr>
          <w:p>
            <w:pPr>
              <w:ind w:left="1400"/>
              <w:spacing w:after="0"/>
              <w:rPr>
                <w:sz w:val="20"/>
                <w:szCs w:val="20"/>
                <w:color w:val="auto"/>
              </w:rPr>
            </w:pPr>
            <w:r>
              <w:rPr>
                <w:rFonts w:ascii="Arial" w:cs="Arial" w:eastAsia="Arial" w:hAnsi="Arial"/>
                <w:sz w:val="18"/>
                <w:szCs w:val="18"/>
                <w:color w:val="auto"/>
              </w:rPr>
              <w:t>30% division working capital as a percent of sales</w:t>
            </w:r>
          </w:p>
        </w:tc>
      </w:tr>
    </w:tbl>
    <w:p>
      <w:pPr>
        <w:spacing w:after="0" w:line="201" w:lineRule="exact"/>
        <w:rPr>
          <w:sz w:val="20"/>
          <w:szCs w:val="20"/>
          <w:color w:val="auto"/>
        </w:rPr>
      </w:pPr>
    </w:p>
    <w:p>
      <w:pPr>
        <w:ind w:right="100" w:firstLine="456"/>
        <w:spacing w:after="0"/>
        <w:rPr>
          <w:sz w:val="20"/>
          <w:szCs w:val="20"/>
          <w:color w:val="auto"/>
        </w:rPr>
      </w:pPr>
      <w:r>
        <w:rPr>
          <w:rFonts w:ascii="Arial" w:cs="Arial" w:eastAsia="Arial" w:hAnsi="Arial"/>
          <w:sz w:val="18"/>
          <w:szCs w:val="18"/>
          <w:color w:val="auto"/>
        </w:rPr>
        <w:t>Our executive officers with all corporate responsibilities had 100% of their annual cash incentive tied to corporate performance. Our executive officers with divisional responsibility generally had 50% of their annual cash incentive tied to division performance and the remaining portion tied to corporate performance.</w:t>
      </w:r>
    </w:p>
    <w:p>
      <w:pPr>
        <w:spacing w:after="0" w:line="203" w:lineRule="exact"/>
        <w:rPr>
          <w:sz w:val="20"/>
          <w:szCs w:val="20"/>
          <w:color w:val="auto"/>
        </w:rPr>
      </w:pPr>
    </w:p>
    <w:p>
      <w:pPr>
        <w:jc w:val="both"/>
        <w:ind w:right="380" w:firstLine="456"/>
        <w:spacing w:after="0" w:line="239" w:lineRule="auto"/>
        <w:rPr>
          <w:sz w:val="20"/>
          <w:szCs w:val="20"/>
          <w:color w:val="auto"/>
        </w:rPr>
      </w:pPr>
      <w:r>
        <w:rPr>
          <w:rFonts w:ascii="Arial" w:cs="Arial" w:eastAsia="Arial" w:hAnsi="Arial"/>
          <w:sz w:val="18"/>
          <w:szCs w:val="18"/>
          <w:color w:val="auto"/>
        </w:rPr>
        <w:t>For fiscal 2016, threshold, target and maximum goals were established for each corporate and division performance measure. Target levels of performance were established based on our annual financial business plan, which takes into account our prior fiscal year financial business results, our competitive situation and the general outlook for our business during the current fiscal year. Additionally, the following thresholds affect whether or not a corporate and/or division payout is made:</w:t>
      </w:r>
    </w:p>
    <w:p>
      <w:pPr>
        <w:spacing w:after="0" w:line="229" w:lineRule="exact"/>
        <w:rPr>
          <w:sz w:val="20"/>
          <w:szCs w:val="20"/>
          <w:color w:val="auto"/>
        </w:rPr>
      </w:pPr>
    </w:p>
    <w:p>
      <w:pPr>
        <w:ind w:left="780" w:right="680" w:hanging="326"/>
        <w:spacing w:after="0" w:line="24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diluted net EPS threshold goal, which was set at 80% of plan, must have been met in order for there to be any payout for corporate participants and any corporate portion of the payout for division participants; and</w:t>
      </w:r>
    </w:p>
    <w:p>
      <w:pPr>
        <w:spacing w:after="0" w:line="223"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division participants to receive a division payout for the respective individual divisions over which they have responsibility, CPC for the respective division must have been at least 80% of the plan established for that division, or the threshold level of performance.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As provided for and in accordance with our Amended and Restated 2010 Plan, the Committee also established specific adjustment events for determining corporate performance payouts and division performance payouts under the fiscal 2016 annual cash incentive awards. With respect to corporate adjustment events, the impact of an acquisition on the fiscal 2016 annual cash incentive award payouts was determined by the size of the acquisition based on projected annual revenue for the first twelve months following the closing of an acquisition, as follows:</w:t>
      </w:r>
    </w:p>
    <w:p>
      <w:pPr>
        <w:spacing w:after="0" w:line="230" w:lineRule="exact"/>
        <w:rPr>
          <w:sz w:val="20"/>
          <w:szCs w:val="20"/>
          <w:color w:val="auto"/>
        </w:rPr>
      </w:pPr>
    </w:p>
    <w:p>
      <w:pPr>
        <w:ind w:left="780" w:right="260" w:hanging="326"/>
        <w:spacing w:after="0" w:line="24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any acquisition greater than $10 million was to be excluded from the payout calculation, unless such acquisition was included in the fiscal 2016 goals; and</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any acquisition less than $10 million was to be included in the payout calculation.</w:t>
      </w:r>
    </w:p>
    <w:p>
      <w:pPr>
        <w:spacing w:after="0" w:line="21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Additionally, any externally driven changes in accounting principles and standards were to be excluded if the cumulative net impact on the payout of all such accounting adjustments affected the award payout by more than 2%. With respect to division adjustment events, the impact of any acquisition was excluded from the payout calculation and the impact of any currency fluctuations from assumed foreign currency exchange rate plan levels was excluded from the payout calculation.</w:t>
      </w:r>
    </w:p>
    <w:p>
      <w:pPr>
        <w:spacing w:after="0" w:line="184" w:lineRule="exact"/>
        <w:rPr>
          <w:sz w:val="20"/>
          <w:szCs w:val="20"/>
          <w:color w:val="auto"/>
        </w:rPr>
      </w:pPr>
    </w:p>
    <w:p>
      <w:pPr>
        <w:ind w:right="80" w:firstLine="456"/>
        <w:spacing w:after="0" w:line="245" w:lineRule="auto"/>
        <w:rPr>
          <w:sz w:val="20"/>
          <w:szCs w:val="20"/>
          <w:color w:val="auto"/>
        </w:rPr>
      </w:pPr>
      <w:r>
        <w:rPr>
          <w:rFonts w:ascii="Arial" w:cs="Arial" w:eastAsia="Arial" w:hAnsi="Arial"/>
          <w:sz w:val="18"/>
          <w:szCs w:val="18"/>
          <w:i w:val="1"/>
          <w:iCs w:val="1"/>
          <w:color w:val="auto"/>
        </w:rPr>
        <w:t xml:space="preserve">Corporate Performance Measures and Goals. </w:t>
      </w:r>
      <w:r>
        <w:rPr>
          <w:rFonts w:ascii="Arial" w:cs="Arial" w:eastAsia="Arial" w:hAnsi="Arial"/>
          <w:sz w:val="18"/>
          <w:szCs w:val="18"/>
          <w:color w:val="auto"/>
        </w:rPr>
        <w:t>The table below summarizes the fiscal 2016 corporate performance measures and goals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our executive officers. In fiscal 2016, there were no corporate adjustment events to be applied for determining corporate performance payouts. For our executive officers with divisional responsibility, 50% of their annual cash incentive award was based on the achievement of the corporate goals listed in the table below. The remaining 50% was based on the achievement of division goals.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Corporate:</w:t>
            </w:r>
          </w:p>
        </w:tc>
        <w:tc>
          <w:tcPr>
            <w:tcW w:w="2280" w:type="dxa"/>
            <w:vAlign w:val="bottom"/>
            <w:shd w:val="clear" w:color="auto" w:fill="C00000"/>
          </w:tcPr>
          <w:p>
            <w:pPr>
              <w:jc w:val="center"/>
              <w:ind w:left="937"/>
              <w:spacing w:after="0"/>
              <w:rPr>
                <w:sz w:val="20"/>
                <w:szCs w:val="20"/>
                <w:color w:val="auto"/>
              </w:rPr>
            </w:pPr>
            <w:r>
              <w:rPr>
                <w:rFonts w:ascii="Arial" w:cs="Arial" w:eastAsia="Arial" w:hAnsi="Arial"/>
                <w:sz w:val="14"/>
                <w:szCs w:val="14"/>
                <w:b w:val="1"/>
                <w:bCs w:val="1"/>
                <w:color w:val="FFFFFF"/>
              </w:rPr>
              <w:t>Threshold</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Maximum</w:t>
            </w:r>
          </w:p>
        </w:tc>
        <w:tc>
          <w:tcPr>
            <w:tcW w:w="2060" w:type="dxa"/>
            <w:vAlign w:val="bottom"/>
            <w:shd w:val="clear" w:color="auto" w:fill="C00000"/>
          </w:tcPr>
          <w:p>
            <w:pPr>
              <w:spacing w:after="0"/>
              <w:rPr>
                <w:sz w:val="14"/>
                <w:szCs w:val="14"/>
                <w:color w:val="auto"/>
              </w:rPr>
            </w:pPr>
          </w:p>
        </w:tc>
      </w:tr>
      <w:tr>
        <w:trPr>
          <w:trHeight w:val="175"/>
        </w:trPr>
        <w:tc>
          <w:tcPr>
            <w:tcW w:w="444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Fiscal 2016 Performance Measures</w:t>
            </w:r>
          </w:p>
        </w:tc>
        <w:tc>
          <w:tcPr>
            <w:tcW w:w="2280" w:type="dxa"/>
            <w:vAlign w:val="bottom"/>
            <w:shd w:val="clear" w:color="auto" w:fill="C00000"/>
          </w:tcPr>
          <w:p>
            <w:pPr>
              <w:jc w:val="center"/>
              <w:ind w:left="937"/>
              <w:spacing w:after="0"/>
              <w:rPr>
                <w:sz w:val="20"/>
                <w:szCs w:val="20"/>
                <w:color w:val="auto"/>
              </w:rPr>
            </w:pPr>
            <w:r>
              <w:rPr>
                <w:rFonts w:ascii="Arial" w:cs="Arial" w:eastAsia="Arial" w:hAnsi="Arial"/>
                <w:sz w:val="14"/>
                <w:szCs w:val="14"/>
                <w:b w:val="1"/>
                <w:bCs w:val="1"/>
                <w:color w:val="FFFFFF"/>
              </w:rPr>
              <w:t>(40% payout)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(200% payout)</w:t>
            </w:r>
          </w:p>
        </w:tc>
        <w:tc>
          <w:tcPr>
            <w:tcW w:w="2060" w:type="dxa"/>
            <w:vAlign w:val="bottom"/>
            <w:shd w:val="clear" w:color="auto" w:fill="C00000"/>
          </w:tcPr>
          <w:p>
            <w:pPr>
              <w:jc w:val="center"/>
              <w:ind w:left="92"/>
              <w:spacing w:after="0"/>
              <w:rPr>
                <w:sz w:val="20"/>
                <w:szCs w:val="20"/>
                <w:color w:val="auto"/>
              </w:rPr>
            </w:pPr>
            <w:r>
              <w:rPr>
                <w:rFonts w:ascii="Arial" w:cs="Arial" w:eastAsia="Arial" w:hAnsi="Arial"/>
                <w:sz w:val="14"/>
                <w:szCs w:val="14"/>
                <w:b w:val="1"/>
                <w:bCs w:val="1"/>
                <w:color w:val="FFFFFF"/>
              </w:rPr>
              <w:t>Actual</w:t>
            </w:r>
          </w:p>
        </w:tc>
      </w:tr>
      <w:tr>
        <w:trPr>
          <w:trHeight w:val="202"/>
        </w:trPr>
        <w:tc>
          <w:tcPr>
            <w:tcW w:w="4440" w:type="dxa"/>
            <w:vAlign w:val="bottom"/>
          </w:tcPr>
          <w:p>
            <w:pPr>
              <w:ind w:left="60"/>
              <w:spacing w:after="0" w:line="201" w:lineRule="exact"/>
              <w:rPr>
                <w:sz w:val="20"/>
                <w:szCs w:val="20"/>
                <w:color w:val="auto"/>
              </w:rPr>
            </w:pPr>
            <w:r>
              <w:rPr>
                <w:rFonts w:ascii="Arial" w:cs="Arial" w:eastAsia="Arial" w:hAnsi="Arial"/>
                <w:sz w:val="18"/>
                <w:szCs w:val="18"/>
                <w:color w:val="auto"/>
              </w:rPr>
              <w:t>30% corporate revenue growth</w:t>
            </w:r>
          </w:p>
        </w:tc>
        <w:tc>
          <w:tcPr>
            <w:tcW w:w="228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9"/>
              </w:rPr>
              <w:t>3.0% –</w:t>
            </w:r>
          </w:p>
        </w:tc>
        <w:tc>
          <w:tcPr>
            <w:tcW w:w="1320" w:type="dxa"/>
            <w:vAlign w:val="bottom"/>
          </w:tcPr>
          <w:p>
            <w:pPr>
              <w:spacing w:after="0"/>
              <w:rPr>
                <w:sz w:val="17"/>
                <w:szCs w:val="17"/>
                <w:color w:val="auto"/>
              </w:rPr>
            </w:pPr>
          </w:p>
        </w:tc>
        <w:tc>
          <w:tcPr>
            <w:tcW w:w="2060" w:type="dxa"/>
            <w:vAlign w:val="bottom"/>
          </w:tcPr>
          <w:p>
            <w:pPr>
              <w:jc w:val="right"/>
              <w:ind w:right="672"/>
              <w:spacing w:after="0" w:line="201" w:lineRule="exact"/>
              <w:rPr>
                <w:sz w:val="20"/>
                <w:szCs w:val="20"/>
                <w:color w:val="auto"/>
              </w:rPr>
            </w:pPr>
            <w:r>
              <w:rPr>
                <w:rFonts w:ascii="Arial" w:cs="Arial" w:eastAsia="Arial" w:hAnsi="Arial"/>
                <w:sz w:val="18"/>
                <w:szCs w:val="18"/>
                <w:color w:val="auto"/>
              </w:rPr>
              <w:t>0.1%</w:t>
            </w:r>
          </w:p>
        </w:tc>
      </w:tr>
      <w:tr>
        <w:trPr>
          <w:trHeight w:val="203"/>
        </w:trPr>
        <w:tc>
          <w:tcPr>
            <w:tcW w:w="4440" w:type="dxa"/>
            <w:vAlign w:val="bottom"/>
          </w:tcPr>
          <w:p>
            <w:pPr>
              <w:spacing w:after="0"/>
              <w:rPr>
                <w:sz w:val="17"/>
                <w:szCs w:val="17"/>
                <w:color w:val="auto"/>
              </w:rPr>
            </w:pPr>
          </w:p>
        </w:tc>
        <w:tc>
          <w:tcPr>
            <w:tcW w:w="2280" w:type="dxa"/>
            <w:vAlign w:val="bottom"/>
          </w:tcPr>
          <w:p>
            <w:pPr>
              <w:jc w:val="center"/>
              <w:ind w:left="937"/>
              <w:spacing w:after="0" w:line="203" w:lineRule="exact"/>
              <w:rPr>
                <w:sz w:val="20"/>
                <w:szCs w:val="20"/>
                <w:color w:val="auto"/>
              </w:rPr>
            </w:pPr>
            <w:r>
              <w:rPr>
                <w:rFonts w:ascii="Arial" w:cs="Arial" w:eastAsia="Arial" w:hAnsi="Arial"/>
                <w:sz w:val="18"/>
                <w:szCs w:val="18"/>
                <w:color w:val="auto"/>
              </w:rPr>
              <w:t>1.0%</w:t>
            </w: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w w:val="97"/>
              </w:rPr>
              <w:t>5.0%</w:t>
            </w: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w w:val="97"/>
              </w:rPr>
              <w:t>7.0%</w:t>
            </w:r>
          </w:p>
        </w:tc>
        <w:tc>
          <w:tcPr>
            <w:tcW w:w="2060" w:type="dxa"/>
            <w:vAlign w:val="bottom"/>
          </w:tcPr>
          <w:p>
            <w:pPr>
              <w:jc w:val="center"/>
              <w:ind w:left="72"/>
              <w:spacing w:after="0" w:line="203" w:lineRule="exact"/>
              <w:rPr>
                <w:sz w:val="20"/>
                <w:szCs w:val="20"/>
                <w:color w:val="auto"/>
              </w:rPr>
            </w:pPr>
            <w:r>
              <w:rPr>
                <w:rFonts w:ascii="Arial" w:cs="Arial" w:eastAsia="Arial" w:hAnsi="Arial"/>
                <w:sz w:val="18"/>
                <w:szCs w:val="18"/>
                <w:color w:val="auto"/>
                <w:w w:val="99"/>
              </w:rPr>
              <w:t>(below threshold)</w:t>
            </w:r>
          </w:p>
        </w:tc>
      </w:tr>
      <w:tr>
        <w:trPr>
          <w:trHeight w:val="202"/>
        </w:trPr>
        <w:tc>
          <w:tcPr>
            <w:tcW w:w="444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40% diluted net EPS</w:t>
            </w:r>
          </w:p>
        </w:tc>
        <w:tc>
          <w:tcPr>
            <w:tcW w:w="228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2060" w:type="dxa"/>
            <w:vAlign w:val="bottom"/>
            <w:shd w:val="clear" w:color="auto" w:fill="D9D9D9"/>
          </w:tcPr>
          <w:p>
            <w:pPr>
              <w:jc w:val="right"/>
              <w:ind w:right="612"/>
              <w:spacing w:after="0" w:line="201" w:lineRule="exact"/>
              <w:rPr>
                <w:sz w:val="20"/>
                <w:szCs w:val="20"/>
                <w:color w:val="auto"/>
              </w:rPr>
            </w:pPr>
            <w:r>
              <w:rPr>
                <w:rFonts w:ascii="Arial" w:cs="Arial" w:eastAsia="Arial" w:hAnsi="Arial"/>
                <w:sz w:val="18"/>
                <w:szCs w:val="18"/>
                <w:color w:val="auto"/>
              </w:rPr>
              <w:t>$2.060</w:t>
            </w:r>
          </w:p>
        </w:tc>
      </w:tr>
      <w:tr>
        <w:trPr>
          <w:trHeight w:val="203"/>
        </w:trPr>
        <w:tc>
          <w:tcPr>
            <w:tcW w:w="4440" w:type="dxa"/>
            <w:vAlign w:val="bottom"/>
            <w:shd w:val="clear" w:color="auto" w:fill="D9D9D9"/>
          </w:tcPr>
          <w:p>
            <w:pPr>
              <w:spacing w:after="0"/>
              <w:rPr>
                <w:sz w:val="17"/>
                <w:szCs w:val="17"/>
                <w:color w:val="auto"/>
              </w:rPr>
            </w:pPr>
          </w:p>
        </w:tc>
        <w:tc>
          <w:tcPr>
            <w:tcW w:w="228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2060" w:type="dxa"/>
            <w:vAlign w:val="bottom"/>
            <w:shd w:val="clear" w:color="auto" w:fill="D9D9D9"/>
          </w:tcPr>
          <w:p>
            <w:pPr>
              <w:jc w:val="center"/>
              <w:ind w:left="92"/>
              <w:spacing w:after="0" w:line="202" w:lineRule="exact"/>
              <w:rPr>
                <w:sz w:val="20"/>
                <w:szCs w:val="20"/>
                <w:color w:val="auto"/>
              </w:rPr>
            </w:pPr>
            <w:r>
              <w:rPr>
                <w:rFonts w:ascii="Arial" w:cs="Arial" w:eastAsia="Arial" w:hAnsi="Arial"/>
                <w:sz w:val="18"/>
                <w:szCs w:val="18"/>
                <w:color w:val="auto"/>
                <w:w w:val="99"/>
              </w:rPr>
              <w:t>(between target and</w:t>
            </w:r>
          </w:p>
        </w:tc>
      </w:tr>
      <w:tr>
        <w:trPr>
          <w:trHeight w:val="203"/>
        </w:trPr>
        <w:tc>
          <w:tcPr>
            <w:tcW w:w="4440" w:type="dxa"/>
            <w:vAlign w:val="bottom"/>
            <w:shd w:val="clear" w:color="auto" w:fill="D9D9D9"/>
          </w:tcPr>
          <w:p>
            <w:pPr>
              <w:spacing w:after="0"/>
              <w:rPr>
                <w:sz w:val="17"/>
                <w:szCs w:val="17"/>
                <w:color w:val="auto"/>
              </w:rPr>
            </w:pPr>
          </w:p>
        </w:tc>
        <w:tc>
          <w:tcPr>
            <w:tcW w:w="2280" w:type="dxa"/>
            <w:vAlign w:val="bottom"/>
            <w:shd w:val="clear" w:color="auto" w:fill="D9D9D9"/>
          </w:tcPr>
          <w:p>
            <w:pPr>
              <w:jc w:val="center"/>
              <w:ind w:left="937"/>
              <w:spacing w:after="0" w:line="203" w:lineRule="exact"/>
              <w:rPr>
                <w:sz w:val="20"/>
                <w:szCs w:val="20"/>
                <w:color w:val="auto"/>
              </w:rPr>
            </w:pPr>
            <w:r>
              <w:rPr>
                <w:rFonts w:ascii="Arial" w:cs="Arial" w:eastAsia="Arial" w:hAnsi="Arial"/>
                <w:sz w:val="18"/>
                <w:szCs w:val="18"/>
                <w:color w:val="auto"/>
                <w:w w:val="98"/>
              </w:rPr>
              <w:t>$1.545</w:t>
            </w:r>
          </w:p>
        </w:tc>
        <w:tc>
          <w:tcPr>
            <w:tcW w:w="132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rPr>
              <w:t>$1.930</w:t>
            </w:r>
          </w:p>
        </w:tc>
        <w:tc>
          <w:tcPr>
            <w:tcW w:w="132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rPr>
              <w:t>$2.315</w:t>
            </w:r>
          </w:p>
        </w:tc>
        <w:tc>
          <w:tcPr>
            <w:tcW w:w="2060" w:type="dxa"/>
            <w:vAlign w:val="bottom"/>
            <w:shd w:val="clear" w:color="auto" w:fill="D9D9D9"/>
          </w:tcPr>
          <w:p>
            <w:pPr>
              <w:jc w:val="center"/>
              <w:ind w:left="92"/>
              <w:spacing w:after="0" w:line="203" w:lineRule="exact"/>
              <w:rPr>
                <w:sz w:val="20"/>
                <w:szCs w:val="20"/>
                <w:color w:val="auto"/>
              </w:rPr>
            </w:pPr>
            <w:r>
              <w:rPr>
                <w:rFonts w:ascii="Arial" w:cs="Arial" w:eastAsia="Arial" w:hAnsi="Arial"/>
                <w:sz w:val="18"/>
                <w:szCs w:val="18"/>
                <w:color w:val="auto"/>
                <w:w w:val="99"/>
              </w:rPr>
              <w:t>maximum)</w:t>
            </w:r>
          </w:p>
        </w:tc>
      </w:tr>
      <w:tr>
        <w:trPr>
          <w:trHeight w:val="202"/>
        </w:trPr>
        <w:tc>
          <w:tcPr>
            <w:tcW w:w="4440" w:type="dxa"/>
            <w:vAlign w:val="bottom"/>
          </w:tcPr>
          <w:p>
            <w:pPr>
              <w:ind w:left="60"/>
              <w:spacing w:after="0" w:line="201" w:lineRule="exact"/>
              <w:rPr>
                <w:sz w:val="20"/>
                <w:szCs w:val="20"/>
                <w:color w:val="auto"/>
              </w:rPr>
            </w:pPr>
            <w:r>
              <w:rPr>
                <w:rFonts w:ascii="Arial" w:cs="Arial" w:eastAsia="Arial" w:hAnsi="Arial"/>
                <w:sz w:val="18"/>
                <w:szCs w:val="18"/>
                <w:color w:val="auto"/>
              </w:rPr>
              <w:t>30% corporate average net assets turns</w:t>
            </w:r>
          </w:p>
        </w:tc>
        <w:tc>
          <w:tcPr>
            <w:tcW w:w="2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jc w:val="center"/>
              <w:ind w:left="92"/>
              <w:spacing w:after="0" w:line="201" w:lineRule="exact"/>
              <w:rPr>
                <w:sz w:val="20"/>
                <w:szCs w:val="20"/>
                <w:color w:val="auto"/>
              </w:rPr>
            </w:pPr>
            <w:r>
              <w:rPr>
                <w:rFonts w:ascii="Arial" w:cs="Arial" w:eastAsia="Arial" w:hAnsi="Arial"/>
                <w:sz w:val="18"/>
                <w:szCs w:val="18"/>
                <w:color w:val="auto"/>
              </w:rPr>
              <w:t>2.1494</w:t>
            </w:r>
          </w:p>
        </w:tc>
      </w:tr>
      <w:tr>
        <w:trPr>
          <w:trHeight w:val="203"/>
        </w:trPr>
        <w:tc>
          <w:tcPr>
            <w:tcW w:w="4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9"/>
              </w:rPr>
              <w:t>(between threshold and</w:t>
            </w:r>
          </w:p>
        </w:tc>
      </w:tr>
      <w:tr>
        <w:trPr>
          <w:trHeight w:val="203"/>
        </w:trPr>
        <w:tc>
          <w:tcPr>
            <w:tcW w:w="4440" w:type="dxa"/>
            <w:vAlign w:val="bottom"/>
          </w:tcPr>
          <w:p>
            <w:pPr>
              <w:spacing w:after="0"/>
              <w:rPr>
                <w:sz w:val="17"/>
                <w:szCs w:val="17"/>
                <w:color w:val="auto"/>
              </w:rPr>
            </w:pPr>
          </w:p>
        </w:tc>
        <w:tc>
          <w:tcPr>
            <w:tcW w:w="2280" w:type="dxa"/>
            <w:vAlign w:val="bottom"/>
          </w:tcPr>
          <w:p>
            <w:pPr>
              <w:jc w:val="center"/>
              <w:ind w:left="937"/>
              <w:spacing w:after="0" w:line="203" w:lineRule="exact"/>
              <w:rPr>
                <w:sz w:val="20"/>
                <w:szCs w:val="20"/>
                <w:color w:val="auto"/>
              </w:rPr>
            </w:pPr>
            <w:r>
              <w:rPr>
                <w:rFonts w:ascii="Arial" w:cs="Arial" w:eastAsia="Arial" w:hAnsi="Arial"/>
                <w:sz w:val="18"/>
                <w:szCs w:val="18"/>
                <w:color w:val="auto"/>
              </w:rPr>
              <w:t>1.83864</w:t>
            </w: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rPr>
              <w:t>2.16310</w:t>
            </w: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w w:val="98"/>
              </w:rPr>
              <w:t>2.48757</w:t>
            </w:r>
          </w:p>
        </w:tc>
        <w:tc>
          <w:tcPr>
            <w:tcW w:w="2060" w:type="dxa"/>
            <w:vAlign w:val="bottom"/>
          </w:tcPr>
          <w:p>
            <w:pPr>
              <w:jc w:val="center"/>
              <w:ind w:left="92"/>
              <w:spacing w:after="0" w:line="203" w:lineRule="exact"/>
              <w:rPr>
                <w:sz w:val="20"/>
                <w:szCs w:val="20"/>
                <w:color w:val="auto"/>
              </w:rPr>
            </w:pPr>
            <w:r>
              <w:rPr>
                <w:rFonts w:ascii="Arial" w:cs="Arial" w:eastAsia="Arial" w:hAnsi="Arial"/>
                <w:sz w:val="18"/>
                <w:szCs w:val="18"/>
                <w:color w:val="auto"/>
                <w:w w:val="99"/>
              </w:rPr>
              <w:t>target)</w:t>
            </w:r>
          </w:p>
        </w:tc>
      </w:tr>
      <w:tr>
        <w:trPr>
          <w:trHeight w:val="203"/>
        </w:trPr>
        <w:tc>
          <w:tcPr>
            <w:tcW w:w="444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b w:val="1"/>
                <w:bCs w:val="1"/>
                <w:color w:val="auto"/>
              </w:rPr>
              <w:t>Corporate performance payout</w:t>
            </w:r>
          </w:p>
        </w:tc>
        <w:tc>
          <w:tcPr>
            <w:tcW w:w="228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2060" w:type="dxa"/>
            <w:vAlign w:val="bottom"/>
            <w:shd w:val="clear" w:color="auto" w:fill="D9D9D9"/>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82.71% of target</w:t>
            </w:r>
          </w:p>
        </w:tc>
      </w:tr>
    </w:tbl>
    <w:p>
      <w:pPr>
        <w:spacing w:after="0" w:line="197"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i w:val="1"/>
          <w:iCs w:val="1"/>
          <w:color w:val="auto"/>
        </w:rPr>
        <w:t>Corporate Performance Discussion and Analysis</w:t>
      </w:r>
      <w:r>
        <w:rPr>
          <w:rFonts w:ascii="Arial" w:cs="Arial" w:eastAsia="Arial" w:hAnsi="Arial"/>
          <w:sz w:val="18"/>
          <w:szCs w:val="18"/>
          <w:color w:val="auto"/>
        </w:rPr>
        <w:t>. When applying the weightings of the performance measures to actual results,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corporate performance payout for fiscal 2016 was 82.71% of target. Since Messrs. Hoffman, Olson, Dordell and Ms. Peterson had 100% of their annual cash incentive awards tied to corporate performance for all of fiscal 2016, their annual cash incentive award payouts were at 82.71% of target. Applying their individual target awards as a percent of base salary, this translated to payouts of approximately 103%, 66%, 45% and 62% of fiscal year base salaries for Messrs. Hoffman, Olson, Dordell and Ms. Peterson, respectively.</w:t>
      </w:r>
    </w:p>
    <w:p>
      <w:pPr>
        <w:spacing w:after="0" w:line="185"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i w:val="1"/>
          <w:iCs w:val="1"/>
          <w:color w:val="auto"/>
        </w:rPr>
        <w:t xml:space="preserve">Division Performance Measures and Goals. </w:t>
      </w:r>
      <w:r>
        <w:rPr>
          <w:rFonts w:ascii="Arial" w:cs="Arial" w:eastAsia="Arial" w:hAnsi="Arial"/>
          <w:sz w:val="18"/>
          <w:szCs w:val="18"/>
          <w:color w:val="auto"/>
        </w:rPr>
        <w:t>In addition to corporate performance, our executives with division responsibility had 50%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annual cash incentive award based on actual division performance against division performance goals established for the individual divisions over which they have responsibility. Mr. Brown had 50% of his annual cash incentive award tied to division performance for a portion of fiscal 2016. Beginning in February 2016 and through the remainder of fiscal 2016, 100% of Mr. Brown’s annual cash incentive award was tied to corporate performance.</w:t>
      </w:r>
    </w:p>
    <w:p>
      <w:pPr>
        <w:spacing w:after="0" w:line="203"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division performance measures for fiscal 2016 included division revenue growth, division CPC and division working capital as a percent of sales. Threshold, target and maximum goals were established for each of these performance measures for each division at the beginning of the fiscal year. The specific performances for each of the revenue growth, CPC and working capital as a percent of sales for each division are maintained as proprietary and confidential. The Committee believes that disclosure of these specific performance goals would represent competitive harm to us as division goals and results are not publicly disclosed and are competitively sensitive.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Reflected below are the payout percentages associated with various levels of performance.</w:t>
      </w:r>
    </w:p>
    <w:p>
      <w:pPr>
        <w:spacing w:after="0" w:line="240"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00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Level of Performance</w:t>
            </w:r>
          </w:p>
        </w:tc>
        <w:tc>
          <w:tcPr>
            <w:tcW w:w="5680" w:type="dxa"/>
            <w:vAlign w:val="bottom"/>
            <w:shd w:val="clear" w:color="auto" w:fill="C00000"/>
          </w:tcPr>
          <w:p>
            <w:pPr>
              <w:ind w:left="1500"/>
              <w:spacing w:after="0"/>
              <w:rPr>
                <w:sz w:val="20"/>
                <w:szCs w:val="20"/>
                <w:color w:val="auto"/>
              </w:rPr>
            </w:pPr>
            <w:r>
              <w:rPr>
                <w:rFonts w:ascii="Arial" w:cs="Arial" w:eastAsia="Arial" w:hAnsi="Arial"/>
                <w:sz w:val="14"/>
                <w:szCs w:val="14"/>
                <w:b w:val="1"/>
                <w:bCs w:val="1"/>
                <w:color w:val="FFFFFF"/>
              </w:rPr>
              <w:t>Payout %</w:t>
            </w:r>
          </w:p>
        </w:tc>
      </w:tr>
      <w:tr>
        <w:trPr>
          <w:trHeight w:val="203"/>
        </w:trPr>
        <w:tc>
          <w:tcPr>
            <w:tcW w:w="3000" w:type="dxa"/>
            <w:vAlign w:val="bottom"/>
          </w:tcPr>
          <w:p>
            <w:pPr>
              <w:ind w:left="40"/>
              <w:spacing w:after="0" w:line="202" w:lineRule="exact"/>
              <w:rPr>
                <w:sz w:val="20"/>
                <w:szCs w:val="20"/>
                <w:color w:val="auto"/>
              </w:rPr>
            </w:pPr>
            <w:r>
              <w:rPr>
                <w:rFonts w:ascii="Arial" w:cs="Arial" w:eastAsia="Arial" w:hAnsi="Arial"/>
                <w:sz w:val="18"/>
                <w:szCs w:val="18"/>
                <w:color w:val="auto"/>
              </w:rPr>
              <w:t>Threshold</w:t>
            </w:r>
          </w:p>
        </w:tc>
        <w:tc>
          <w:tcPr>
            <w:tcW w:w="5680" w:type="dxa"/>
            <w:vAlign w:val="bottom"/>
          </w:tcPr>
          <w:p>
            <w:pPr>
              <w:ind w:left="1500"/>
              <w:spacing w:after="0" w:line="202" w:lineRule="exact"/>
              <w:rPr>
                <w:sz w:val="20"/>
                <w:szCs w:val="20"/>
                <w:color w:val="auto"/>
              </w:rPr>
            </w:pPr>
            <w:r>
              <w:rPr>
                <w:rFonts w:ascii="Arial" w:cs="Arial" w:eastAsia="Arial" w:hAnsi="Arial"/>
                <w:sz w:val="18"/>
                <w:szCs w:val="18"/>
                <w:color w:val="auto"/>
              </w:rPr>
              <w:t>40% of target</w:t>
            </w:r>
          </w:p>
        </w:tc>
      </w:tr>
      <w:tr>
        <w:trPr>
          <w:trHeight w:val="203"/>
        </w:trPr>
        <w:tc>
          <w:tcPr>
            <w:tcW w:w="3000" w:type="dxa"/>
            <w:vAlign w:val="bottom"/>
            <w:shd w:val="clear" w:color="auto" w:fill="D9D9D9"/>
          </w:tcPr>
          <w:p>
            <w:pPr>
              <w:ind w:left="40"/>
              <w:spacing w:after="0" w:line="202" w:lineRule="exact"/>
              <w:rPr>
                <w:sz w:val="20"/>
                <w:szCs w:val="20"/>
                <w:color w:val="auto"/>
              </w:rPr>
            </w:pPr>
            <w:r>
              <w:rPr>
                <w:rFonts w:ascii="Arial" w:cs="Arial" w:eastAsia="Arial" w:hAnsi="Arial"/>
                <w:sz w:val="18"/>
                <w:szCs w:val="18"/>
                <w:color w:val="auto"/>
              </w:rPr>
              <w:t>Target</w:t>
            </w:r>
          </w:p>
        </w:tc>
        <w:tc>
          <w:tcPr>
            <w:tcW w:w="5680" w:type="dxa"/>
            <w:vAlign w:val="bottom"/>
            <w:shd w:val="clear" w:color="auto" w:fill="D9D9D9"/>
          </w:tcPr>
          <w:p>
            <w:pPr>
              <w:ind w:left="1500"/>
              <w:spacing w:after="0" w:line="202" w:lineRule="exact"/>
              <w:rPr>
                <w:sz w:val="20"/>
                <w:szCs w:val="20"/>
                <w:color w:val="auto"/>
              </w:rPr>
            </w:pPr>
            <w:r>
              <w:rPr>
                <w:rFonts w:ascii="Arial" w:cs="Arial" w:eastAsia="Arial" w:hAnsi="Arial"/>
                <w:sz w:val="18"/>
                <w:szCs w:val="18"/>
                <w:color w:val="auto"/>
              </w:rPr>
              <w:t>100%</w:t>
            </w:r>
          </w:p>
        </w:tc>
      </w:tr>
      <w:tr>
        <w:trPr>
          <w:trHeight w:val="217"/>
        </w:trPr>
        <w:tc>
          <w:tcPr>
            <w:tcW w:w="3000" w:type="dxa"/>
            <w:vAlign w:val="bottom"/>
          </w:tcPr>
          <w:p>
            <w:pPr>
              <w:ind w:left="40"/>
              <w:spacing w:after="0"/>
              <w:rPr>
                <w:sz w:val="20"/>
                <w:szCs w:val="20"/>
                <w:color w:val="auto"/>
              </w:rPr>
            </w:pPr>
            <w:r>
              <w:rPr>
                <w:rFonts w:ascii="Arial" w:cs="Arial" w:eastAsia="Arial" w:hAnsi="Arial"/>
                <w:sz w:val="18"/>
                <w:szCs w:val="18"/>
                <w:color w:val="auto"/>
              </w:rPr>
              <w:t>Maximum</w:t>
            </w:r>
          </w:p>
        </w:tc>
        <w:tc>
          <w:tcPr>
            <w:tcW w:w="5680" w:type="dxa"/>
            <w:vAlign w:val="bottom"/>
          </w:tcPr>
          <w:p>
            <w:pPr>
              <w:ind w:left="1500"/>
              <w:spacing w:after="0"/>
              <w:rPr>
                <w:sz w:val="20"/>
                <w:szCs w:val="20"/>
                <w:color w:val="auto"/>
              </w:rPr>
            </w:pPr>
            <w:r>
              <w:rPr>
                <w:rFonts w:ascii="Arial" w:cs="Arial" w:eastAsia="Arial" w:hAnsi="Arial"/>
                <w:sz w:val="18"/>
                <w:szCs w:val="18"/>
                <w:color w:val="auto"/>
              </w:rPr>
              <w:t>200% of target</w:t>
            </w:r>
          </w:p>
        </w:tc>
      </w:tr>
    </w:tbl>
    <w:p>
      <w:pPr>
        <w:spacing w:after="0" w:line="201"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For each performance measure, the target goal reflects the annual financial business plan goal set for each respective division. Based on historical performance, the Committee believes the attainment of the target performance level, while uncertain, could be reasonably anticipated. Threshold goals represent the minimum level of performance necessary for there to be a payout for that performance measure and the Committee believes the threshold goals are likely to be achieved. The threshold goal for CPC represented 80% of the plan set for each respective division. Threshold goals for revenue growth and working capital as a percent of sales represented the minimum level of performance that the Committee determined would be appropriate in order to receive a payout. Maximum goals represented the level of performance at which payouts are 200% of the target award. Even if actual results exceed the maximum goals, the payouts are capped at 200% of the target award. The maximum goal for CPC represents 120% of the plan set for each respective division. Maximum goals for revenue growth and working capital as a percent of sales represent levels of performance at which the Committee determines a payout of 200% of target would be appropriate. The Committee believes that the maximum goals established for each division performance measure are more aggressive goals.</w:t>
      </w:r>
    </w:p>
    <w:p>
      <w:pPr>
        <w:spacing w:after="0" w:line="188" w:lineRule="exact"/>
        <w:rPr>
          <w:sz w:val="20"/>
          <w:szCs w:val="20"/>
          <w:color w:val="auto"/>
        </w:rPr>
      </w:pPr>
    </w:p>
    <w:p>
      <w:pPr>
        <w:jc w:val="both"/>
        <w:ind w:right="60" w:firstLine="456"/>
        <w:spacing w:after="0" w:line="242" w:lineRule="auto"/>
        <w:rPr>
          <w:sz w:val="20"/>
          <w:szCs w:val="20"/>
          <w:color w:val="auto"/>
        </w:rPr>
      </w:pPr>
      <w:r>
        <w:rPr>
          <w:rFonts w:ascii="Arial" w:cs="Arial" w:eastAsia="Arial" w:hAnsi="Arial"/>
          <w:sz w:val="18"/>
          <w:szCs w:val="18"/>
          <w:i w:val="1"/>
          <w:iCs w:val="1"/>
          <w:color w:val="auto"/>
        </w:rPr>
        <w:t>Discussion and Analysis of Division Performance Applicable to Mr. Brown</w:t>
      </w:r>
      <w:r>
        <w:rPr>
          <w:rFonts w:ascii="Arial" w:cs="Arial" w:eastAsia="Arial" w:hAnsi="Arial"/>
          <w:sz w:val="18"/>
          <w:szCs w:val="18"/>
          <w:color w:val="auto"/>
        </w:rPr>
        <w:t>. The annual cash incentive for Mr. Brown was based 50% on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performance and 50% on division performance of those divisions for which he had management responsibility for the first quarter of fiscal 2016. Therefore, the division performance component was based on the divisions over which Mr. Brown had responsibility during the first quarter of fiscal 2016. Division performance for Mr. Brown was weighted to generally reflect the difference between the size and profitability of these divisions, as well as the time that Mr. Brown devoted to these divisions.</w:t>
      </w:r>
    </w:p>
    <w:p>
      <w:pPr>
        <w:spacing w:after="0" w:line="203" w:lineRule="exact"/>
        <w:rPr>
          <w:sz w:val="20"/>
          <w:szCs w:val="20"/>
          <w:color w:val="auto"/>
        </w:rPr>
      </w:pPr>
    </w:p>
    <w:p>
      <w:pPr>
        <w:jc w:val="both"/>
        <w:ind w:right="60" w:firstLine="456"/>
        <w:spacing w:after="0" w:line="246" w:lineRule="auto"/>
        <w:rPr>
          <w:sz w:val="20"/>
          <w:szCs w:val="20"/>
          <w:color w:val="auto"/>
        </w:rPr>
      </w:pPr>
      <w:r>
        <w:rPr>
          <w:rFonts w:ascii="Arial" w:cs="Arial" w:eastAsia="Arial" w:hAnsi="Arial"/>
          <w:sz w:val="18"/>
          <w:szCs w:val="18"/>
          <w:color w:val="auto"/>
        </w:rPr>
        <w:t>The table below reflects how the Commercial, Irrigation and BOSS divisions, the divisions over which Mr. Brown had responsibility for the first quarter of fiscal 2016, performed against the three performance measures for fiscal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Performance Measure</w:t>
            </w:r>
          </w:p>
        </w:tc>
        <w:tc>
          <w:tcPr>
            <w:tcW w:w="2860" w:type="dxa"/>
            <w:vAlign w:val="bottom"/>
            <w:shd w:val="clear" w:color="auto" w:fill="C00000"/>
          </w:tcPr>
          <w:p>
            <w:pPr>
              <w:jc w:val="center"/>
              <w:ind w:left="853"/>
              <w:spacing w:after="0"/>
              <w:rPr>
                <w:sz w:val="20"/>
                <w:szCs w:val="20"/>
                <w:color w:val="auto"/>
              </w:rPr>
            </w:pPr>
            <w:r>
              <w:rPr>
                <w:rFonts w:ascii="Arial" w:cs="Arial" w:eastAsia="Arial" w:hAnsi="Arial"/>
                <w:sz w:val="14"/>
                <w:szCs w:val="14"/>
                <w:b w:val="1"/>
                <w:bCs w:val="1"/>
                <w:color w:val="FFFFFF"/>
              </w:rPr>
              <w:t>Commercial</w:t>
            </w:r>
          </w:p>
        </w:tc>
        <w:tc>
          <w:tcPr>
            <w:tcW w:w="1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Irrigation</w:t>
            </w:r>
          </w:p>
        </w:tc>
        <w:tc>
          <w:tcPr>
            <w:tcW w:w="1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BOSS</w:t>
            </w:r>
          </w:p>
        </w:tc>
      </w:tr>
      <w:tr>
        <w:trPr>
          <w:trHeight w:val="202"/>
        </w:trPr>
        <w:tc>
          <w:tcPr>
            <w:tcW w:w="4720" w:type="dxa"/>
            <w:vAlign w:val="bottom"/>
          </w:tcPr>
          <w:p>
            <w:pPr>
              <w:ind w:left="60"/>
              <w:spacing w:after="0" w:line="201" w:lineRule="exact"/>
              <w:rPr>
                <w:sz w:val="20"/>
                <w:szCs w:val="20"/>
                <w:color w:val="auto"/>
              </w:rPr>
            </w:pPr>
            <w:r>
              <w:rPr>
                <w:rFonts w:ascii="Arial" w:cs="Arial" w:eastAsia="Arial" w:hAnsi="Arial"/>
                <w:sz w:val="18"/>
                <w:szCs w:val="18"/>
                <w:color w:val="auto"/>
              </w:rPr>
              <w:t>Division revenue growth</w:t>
            </w:r>
          </w:p>
        </w:tc>
        <w:tc>
          <w:tcPr>
            <w:tcW w:w="2860" w:type="dxa"/>
            <w:vAlign w:val="bottom"/>
          </w:tcPr>
          <w:p>
            <w:pPr>
              <w:jc w:val="center"/>
              <w:ind w:left="853"/>
              <w:spacing w:after="0" w:line="201" w:lineRule="exact"/>
              <w:rPr>
                <w:sz w:val="20"/>
                <w:szCs w:val="20"/>
                <w:color w:val="auto"/>
              </w:rPr>
            </w:pPr>
            <w:r>
              <w:rPr>
                <w:rFonts w:ascii="Arial" w:cs="Arial" w:eastAsia="Arial" w:hAnsi="Arial"/>
                <w:sz w:val="18"/>
                <w:szCs w:val="18"/>
                <w:color w:val="auto"/>
                <w:w w:val="98"/>
              </w:rPr>
              <w:t>Between Target and</w:t>
            </w: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rPr>
              <w:t>Between Threshold</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rPr>
              <w:t>Between Threshold</w:t>
            </w:r>
          </w:p>
        </w:tc>
      </w:tr>
      <w:tr>
        <w:trPr>
          <w:trHeight w:val="203"/>
        </w:trPr>
        <w:tc>
          <w:tcPr>
            <w:tcW w:w="4720" w:type="dxa"/>
            <w:vAlign w:val="bottom"/>
          </w:tcPr>
          <w:p>
            <w:pPr>
              <w:spacing w:after="0"/>
              <w:rPr>
                <w:sz w:val="17"/>
                <w:szCs w:val="17"/>
                <w:color w:val="auto"/>
              </w:rPr>
            </w:pPr>
          </w:p>
        </w:tc>
        <w:tc>
          <w:tcPr>
            <w:tcW w:w="2860" w:type="dxa"/>
            <w:vAlign w:val="bottom"/>
          </w:tcPr>
          <w:p>
            <w:pPr>
              <w:jc w:val="center"/>
              <w:ind w:left="833"/>
              <w:spacing w:after="0" w:line="203" w:lineRule="exact"/>
              <w:rPr>
                <w:sz w:val="20"/>
                <w:szCs w:val="20"/>
                <w:color w:val="auto"/>
              </w:rPr>
            </w:pPr>
            <w:r>
              <w:rPr>
                <w:rFonts w:ascii="Arial" w:cs="Arial" w:eastAsia="Arial" w:hAnsi="Arial"/>
                <w:sz w:val="18"/>
                <w:szCs w:val="18"/>
                <w:color w:val="auto"/>
                <w:w w:val="99"/>
              </w:rPr>
              <w:t>Maximum</w:t>
            </w:r>
          </w:p>
        </w:tc>
        <w:tc>
          <w:tcPr>
            <w:tcW w:w="1940" w:type="dxa"/>
            <w:vAlign w:val="bottom"/>
          </w:tcPr>
          <w:p>
            <w:pPr>
              <w:jc w:val="center"/>
              <w:spacing w:after="0" w:line="203" w:lineRule="exact"/>
              <w:rPr>
                <w:sz w:val="20"/>
                <w:szCs w:val="20"/>
                <w:color w:val="auto"/>
              </w:rPr>
            </w:pPr>
            <w:r>
              <w:rPr>
                <w:rFonts w:ascii="Arial" w:cs="Arial" w:eastAsia="Arial" w:hAnsi="Arial"/>
                <w:sz w:val="18"/>
                <w:szCs w:val="18"/>
                <w:color w:val="auto"/>
                <w:w w:val="96"/>
              </w:rPr>
              <w:t>and Target</w:t>
            </w:r>
          </w:p>
        </w:tc>
        <w:tc>
          <w:tcPr>
            <w:tcW w:w="1900" w:type="dxa"/>
            <w:vAlign w:val="bottom"/>
          </w:tcPr>
          <w:p>
            <w:pPr>
              <w:jc w:val="center"/>
              <w:spacing w:after="0" w:line="203" w:lineRule="exact"/>
              <w:rPr>
                <w:sz w:val="20"/>
                <w:szCs w:val="20"/>
                <w:color w:val="auto"/>
              </w:rPr>
            </w:pPr>
            <w:r>
              <w:rPr>
                <w:rFonts w:ascii="Arial" w:cs="Arial" w:eastAsia="Arial" w:hAnsi="Arial"/>
                <w:sz w:val="18"/>
                <w:szCs w:val="18"/>
                <w:color w:val="auto"/>
                <w:w w:val="96"/>
              </w:rPr>
              <w:t>and Target</w:t>
            </w:r>
          </w:p>
        </w:tc>
      </w:tr>
      <w:tr>
        <w:trPr>
          <w:trHeight w:val="202"/>
        </w:trPr>
        <w:tc>
          <w:tcPr>
            <w:tcW w:w="472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Division CPC</w:t>
            </w:r>
          </w:p>
        </w:tc>
        <w:tc>
          <w:tcPr>
            <w:tcW w:w="2860" w:type="dxa"/>
            <w:vAlign w:val="bottom"/>
            <w:shd w:val="clear" w:color="auto" w:fill="D9D9D9"/>
          </w:tcPr>
          <w:p>
            <w:pPr>
              <w:jc w:val="center"/>
              <w:ind w:left="853"/>
              <w:spacing w:after="0" w:line="201" w:lineRule="exact"/>
              <w:rPr>
                <w:sz w:val="20"/>
                <w:szCs w:val="20"/>
                <w:color w:val="auto"/>
              </w:rPr>
            </w:pPr>
            <w:r>
              <w:rPr>
                <w:rFonts w:ascii="Arial" w:cs="Arial" w:eastAsia="Arial" w:hAnsi="Arial"/>
                <w:sz w:val="18"/>
                <w:szCs w:val="18"/>
                <w:color w:val="auto"/>
                <w:w w:val="98"/>
              </w:rPr>
              <w:t>Between Target and</w:t>
            </w:r>
          </w:p>
        </w:tc>
        <w:tc>
          <w:tcPr>
            <w:tcW w:w="194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8"/>
              </w:rPr>
              <w:t>Between Target and</w:t>
            </w:r>
          </w:p>
        </w:tc>
        <w:tc>
          <w:tcPr>
            <w:tcW w:w="190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8"/>
              </w:rPr>
              <w:t>Between Target and</w:t>
            </w:r>
          </w:p>
        </w:tc>
      </w:tr>
      <w:tr>
        <w:trPr>
          <w:trHeight w:val="203"/>
        </w:trPr>
        <w:tc>
          <w:tcPr>
            <w:tcW w:w="4720" w:type="dxa"/>
            <w:vAlign w:val="bottom"/>
            <w:shd w:val="clear" w:color="auto" w:fill="D9D9D9"/>
          </w:tcPr>
          <w:p>
            <w:pPr>
              <w:spacing w:after="0"/>
              <w:rPr>
                <w:sz w:val="17"/>
                <w:szCs w:val="17"/>
                <w:color w:val="auto"/>
              </w:rPr>
            </w:pPr>
          </w:p>
        </w:tc>
        <w:tc>
          <w:tcPr>
            <w:tcW w:w="2860" w:type="dxa"/>
            <w:vAlign w:val="bottom"/>
            <w:shd w:val="clear" w:color="auto" w:fill="D9D9D9"/>
          </w:tcPr>
          <w:p>
            <w:pPr>
              <w:jc w:val="center"/>
              <w:ind w:left="833"/>
              <w:spacing w:after="0" w:line="203" w:lineRule="exact"/>
              <w:rPr>
                <w:sz w:val="20"/>
                <w:szCs w:val="20"/>
                <w:color w:val="auto"/>
              </w:rPr>
            </w:pPr>
            <w:r>
              <w:rPr>
                <w:rFonts w:ascii="Arial" w:cs="Arial" w:eastAsia="Arial" w:hAnsi="Arial"/>
                <w:sz w:val="18"/>
                <w:szCs w:val="18"/>
                <w:color w:val="auto"/>
                <w:w w:val="99"/>
              </w:rPr>
              <w:t>Maximum</w:t>
            </w:r>
          </w:p>
        </w:tc>
        <w:tc>
          <w:tcPr>
            <w:tcW w:w="194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w w:val="99"/>
              </w:rPr>
              <w:t>Maximum</w:t>
            </w:r>
          </w:p>
        </w:tc>
        <w:tc>
          <w:tcPr>
            <w:tcW w:w="1900" w:type="dxa"/>
            <w:vAlign w:val="bottom"/>
            <w:shd w:val="clear" w:color="auto" w:fill="D9D9D9"/>
          </w:tcPr>
          <w:p>
            <w:pPr>
              <w:jc w:val="center"/>
              <w:spacing w:after="0" w:line="203" w:lineRule="exact"/>
              <w:rPr>
                <w:sz w:val="20"/>
                <w:szCs w:val="20"/>
                <w:color w:val="auto"/>
              </w:rPr>
            </w:pPr>
            <w:r>
              <w:rPr>
                <w:rFonts w:ascii="Arial" w:cs="Arial" w:eastAsia="Arial" w:hAnsi="Arial"/>
                <w:sz w:val="18"/>
                <w:szCs w:val="18"/>
                <w:color w:val="auto"/>
                <w:w w:val="99"/>
              </w:rPr>
              <w:t>Maximum</w:t>
            </w:r>
          </w:p>
        </w:tc>
      </w:tr>
      <w:tr>
        <w:trPr>
          <w:trHeight w:val="202"/>
        </w:trPr>
        <w:tc>
          <w:tcPr>
            <w:tcW w:w="4720" w:type="dxa"/>
            <w:vAlign w:val="bottom"/>
          </w:tcPr>
          <w:p>
            <w:pPr>
              <w:ind w:left="60"/>
              <w:spacing w:after="0" w:line="201" w:lineRule="exact"/>
              <w:rPr>
                <w:sz w:val="20"/>
                <w:szCs w:val="20"/>
                <w:color w:val="auto"/>
              </w:rPr>
            </w:pPr>
            <w:r>
              <w:rPr>
                <w:rFonts w:ascii="Arial" w:cs="Arial" w:eastAsia="Arial" w:hAnsi="Arial"/>
                <w:sz w:val="18"/>
                <w:szCs w:val="18"/>
                <w:color w:val="auto"/>
              </w:rPr>
              <w:t>Division working capital as a percent of sales</w:t>
            </w:r>
          </w:p>
        </w:tc>
        <w:tc>
          <w:tcPr>
            <w:tcW w:w="2860" w:type="dxa"/>
            <w:vAlign w:val="bottom"/>
          </w:tcPr>
          <w:p>
            <w:pPr>
              <w:jc w:val="center"/>
              <w:ind w:left="853"/>
              <w:spacing w:after="0" w:line="201" w:lineRule="exact"/>
              <w:rPr>
                <w:sz w:val="20"/>
                <w:szCs w:val="20"/>
                <w:color w:val="auto"/>
              </w:rPr>
            </w:pPr>
            <w:r>
              <w:rPr>
                <w:rFonts w:ascii="Arial" w:cs="Arial" w:eastAsia="Arial" w:hAnsi="Arial"/>
                <w:sz w:val="18"/>
                <w:szCs w:val="18"/>
                <w:color w:val="auto"/>
                <w:w w:val="98"/>
              </w:rPr>
              <w:t>Between Target and</w:t>
            </w: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rPr>
              <w:t>Between Threshold</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8"/>
              </w:rPr>
              <w:t>Between Target and</w:t>
            </w:r>
          </w:p>
        </w:tc>
      </w:tr>
      <w:tr>
        <w:trPr>
          <w:trHeight w:val="217"/>
        </w:trPr>
        <w:tc>
          <w:tcPr>
            <w:tcW w:w="4720" w:type="dxa"/>
            <w:vAlign w:val="bottom"/>
          </w:tcPr>
          <w:p>
            <w:pPr>
              <w:spacing w:after="0"/>
              <w:rPr>
                <w:sz w:val="18"/>
                <w:szCs w:val="18"/>
                <w:color w:val="auto"/>
              </w:rPr>
            </w:pPr>
          </w:p>
        </w:tc>
        <w:tc>
          <w:tcPr>
            <w:tcW w:w="2860" w:type="dxa"/>
            <w:vAlign w:val="bottom"/>
          </w:tcPr>
          <w:p>
            <w:pPr>
              <w:jc w:val="center"/>
              <w:ind w:left="833"/>
              <w:spacing w:after="0"/>
              <w:rPr>
                <w:sz w:val="20"/>
                <w:szCs w:val="20"/>
                <w:color w:val="auto"/>
              </w:rPr>
            </w:pPr>
            <w:r>
              <w:rPr>
                <w:rFonts w:ascii="Arial" w:cs="Arial" w:eastAsia="Arial" w:hAnsi="Arial"/>
                <w:sz w:val="18"/>
                <w:szCs w:val="18"/>
                <w:color w:val="auto"/>
                <w:w w:val="99"/>
              </w:rPr>
              <w:t>Maximum</w:t>
            </w: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and Target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Maximum</w:t>
            </w:r>
          </w:p>
        </w:tc>
      </w:tr>
    </w:tbl>
    <w:p>
      <w:pPr>
        <w:spacing w:after="0" w:line="202"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When applying the weightings assigned to each division to the division payout percentages and factoring in the corporate payout, the resulting overall payout percent for Mr. Brown was 107.55% for the first quarter of fiscal 2016.</w:t>
      </w:r>
    </w:p>
    <w:p>
      <w:pPr>
        <w:spacing w:after="0" w:line="19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On February 1, 2016, Mr. Brown’s position changed to Group Vice President, Residential and Landscape Contractor Businesses. At that time, given Mr. Brown’s new responsibilities, the Committee discussed Mr. Brown’s role and determined that, as a group vice president, it was appropriate to encourage overall enterprise leadership and focus. As a result, the Committee determined that for the remainder of fiscal 2016, Mr. Brown’s incentive should be tied to overall corporate performance. For the time period February 1, 2016 through October 31, 2016, the end of fiscal 2016, Mr. Brown’s annual cash incentive was based on corporate performance, and therefore, paid out at 82.71% of target. For fiscal 2016, the overall payout to Mr. Brown was 58% of his fiscal 2016 base salary.</w:t>
      </w:r>
    </w:p>
    <w:p>
      <w:pPr>
        <w:spacing w:after="0" w:line="187" w:lineRule="exact"/>
        <w:rPr>
          <w:sz w:val="20"/>
          <w:szCs w:val="20"/>
          <w:color w:val="auto"/>
        </w:rPr>
      </w:pPr>
    </w:p>
    <w:p>
      <w:pPr>
        <w:ind w:right="60" w:firstLine="456"/>
        <w:spacing w:after="0" w:line="242"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2016 actual total cash compensation and its position relative to the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 is reflected in the table below. The corporate performance payout of the annual cash incentive award of 82.71% of target resulted in actual total cash compensation being slightly above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Mr. Hoffman and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Ms. Peterson and Messrs. Olson and Dordell. The combination of the division performance payout and corporate performance payout resulted in actual total cash compensation being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Mr. Brown.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shd w:val="clear" w:color="auto" w:fill="C00000"/>
          </w:tcPr>
          <w:p>
            <w:pPr>
              <w:spacing w:after="0"/>
              <w:rPr>
                <w:sz w:val="14"/>
                <w:szCs w:val="14"/>
                <w:color w:val="auto"/>
              </w:rPr>
            </w:pPr>
          </w:p>
        </w:tc>
        <w:tc>
          <w:tcPr>
            <w:tcW w:w="2840" w:type="dxa"/>
            <w:vAlign w:val="bottom"/>
            <w:shd w:val="clear" w:color="auto" w:fill="C00000"/>
          </w:tcPr>
          <w:p>
            <w:pPr>
              <w:spacing w:after="0"/>
              <w:rPr>
                <w:sz w:val="14"/>
                <w:szCs w:val="14"/>
                <w:color w:val="auto"/>
              </w:rPr>
            </w:pPr>
          </w:p>
        </w:tc>
        <w:tc>
          <w:tcPr>
            <w:tcW w:w="17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2016 Actual</w:t>
            </w:r>
          </w:p>
        </w:tc>
        <w:tc>
          <w:tcPr>
            <w:tcW w:w="860" w:type="dxa"/>
            <w:vAlign w:val="bottom"/>
            <w:shd w:val="clear" w:color="auto" w:fill="C00000"/>
          </w:tcPr>
          <w:p>
            <w:pPr>
              <w:spacing w:after="0"/>
              <w:rPr>
                <w:sz w:val="14"/>
                <w:szCs w:val="14"/>
                <w:color w:val="auto"/>
              </w:rPr>
            </w:pPr>
          </w:p>
        </w:tc>
        <w:tc>
          <w:tcPr>
            <w:tcW w:w="1040" w:type="dxa"/>
            <w:vAlign w:val="bottom"/>
            <w:shd w:val="clear" w:color="auto" w:fill="C00000"/>
          </w:tcPr>
          <w:p>
            <w:pPr>
              <w:spacing w:after="0"/>
              <w:rPr>
                <w:sz w:val="14"/>
                <w:szCs w:val="14"/>
                <w:color w:val="auto"/>
              </w:rPr>
            </w:pPr>
          </w:p>
        </w:tc>
        <w:tc>
          <w:tcPr>
            <w:tcW w:w="2360" w:type="dxa"/>
            <w:vAlign w:val="bottom"/>
            <w:shd w:val="clear" w:color="auto" w:fill="C00000"/>
          </w:tcPr>
          <w:p>
            <w:pPr>
              <w:spacing w:after="0"/>
              <w:rPr>
                <w:sz w:val="14"/>
                <w:szCs w:val="14"/>
                <w:color w:val="auto"/>
              </w:rPr>
            </w:pPr>
          </w:p>
        </w:tc>
      </w:tr>
      <w:tr>
        <w:trPr>
          <w:trHeight w:val="162"/>
        </w:trPr>
        <w:tc>
          <w:tcPr>
            <w:tcW w:w="2580" w:type="dxa"/>
            <w:vAlign w:val="bottom"/>
            <w:shd w:val="clear" w:color="auto" w:fill="C00000"/>
          </w:tcPr>
          <w:p>
            <w:pPr>
              <w:spacing w:after="0"/>
              <w:rPr>
                <w:sz w:val="14"/>
                <w:szCs w:val="14"/>
                <w:color w:val="auto"/>
              </w:rPr>
            </w:pPr>
          </w:p>
        </w:tc>
        <w:tc>
          <w:tcPr>
            <w:tcW w:w="2840" w:type="dxa"/>
            <w:vAlign w:val="bottom"/>
            <w:shd w:val="clear" w:color="auto" w:fill="C00000"/>
          </w:tcPr>
          <w:p>
            <w:pPr>
              <w:spacing w:after="0"/>
              <w:rPr>
                <w:sz w:val="14"/>
                <w:szCs w:val="14"/>
                <w:color w:val="auto"/>
              </w:rPr>
            </w:pPr>
          </w:p>
        </w:tc>
        <w:tc>
          <w:tcPr>
            <w:tcW w:w="17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Total Annual Cash</w:t>
            </w:r>
          </w:p>
        </w:tc>
        <w:tc>
          <w:tcPr>
            <w:tcW w:w="19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2016</w:t>
            </w:r>
          </w:p>
        </w:tc>
        <w:tc>
          <w:tcPr>
            <w:tcW w:w="2360" w:type="dxa"/>
            <w:vAlign w:val="bottom"/>
            <w:shd w:val="clear" w:color="auto" w:fill="C00000"/>
          </w:tcPr>
          <w:p>
            <w:pPr>
              <w:jc w:val="right"/>
              <w:ind w:right="38"/>
              <w:spacing w:after="0"/>
              <w:rPr>
                <w:sz w:val="20"/>
                <w:szCs w:val="20"/>
                <w:color w:val="auto"/>
              </w:rPr>
            </w:pPr>
            <w:r>
              <w:rPr>
                <w:rFonts w:ascii="Arial" w:cs="Arial" w:eastAsia="Arial" w:hAnsi="Arial"/>
                <w:sz w:val="14"/>
                <w:szCs w:val="14"/>
                <w:b w:val="1"/>
                <w:bCs w:val="1"/>
                <w:color w:val="FFFFFF"/>
              </w:rPr>
              <w:t>Fiscal 2016 Actual Total Cash</w:t>
            </w:r>
          </w:p>
        </w:tc>
      </w:tr>
      <w:tr>
        <w:trPr>
          <w:trHeight w:val="159"/>
        </w:trPr>
        <w:tc>
          <w:tcPr>
            <w:tcW w:w="2580" w:type="dxa"/>
            <w:vAlign w:val="bottom"/>
            <w:shd w:val="clear" w:color="auto" w:fill="C00000"/>
          </w:tcPr>
          <w:p>
            <w:pPr>
              <w:spacing w:after="0"/>
              <w:rPr>
                <w:sz w:val="13"/>
                <w:szCs w:val="13"/>
                <w:color w:val="auto"/>
              </w:rPr>
            </w:pPr>
          </w:p>
        </w:tc>
        <w:tc>
          <w:tcPr>
            <w:tcW w:w="2840" w:type="dxa"/>
            <w:vAlign w:val="bottom"/>
            <w:shd w:val="clear" w:color="auto" w:fill="C00000"/>
          </w:tcPr>
          <w:p>
            <w:pPr>
              <w:jc w:val="right"/>
              <w:ind w:right="155"/>
              <w:spacing w:after="0" w:line="159" w:lineRule="exact"/>
              <w:rPr>
                <w:sz w:val="20"/>
                <w:szCs w:val="20"/>
                <w:color w:val="auto"/>
              </w:rPr>
            </w:pPr>
            <w:r>
              <w:rPr>
                <w:rFonts w:ascii="Arial" w:cs="Arial" w:eastAsia="Arial" w:hAnsi="Arial"/>
                <w:sz w:val="14"/>
                <w:szCs w:val="14"/>
                <w:b w:val="1"/>
                <w:bCs w:val="1"/>
                <w:color w:val="FFFFFF"/>
              </w:rPr>
              <w:t>Fiscal 2016 Base</w:t>
            </w:r>
          </w:p>
        </w:tc>
        <w:tc>
          <w:tcPr>
            <w:tcW w:w="174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Incentive Award</w:t>
            </w:r>
          </w:p>
        </w:tc>
        <w:tc>
          <w:tcPr>
            <w:tcW w:w="190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Actual Total</w:t>
            </w:r>
          </w:p>
        </w:tc>
        <w:tc>
          <w:tcPr>
            <w:tcW w:w="2360" w:type="dxa"/>
            <w:vAlign w:val="bottom"/>
            <w:shd w:val="clear" w:color="auto" w:fill="C00000"/>
          </w:tcPr>
          <w:p>
            <w:pPr>
              <w:jc w:val="right"/>
              <w:ind w:right="78"/>
              <w:spacing w:after="0" w:line="159" w:lineRule="exact"/>
              <w:rPr>
                <w:sz w:val="20"/>
                <w:szCs w:val="20"/>
                <w:color w:val="auto"/>
              </w:rPr>
            </w:pPr>
            <w:r>
              <w:rPr>
                <w:rFonts w:ascii="Arial" w:cs="Arial" w:eastAsia="Arial" w:hAnsi="Arial"/>
                <w:sz w:val="14"/>
                <w:szCs w:val="14"/>
                <w:b w:val="1"/>
                <w:bCs w:val="1"/>
                <w:color w:val="FFFFFF"/>
              </w:rPr>
              <w:t>Compensation Compared to</w:t>
            </w:r>
          </w:p>
        </w:tc>
      </w:tr>
      <w:tr>
        <w:trPr>
          <w:trHeight w:val="179"/>
        </w:trPr>
        <w:tc>
          <w:tcPr>
            <w:tcW w:w="25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2840" w:type="dxa"/>
            <w:vAlign w:val="bottom"/>
            <w:shd w:val="clear" w:color="auto" w:fill="C00000"/>
          </w:tcPr>
          <w:p>
            <w:pPr>
              <w:jc w:val="right"/>
              <w:ind w:right="515"/>
              <w:spacing w:after="0"/>
              <w:rPr>
                <w:sz w:val="20"/>
                <w:szCs w:val="20"/>
                <w:color w:val="auto"/>
              </w:rPr>
            </w:pPr>
            <w:r>
              <w:rPr>
                <w:rFonts w:ascii="Arial" w:cs="Arial" w:eastAsia="Arial" w:hAnsi="Arial"/>
                <w:sz w:val="14"/>
                <w:szCs w:val="14"/>
                <w:b w:val="1"/>
                <w:bCs w:val="1"/>
                <w:color w:val="FFFFFF"/>
              </w:rPr>
              <w:t>Salary</w:t>
            </w:r>
          </w:p>
        </w:tc>
        <w:tc>
          <w:tcPr>
            <w:tcW w:w="17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Payout</w:t>
            </w:r>
          </w:p>
        </w:tc>
        <w:tc>
          <w:tcPr>
            <w:tcW w:w="19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Cash Compensation</w:t>
            </w:r>
          </w:p>
        </w:tc>
        <w:tc>
          <w:tcPr>
            <w:tcW w:w="2360" w:type="dxa"/>
            <w:vAlign w:val="bottom"/>
            <w:shd w:val="clear" w:color="auto" w:fill="C00000"/>
          </w:tcPr>
          <w:p>
            <w:pPr>
              <w:jc w:val="right"/>
              <w:ind w:right="278"/>
              <w:spacing w:after="0" w:line="179" w:lineRule="exact"/>
              <w:rPr>
                <w:sz w:val="20"/>
                <w:szCs w:val="20"/>
                <w:color w:val="auto"/>
              </w:rPr>
            </w:pPr>
            <w:r>
              <w:rPr>
                <w:rFonts w:ascii="Arial" w:cs="Arial" w:eastAsia="Arial" w:hAnsi="Arial"/>
                <w:sz w:val="12"/>
                <w:szCs w:val="12"/>
                <w:b w:val="1"/>
                <w:bCs w:val="1"/>
                <w:color w:val="FFFFFF"/>
              </w:rPr>
              <w:t>Market 50</w:t>
            </w:r>
            <w:r>
              <w:rPr>
                <w:rFonts w:ascii="Arial" w:cs="Arial" w:eastAsia="Arial" w:hAnsi="Arial"/>
                <w:sz w:val="20"/>
                <w:szCs w:val="20"/>
                <w:b w:val="1"/>
                <w:bCs w:val="1"/>
                <w:color w:val="FFFFFF"/>
                <w:vertAlign w:val="superscript"/>
              </w:rPr>
              <w:t>th</w:t>
            </w:r>
            <w:r>
              <w:rPr>
                <w:rFonts w:ascii="Arial" w:cs="Arial" w:eastAsia="Arial" w:hAnsi="Arial"/>
                <w:sz w:val="12"/>
                <w:szCs w:val="12"/>
                <w:b w:val="1"/>
                <w:bCs w:val="1"/>
                <w:color w:val="FFFFFF"/>
              </w:rPr>
              <w:t xml:space="preserve"> Percentile</w:t>
            </w:r>
          </w:p>
        </w:tc>
      </w:tr>
      <w:tr>
        <w:trPr>
          <w:trHeight w:val="203"/>
        </w:trPr>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Mr. Hoffman</w:t>
            </w:r>
          </w:p>
        </w:tc>
        <w:tc>
          <w:tcPr>
            <w:tcW w:w="28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$990,000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7"/>
              </w:rPr>
              <w:t>1,023,536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7"/>
              </w:rPr>
              <w:t>2,013,536</w:t>
            </w:r>
          </w:p>
        </w:tc>
        <w:tc>
          <w:tcPr>
            <w:tcW w:w="23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 above</w:t>
            </w:r>
          </w:p>
        </w:tc>
      </w:tr>
      <w:tr>
        <w:trPr>
          <w:trHeight w:val="203"/>
        </w:trPr>
        <w:tc>
          <w:tcPr>
            <w:tcW w:w="25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Ms. Peterson</w:t>
            </w:r>
          </w:p>
        </w:tc>
        <w:tc>
          <w:tcPr>
            <w:tcW w:w="2840" w:type="dxa"/>
            <w:vAlign w:val="bottom"/>
            <w:shd w:val="clear" w:color="auto" w:fill="D9D9D9"/>
          </w:tcPr>
          <w:p>
            <w:pPr>
              <w:jc w:val="right"/>
              <w:ind w:right="155"/>
              <w:spacing w:after="0" w:line="202" w:lineRule="exact"/>
              <w:rPr>
                <w:sz w:val="20"/>
                <w:szCs w:val="20"/>
                <w:color w:val="auto"/>
              </w:rPr>
            </w:pPr>
            <w:r>
              <w:rPr>
                <w:rFonts w:ascii="Arial" w:cs="Arial" w:eastAsia="Arial" w:hAnsi="Arial"/>
                <w:sz w:val="18"/>
                <w:szCs w:val="18"/>
                <w:color w:val="auto"/>
              </w:rPr>
              <w:t>$485,000</w:t>
            </w:r>
          </w:p>
        </w:tc>
        <w:tc>
          <w:tcPr>
            <w:tcW w:w="7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ind w:right="150"/>
              <w:spacing w:after="0" w:line="202" w:lineRule="exact"/>
              <w:rPr>
                <w:sz w:val="20"/>
                <w:szCs w:val="20"/>
                <w:color w:val="auto"/>
              </w:rPr>
            </w:pPr>
            <w:r>
              <w:rPr>
                <w:rFonts w:ascii="Arial" w:cs="Arial" w:eastAsia="Arial" w:hAnsi="Arial"/>
                <w:sz w:val="18"/>
                <w:szCs w:val="18"/>
                <w:color w:val="auto"/>
              </w:rPr>
              <w:t>300,858</w:t>
            </w:r>
          </w:p>
        </w:tc>
        <w:tc>
          <w:tcPr>
            <w:tcW w:w="8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ind w:right="150"/>
              <w:spacing w:after="0" w:line="202" w:lineRule="exact"/>
              <w:rPr>
                <w:sz w:val="20"/>
                <w:szCs w:val="20"/>
                <w:color w:val="auto"/>
              </w:rPr>
            </w:pPr>
            <w:r>
              <w:rPr>
                <w:rFonts w:ascii="Arial" w:cs="Arial" w:eastAsia="Arial" w:hAnsi="Arial"/>
                <w:sz w:val="18"/>
                <w:szCs w:val="18"/>
                <w:color w:val="auto"/>
              </w:rPr>
              <w:t>785,858</w:t>
            </w:r>
          </w:p>
        </w:tc>
        <w:tc>
          <w:tcPr>
            <w:tcW w:w="2360" w:type="dxa"/>
            <w:vAlign w:val="bottom"/>
            <w:shd w:val="clear" w:color="auto" w:fill="D9D9D9"/>
          </w:tcPr>
          <w:p>
            <w:pPr>
              <w:jc w:val="right"/>
              <w:ind w:right="18"/>
              <w:spacing w:after="0" w:line="202" w:lineRule="exact"/>
              <w:rPr>
                <w:sz w:val="20"/>
                <w:szCs w:val="20"/>
                <w:color w:val="auto"/>
              </w:rPr>
            </w:pPr>
            <w:r>
              <w:rPr>
                <w:rFonts w:ascii="Arial" w:cs="Arial" w:eastAsia="Arial" w:hAnsi="Arial"/>
                <w:sz w:val="18"/>
                <w:szCs w:val="18"/>
                <w:color w:val="auto"/>
              </w:rPr>
              <w:t>7% below</w:t>
            </w:r>
          </w:p>
        </w:tc>
      </w:tr>
      <w:tr>
        <w:trPr>
          <w:trHeight w:val="203"/>
        </w:trPr>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Mr. Olson</w:t>
            </w:r>
          </w:p>
        </w:tc>
        <w:tc>
          <w:tcPr>
            <w:tcW w:w="28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$500,000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330,840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830,840</w:t>
            </w:r>
          </w:p>
        </w:tc>
        <w:tc>
          <w:tcPr>
            <w:tcW w:w="23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22% below</w:t>
            </w:r>
          </w:p>
        </w:tc>
      </w:tr>
      <w:tr>
        <w:trPr>
          <w:trHeight w:val="203"/>
        </w:trPr>
        <w:tc>
          <w:tcPr>
            <w:tcW w:w="25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Mr. Brown</w:t>
            </w:r>
          </w:p>
        </w:tc>
        <w:tc>
          <w:tcPr>
            <w:tcW w:w="2840" w:type="dxa"/>
            <w:vAlign w:val="bottom"/>
            <w:shd w:val="clear" w:color="auto" w:fill="D9D9D9"/>
          </w:tcPr>
          <w:p>
            <w:pPr>
              <w:jc w:val="right"/>
              <w:ind w:right="155"/>
              <w:spacing w:after="0" w:line="202" w:lineRule="exact"/>
              <w:rPr>
                <w:sz w:val="20"/>
                <w:szCs w:val="20"/>
                <w:color w:val="auto"/>
              </w:rPr>
            </w:pPr>
            <w:r>
              <w:rPr>
                <w:rFonts w:ascii="Arial" w:cs="Arial" w:eastAsia="Arial" w:hAnsi="Arial"/>
                <w:sz w:val="18"/>
                <w:szCs w:val="18"/>
                <w:color w:val="auto"/>
              </w:rPr>
              <w:t>$410,000</w:t>
            </w:r>
          </w:p>
        </w:tc>
        <w:tc>
          <w:tcPr>
            <w:tcW w:w="7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ind w:right="150"/>
              <w:spacing w:after="0" w:line="202" w:lineRule="exact"/>
              <w:rPr>
                <w:sz w:val="20"/>
                <w:szCs w:val="20"/>
                <w:color w:val="auto"/>
              </w:rPr>
            </w:pPr>
            <w:r>
              <w:rPr>
                <w:rFonts w:ascii="Arial" w:cs="Arial" w:eastAsia="Arial" w:hAnsi="Arial"/>
                <w:sz w:val="18"/>
                <w:szCs w:val="18"/>
                <w:color w:val="auto"/>
              </w:rPr>
              <w:t>236,974</w:t>
            </w:r>
          </w:p>
        </w:tc>
        <w:tc>
          <w:tcPr>
            <w:tcW w:w="8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D9D9D9"/>
          </w:tcPr>
          <w:p>
            <w:pPr>
              <w:jc w:val="right"/>
              <w:ind w:right="150"/>
              <w:spacing w:after="0" w:line="202" w:lineRule="exact"/>
              <w:rPr>
                <w:sz w:val="20"/>
                <w:szCs w:val="20"/>
                <w:color w:val="auto"/>
              </w:rPr>
            </w:pPr>
            <w:r>
              <w:rPr>
                <w:rFonts w:ascii="Arial" w:cs="Arial" w:eastAsia="Arial" w:hAnsi="Arial"/>
                <w:sz w:val="18"/>
                <w:szCs w:val="18"/>
                <w:color w:val="auto"/>
              </w:rPr>
              <w:t>646,974</w:t>
            </w:r>
          </w:p>
        </w:tc>
        <w:tc>
          <w:tcPr>
            <w:tcW w:w="2360" w:type="dxa"/>
            <w:vAlign w:val="bottom"/>
            <w:shd w:val="clear" w:color="auto" w:fill="D9D9D9"/>
          </w:tcPr>
          <w:p>
            <w:pPr>
              <w:jc w:val="right"/>
              <w:ind w:right="18"/>
              <w:spacing w:after="0" w:line="202" w:lineRule="exact"/>
              <w:rPr>
                <w:sz w:val="20"/>
                <w:szCs w:val="20"/>
                <w:color w:val="auto"/>
              </w:rPr>
            </w:pPr>
            <w:r>
              <w:rPr>
                <w:rFonts w:ascii="Arial" w:cs="Arial" w:eastAsia="Arial" w:hAnsi="Arial"/>
                <w:sz w:val="18"/>
                <w:szCs w:val="18"/>
                <w:color w:val="auto"/>
              </w:rPr>
              <w:t>10% below</w:t>
            </w:r>
          </w:p>
        </w:tc>
      </w:tr>
      <w:tr>
        <w:trPr>
          <w:trHeight w:val="217"/>
        </w:trPr>
        <w:tc>
          <w:tcPr>
            <w:tcW w:w="2580" w:type="dxa"/>
            <w:vAlign w:val="bottom"/>
          </w:tcPr>
          <w:p>
            <w:pPr>
              <w:ind w:left="60"/>
              <w:spacing w:after="0"/>
              <w:rPr>
                <w:sz w:val="20"/>
                <w:szCs w:val="20"/>
                <w:color w:val="auto"/>
              </w:rPr>
            </w:pPr>
            <w:r>
              <w:rPr>
                <w:rFonts w:ascii="Arial" w:cs="Arial" w:eastAsia="Arial" w:hAnsi="Arial"/>
                <w:sz w:val="18"/>
                <w:szCs w:val="18"/>
                <w:color w:val="auto"/>
              </w:rPr>
              <w:t>Mr. Dordell</w:t>
            </w:r>
          </w:p>
        </w:tc>
        <w:tc>
          <w:tcPr>
            <w:tcW w:w="2840" w:type="dxa"/>
            <w:vAlign w:val="bottom"/>
          </w:tcPr>
          <w:p>
            <w:pPr>
              <w:jc w:val="right"/>
              <w:ind w:right="155"/>
              <w:spacing w:after="0"/>
              <w:rPr>
                <w:sz w:val="20"/>
                <w:szCs w:val="20"/>
                <w:color w:val="auto"/>
              </w:rPr>
            </w:pPr>
            <w:r>
              <w:rPr>
                <w:rFonts w:ascii="Arial" w:cs="Arial" w:eastAsia="Arial" w:hAnsi="Arial"/>
                <w:sz w:val="18"/>
                <w:szCs w:val="18"/>
                <w:color w:val="auto"/>
              </w:rPr>
              <w:t>$410,000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186,511</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596,511</w:t>
            </w:r>
          </w:p>
        </w:tc>
        <w:tc>
          <w:tcPr>
            <w:tcW w:w="2360" w:type="dxa"/>
            <w:vAlign w:val="bottom"/>
          </w:tcPr>
          <w:p>
            <w:pPr>
              <w:jc w:val="right"/>
              <w:ind w:right="18"/>
              <w:spacing w:after="0"/>
              <w:rPr>
                <w:sz w:val="20"/>
                <w:szCs w:val="20"/>
                <w:color w:val="auto"/>
              </w:rPr>
            </w:pPr>
            <w:r>
              <w:rPr>
                <w:rFonts w:ascii="Arial" w:cs="Arial" w:eastAsia="Arial" w:hAnsi="Arial"/>
                <w:sz w:val="18"/>
                <w:szCs w:val="18"/>
                <w:color w:val="auto"/>
              </w:rPr>
              <w:t>10% below</w:t>
            </w: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16"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our use of long-term incentives tied to our common stock, along with our stock ownership guidelines, help</w:t>
      </w:r>
      <w:r>
        <w:rPr>
          <w:rFonts w:ascii="Arial" w:cs="Arial" w:eastAsia="Arial" w:hAnsi="Arial"/>
          <w:sz w:val="18"/>
          <w:szCs w:val="18"/>
          <w:i w:val="1"/>
          <w:iCs w:val="1"/>
          <w:color w:val="auto"/>
        </w:rPr>
        <w:t xml:space="preserve"> </w:t>
      </w:r>
      <w:r>
        <w:rPr>
          <w:rFonts w:ascii="Arial" w:cs="Arial" w:eastAsia="Arial" w:hAnsi="Arial"/>
          <w:sz w:val="18"/>
          <w:szCs w:val="18"/>
          <w:color w:val="auto"/>
        </w:rPr>
        <w:t>align the interests 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experience, tenure, internal pay comparisons, individual performance and historical targeted grant levels.</w:t>
      </w:r>
    </w:p>
    <w:p>
      <w:pPr>
        <w:spacing w:after="0" w:line="200" w:lineRule="exact"/>
        <w:rPr>
          <w:sz w:val="20"/>
          <w:szCs w:val="20"/>
          <w:color w:val="auto"/>
        </w:rPr>
      </w:pPr>
    </w:p>
    <w:p>
      <w:pPr>
        <w:spacing w:after="0" w:line="210"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Generally, one-half of the long-term incentive value is delivered in the form of stock options and one-half of the long-term incentive value is delivered in the form of performance share awards. We believe this mix of equity strikes the appropriate balance between rewarding increases in the market value of our common stock and the achievement of company specific performance measures. Actual value realized from our long-term incentive awards may exceed or be less than the market 50</w:t>
      </w:r>
      <w:r>
        <w:rPr>
          <w:rFonts w:ascii="Arial" w:cs="Arial" w:eastAsia="Arial" w:hAnsi="Arial"/>
          <w:sz w:val="15"/>
          <w:szCs w:val="15"/>
          <w:color w:val="auto"/>
        </w:rPr>
        <w:t>th</w:t>
      </w:r>
      <w:r>
        <w:rPr>
          <w:rFonts w:ascii="Arial" w:cs="Arial" w:eastAsia="Arial" w:hAnsi="Arial"/>
          <w:sz w:val="18"/>
          <w:szCs w:val="18"/>
          <w:color w:val="auto"/>
        </w:rPr>
        <w:t xml:space="preserve"> percentile based on the price of our common stock for stock options and actual performance against our three-year cumulative financial business plan in the year of the grant for performance share awards. In addition to stock options and performance share awards, we also occasionally use awards of restricted stock or restricted stock units in connection with the hiring of new executive officers, mid-year promotions of existing executive officers, leadership transition or retention purposes.</w:t>
      </w:r>
    </w:p>
    <w:p>
      <w:pPr>
        <w:spacing w:after="0" w:line="190" w:lineRule="exact"/>
        <w:rPr>
          <w:sz w:val="20"/>
          <w:szCs w:val="20"/>
          <w:color w:val="auto"/>
        </w:rPr>
      </w:pPr>
    </w:p>
    <w:p>
      <w:pPr>
        <w:ind w:right="260" w:firstLine="456"/>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the annual grant of stock options to our executive officers. If we deliver strong shareholder returns, our stock price presumably will increase, thereby increasing the value of the stock options and executives’ resulting total compensation. If shareholder value is not delivered and our stock price does not increase, the options will have no value. Annual stock options are generally granted on the date of the Committee’s meeting or, if held before the issuance of our earnings release announcing prior fiscal year results, on the second business day following the issuance of the earnings release, with the day of such earnings release being the first day, and have a per share exercise price equal to the closing price of our common stock, as reported on the NYSE, on the date of grant.</w:t>
      </w:r>
    </w:p>
    <w:p>
      <w:pPr>
        <w:spacing w:after="0" w:line="203"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203"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Stock options granted to our executive officers vest ratably in three equal installments on each of the first, second and third year anniversaries of the date of grant and are exercisable for a period of ten years following the date of grant.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 term performance. The Compensation &amp; Human Resources Committee periodically reviews option vesting schedules and terms.</w:t>
      </w:r>
    </w:p>
    <w:p>
      <w:pPr>
        <w:spacing w:after="0" w:line="185" w:lineRule="exact"/>
        <w:rPr>
          <w:sz w:val="20"/>
          <w:szCs w:val="20"/>
          <w:color w:val="auto"/>
        </w:rPr>
      </w:pPr>
    </w:p>
    <w:p>
      <w:pPr>
        <w:ind w:right="20" w:firstLine="456"/>
        <w:spacing w:after="0" w:line="251"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performance share awards to our executive officers. Performance share awards are paid out in shares of our common stock following completion of a three-year performance period if certain performance goals are achieved.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goals are derived from performance measures included in our Amended and Restated 2010 Plan.</w:t>
      </w:r>
    </w:p>
    <w:p>
      <w:pPr>
        <w:spacing w:after="0" w:line="212"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202"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Factors we consider when establishing the performance goals for the three-year period include our prior fiscal year financial business results and long-term strategic plan outlook, our competitive situation and anticipated state of our business, and any anticipated business opportunities.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and a corresponding payout, which is expressed as a percent of target. Shares of our common stock are paid out to the executive officers in December and are contingent on our earnings release for the recently completed fiscal year. Actual payouts for performance share awards can range from 0% (if the threshold levels of performance are not met) to 200% of the target award (if maximum levels of performance are met).</w:t>
      </w:r>
    </w:p>
    <w:p>
      <w:pPr>
        <w:spacing w:after="0" w:line="189" w:lineRule="exact"/>
        <w:rPr>
          <w:sz w:val="20"/>
          <w:szCs w:val="20"/>
          <w:color w:val="auto"/>
        </w:rPr>
      </w:pPr>
    </w:p>
    <w:p>
      <w:pPr>
        <w:ind w:right="180" w:firstLine="456"/>
        <w:spacing w:after="0" w:line="260" w:lineRule="auto"/>
        <w:rPr>
          <w:sz w:val="20"/>
          <w:szCs w:val="20"/>
          <w:color w:val="auto"/>
        </w:rPr>
      </w:pPr>
      <w:r>
        <w:rPr>
          <w:rFonts w:ascii="Arial" w:cs="Arial" w:eastAsia="Arial" w:hAnsi="Arial"/>
          <w:sz w:val="17"/>
          <w:szCs w:val="17"/>
          <w:i w:val="1"/>
          <w:iCs w:val="1"/>
          <w:color w:val="auto"/>
        </w:rPr>
        <w:t xml:space="preserve">Restricted Stock Awards and Restricted Stock Unit Awards. </w:t>
      </w:r>
      <w:r>
        <w:rPr>
          <w:rFonts w:ascii="Arial" w:cs="Arial" w:eastAsia="Arial" w:hAnsi="Arial"/>
          <w:sz w:val="17"/>
          <w:szCs w:val="17"/>
          <w:color w:val="auto"/>
        </w:rPr>
        <w:t>Occasionally, the Committee will approve awards of restricted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for use in certain situations, including hiring of new executive officers, mid-year promotions of existing executive officers, leadership transition or retention purposes. Vesting may be either performance-based or time-based. Performance-based awards are derived from one or more of the performance measures included in our Amended and Restated 2010 Plan. Under our Amended and Restated 2010 Plan, restricted stock and restricted stock units with time-based vesting can vest no more rapidly than ratably over three years.</w:t>
      </w:r>
    </w:p>
    <w:p>
      <w:pPr>
        <w:spacing w:after="0" w:line="170" w:lineRule="exact"/>
        <w:rPr>
          <w:sz w:val="20"/>
          <w:szCs w:val="20"/>
          <w:color w:val="auto"/>
        </w:rPr>
      </w:pPr>
    </w:p>
    <w:p>
      <w:pPr>
        <w:ind w:right="20" w:firstLine="456"/>
        <w:spacing w:after="0" w:line="242" w:lineRule="auto"/>
        <w:rPr>
          <w:sz w:val="20"/>
          <w:szCs w:val="20"/>
          <w:color w:val="auto"/>
        </w:rPr>
      </w:pPr>
      <w:r>
        <w:rPr>
          <w:rFonts w:ascii="Arial" w:cs="Arial" w:eastAsia="Arial" w:hAnsi="Arial"/>
          <w:sz w:val="18"/>
          <w:szCs w:val="18"/>
          <w:i w:val="1"/>
          <w:iCs w:val="1"/>
          <w:color w:val="auto"/>
        </w:rPr>
        <w:t>Fiscal 2016 Grants</w:t>
      </w:r>
      <w:r>
        <w:rPr>
          <w:rFonts w:ascii="Arial" w:cs="Arial" w:eastAsia="Arial" w:hAnsi="Arial"/>
          <w:sz w:val="18"/>
          <w:szCs w:val="18"/>
          <w:color w:val="auto"/>
        </w:rPr>
        <w:t>. The number of stock options granted to our named executive officers for fiscal 2016 can be found in the “Grants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Plan-Based Awards for Fiscal 2016” table beginning on page 52. The per share exercise price of the options is $38.82, which is equal to the closing price of our common stock, as reported on the NYSE, on the date of grant, which for fiscal 2016 was December 4, 2015. The grant date fair value of those awards can be found in the “Summary Compensation Table” beginning on page 49 in the “Option Awards” column and in the “Grants of Plan-Based Awards for Fiscal 2016” table beginning on page 52 in the “Grant Date Fair Value of Stock and Option Awards” column.</w:t>
      </w:r>
    </w:p>
    <w:p>
      <w:pPr>
        <w:spacing w:after="0" w:line="203"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On December 1, 2015, the Committee granted performance share awards for the fiscal 2016 through fiscal 2018 performance period. The number of performance shares at threshold, target and maximum levels of performance for the fiscal 2016 through fiscal 2018 performance period can be found in the “Grants of Plan-Based Awards for Fiscal 2016” table beginning on page 52 in the “Estimated Future Payouts Under Equity Incentive Plan Awards” columns. The grant date fair value of those awards at target can be found in the “Summary Compensation Table” beginning on page 49 in the “Stock Awards” column“ and in the Grants of Plan-Based Awards for Fiscal 2016” table beginning on page 52 in the “Grant Date Fair Value of Stock and Option Awards” column.</w:t>
      </w:r>
    </w:p>
    <w:p>
      <w:pPr>
        <w:spacing w:after="0" w:line="187" w:lineRule="exact"/>
        <w:rPr>
          <w:sz w:val="20"/>
          <w:szCs w:val="20"/>
          <w:color w:val="auto"/>
        </w:rPr>
      </w:pPr>
    </w:p>
    <w:p>
      <w:pPr>
        <w:ind w:right="420" w:firstLine="456"/>
        <w:spacing w:after="0" w:line="267"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2016. </w:t>
      </w:r>
      <w:r>
        <w:rPr>
          <w:rFonts w:ascii="Arial" w:cs="Arial" w:eastAsia="Arial" w:hAnsi="Arial"/>
          <w:sz w:val="18"/>
          <w:szCs w:val="18"/>
          <w:color w:val="auto"/>
        </w:rPr>
        <w:t>For the fiscal 2016 to fiscal 2018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following corporate performance measures and weightings were established for all of our executive officers:</w:t>
      </w:r>
    </w:p>
    <w:p>
      <w:pPr>
        <w:spacing w:after="0" w:line="20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 cumulative corporate revenue;</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40% cumulative corporate net income plus after-tax interest;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 cumulative corporate average net assets turns.</w:t>
      </w:r>
    </w:p>
    <w:p>
      <w:pPr>
        <w:spacing w:after="0" w:line="212" w:lineRule="exact"/>
        <w:rPr>
          <w:sz w:val="20"/>
          <w:szCs w:val="20"/>
          <w:color w:val="auto"/>
        </w:rPr>
      </w:pPr>
    </w:p>
    <w:p>
      <w:pPr>
        <w:ind w:right="240" w:firstLine="456"/>
        <w:spacing w:after="0"/>
        <w:rPr>
          <w:sz w:val="20"/>
          <w:szCs w:val="20"/>
          <w:color w:val="auto"/>
        </w:rPr>
      </w:pPr>
      <w:r>
        <w:rPr>
          <w:rFonts w:ascii="Arial" w:cs="Arial" w:eastAsia="Arial" w:hAnsi="Arial"/>
          <w:sz w:val="18"/>
          <w:szCs w:val="18"/>
          <w:color w:val="auto"/>
        </w:rPr>
        <w:t>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 To further enhance focus on asset efficiency, the Committee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increased the weighting of cumulative corporate average net assets turns and decreased the weighting on net income plus after-tax interest. For grants of performance shares for prior performance periods, division performance measures, goals and weightings were established for executive officers with division responsibility.</w:t>
      </w:r>
    </w:p>
    <w:p>
      <w:pPr>
        <w:spacing w:after="0" w:line="203"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The maximum goals represent levels of performance at which the Committee determined a payout of 200% of target would be appropriate. The Committee believes that the maximum goals established for each performance measure are more aggressive goals.</w:t>
      </w:r>
    </w:p>
    <w:p>
      <w:pPr>
        <w:spacing w:after="0" w:line="203" w:lineRule="exact"/>
        <w:rPr>
          <w:sz w:val="20"/>
          <w:szCs w:val="20"/>
          <w:color w:val="auto"/>
        </w:rPr>
      </w:pPr>
    </w:p>
    <w:p>
      <w:pPr>
        <w:jc w:val="both"/>
        <w:ind w:right="40" w:firstLine="456"/>
        <w:spacing w:after="0" w:line="239" w:lineRule="auto"/>
        <w:rPr>
          <w:sz w:val="20"/>
          <w:szCs w:val="20"/>
          <w:color w:val="auto"/>
        </w:rPr>
      </w:pPr>
      <w:r>
        <w:rPr>
          <w:rFonts w:ascii="Arial" w:cs="Arial" w:eastAsia="Arial" w:hAnsi="Arial"/>
          <w:sz w:val="18"/>
          <w:szCs w:val="18"/>
          <w:color w:val="auto"/>
        </w:rPr>
        <w:t>In addition to approving performance measures, goals and weightings, the Committee also established, in accordance with our Amended and Restated 2010 Plan, specific corporate adjustment events for determining payouts under the fiscal 2016 to fiscal 2018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229" w:lineRule="exact"/>
        <w:rPr>
          <w:sz w:val="20"/>
          <w:szCs w:val="20"/>
          <w:color w:val="auto"/>
        </w:rPr>
      </w:pPr>
    </w:p>
    <w:p>
      <w:pPr>
        <w:ind w:left="780" w:right="200" w:hanging="326"/>
        <w:spacing w:after="0" w:line="24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entire impact of any acquisition greater than $50 million will be excluded from the payout calculation for the entire performance period unless the acquisition was built into the annual financial plan and cumulative goals;</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impacts for acquisitions less than $10 million will be included in the payout calculation for the entire performance period;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acquisitions between $10 million and $50 million:</w:t>
      </w:r>
    </w:p>
    <w:p>
      <w:pPr>
        <w:spacing w:after="0" w:line="23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the impact will be excluded from the payout calculation if the transaction closes during the third year of the three-year term; and</w:t>
      </w:r>
    </w:p>
    <w:p>
      <w:pPr>
        <w:spacing w:after="0" w:line="238" w:lineRule="exact"/>
        <w:rPr>
          <w:rFonts w:ascii="Arial" w:cs="Arial" w:eastAsia="Arial" w:hAnsi="Arial"/>
          <w:sz w:val="18"/>
          <w:szCs w:val="18"/>
          <w:color w:val="auto"/>
        </w:rPr>
      </w:pPr>
    </w:p>
    <w:p>
      <w:pPr>
        <w:ind w:left="1120" w:hanging="324"/>
        <w:spacing w:after="0" w:line="246" w:lineRule="auto"/>
        <w:rPr>
          <w:rFonts w:ascii="Arial" w:cs="Arial" w:eastAsia="Arial" w:hAnsi="Arial"/>
          <w:sz w:val="18"/>
          <w:szCs w:val="18"/>
          <w:color w:val="auto"/>
        </w:rPr>
      </w:pPr>
      <w:r>
        <w:rPr>
          <w:rFonts w:ascii="Arial" w:cs="Arial" w:eastAsia="Arial" w:hAnsi="Arial"/>
          <w:sz w:val="18"/>
          <w:szCs w:val="18"/>
          <w:color w:val="auto"/>
        </w:rPr>
        <w:t>– if the transaction closes in the first or second year of the performance period, the impact will be included in the payout calculation with the exception of any transaction costs incurred.</w:t>
      </w:r>
    </w:p>
    <w:p>
      <w:pPr>
        <w:spacing w:after="0" w:line="197" w:lineRule="exact"/>
        <w:rPr>
          <w:sz w:val="20"/>
          <w:szCs w:val="20"/>
          <w:color w:val="auto"/>
        </w:rPr>
      </w:pPr>
    </w:p>
    <w:p>
      <w:pPr>
        <w:ind w:right="120" w:firstLine="456"/>
        <w:spacing w:after="0" w:line="246" w:lineRule="auto"/>
        <w:rPr>
          <w:sz w:val="20"/>
          <w:szCs w:val="20"/>
          <w:color w:val="auto"/>
        </w:rPr>
      </w:pPr>
      <w:r>
        <w:rPr>
          <w:rFonts w:ascii="Arial" w:cs="Arial" w:eastAsia="Arial" w:hAnsi="Arial"/>
          <w:sz w:val="18"/>
          <w:szCs w:val="18"/>
          <w:color w:val="auto"/>
        </w:rPr>
        <w:t>Additionally, any externally driven changes in accounting principles and standards will be excluded from the evaluation of performance if the cumulative net impact on the payout of all such accounting adjustments affects the award payout by more than 2%.</w:t>
      </w:r>
    </w:p>
    <w:p>
      <w:pPr>
        <w:spacing w:after="0" w:line="179" w:lineRule="exact"/>
        <w:rPr>
          <w:sz w:val="20"/>
          <w:szCs w:val="20"/>
          <w:color w:val="auto"/>
        </w:rPr>
      </w:pPr>
    </w:p>
    <w:p>
      <w:pPr>
        <w:ind w:left="460"/>
        <w:spacing w:after="0"/>
        <w:tabs>
          <w:tab w:leader="none" w:pos="6540" w:val="left"/>
        </w:tabs>
        <w:rPr>
          <w:sz w:val="20"/>
          <w:szCs w:val="20"/>
          <w:color w:val="auto"/>
        </w:rPr>
      </w:pPr>
      <w:r>
        <w:rPr>
          <w:rFonts w:ascii="Arial" w:cs="Arial" w:eastAsia="Arial" w:hAnsi="Arial"/>
          <w:sz w:val="18"/>
          <w:szCs w:val="18"/>
          <w:i w:val="1"/>
          <w:iCs w:val="1"/>
          <w:color w:val="auto"/>
        </w:rPr>
        <w:t>Performance Measures for the Performance Period Ending in Fiscal 2016.</w:t>
      </w:r>
      <w:r>
        <w:rPr>
          <w:sz w:val="20"/>
          <w:szCs w:val="20"/>
          <w:color w:val="auto"/>
        </w:rPr>
        <w:tab/>
      </w:r>
      <w:r>
        <w:rPr>
          <w:rFonts w:ascii="Arial" w:cs="Arial" w:eastAsia="Arial" w:hAnsi="Arial"/>
          <w:sz w:val="17"/>
          <w:szCs w:val="17"/>
          <w:color w:val="auto"/>
        </w:rPr>
        <w:t>The performance share awards that were granted in fiscal</w:t>
      </w:r>
    </w:p>
    <w:p>
      <w:pPr>
        <w:spacing w:after="0" w:line="1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2014 for the fiscal 2014 to fiscal 2016 performance period were paid out upon the completion of fiscal 2016. A summary of the performance shares awarded to our named executive officers for the fiscal 2014 to fiscal 2016 performance period, and the value realized on vesting for those awards, can be found in the “Option Exercises and Stock Vested for Fiscal 2016” table beginning on page 55 in the “Number of Shares Acquired on Vesting” and “Value Realized on Vesting” columns, respectively.</w:t>
      </w:r>
    </w:p>
    <w:p>
      <w:pPr>
        <w:spacing w:after="0" w:line="202"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along with actual levels of performance, for the fiscal 2014 to fiscal 2016 performance share awards.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2014 to Fiscal 2016</w:t>
            </w:r>
          </w:p>
        </w:tc>
        <w:tc>
          <w:tcPr>
            <w:tcW w:w="1220" w:type="dxa"/>
            <w:vAlign w:val="bottom"/>
            <w:shd w:val="clear" w:color="auto" w:fill="C00000"/>
          </w:tcPr>
          <w:p>
            <w:pPr>
              <w:jc w:val="right"/>
              <w:ind w:right="177"/>
              <w:spacing w:after="0"/>
              <w:rPr>
                <w:sz w:val="20"/>
                <w:szCs w:val="20"/>
                <w:color w:val="auto"/>
              </w:rPr>
            </w:pPr>
            <w:r>
              <w:rPr>
                <w:rFonts w:ascii="Arial" w:cs="Arial" w:eastAsia="Arial" w:hAnsi="Arial"/>
                <w:sz w:val="14"/>
                <w:szCs w:val="14"/>
                <w:b w:val="1"/>
                <w:bCs w:val="1"/>
                <w:color w:val="FFFFFF"/>
              </w:rPr>
              <w:t>Threshold</w:t>
            </w:r>
          </w:p>
        </w:tc>
        <w:tc>
          <w:tcPr>
            <w:tcW w:w="1240" w:type="dxa"/>
            <w:vAlign w:val="bottom"/>
            <w:shd w:val="clear" w:color="auto" w:fill="C00000"/>
          </w:tcPr>
          <w:p>
            <w:pPr>
              <w:jc w:val="right"/>
              <w:ind w:right="337"/>
              <w:spacing w:after="0"/>
              <w:rPr>
                <w:sz w:val="20"/>
                <w:szCs w:val="20"/>
                <w:color w:val="auto"/>
              </w:rPr>
            </w:pPr>
            <w:r>
              <w:rPr>
                <w:rFonts w:ascii="Arial" w:cs="Arial" w:eastAsia="Arial" w:hAnsi="Arial"/>
                <w:sz w:val="14"/>
                <w:szCs w:val="14"/>
                <w:b w:val="1"/>
                <w:bCs w:val="1"/>
                <w:color w:val="FFFFFF"/>
              </w:rPr>
              <w:t>Target</w:t>
            </w:r>
          </w:p>
        </w:tc>
        <w:tc>
          <w:tcPr>
            <w:tcW w:w="1280" w:type="dxa"/>
            <w:vAlign w:val="bottom"/>
            <w:shd w:val="clear" w:color="auto" w:fill="C00000"/>
          </w:tcPr>
          <w:p>
            <w:pPr>
              <w:jc w:val="right"/>
              <w:ind w:right="257"/>
              <w:spacing w:after="0"/>
              <w:rPr>
                <w:sz w:val="20"/>
                <w:szCs w:val="20"/>
                <w:color w:val="auto"/>
              </w:rPr>
            </w:pPr>
            <w:r>
              <w:rPr>
                <w:rFonts w:ascii="Arial" w:cs="Arial" w:eastAsia="Arial" w:hAnsi="Arial"/>
                <w:sz w:val="14"/>
                <w:szCs w:val="14"/>
                <w:b w:val="1"/>
                <w:bCs w:val="1"/>
                <w:color w:val="FFFFFF"/>
              </w:rPr>
              <w:t>Maximum</w:t>
            </w:r>
          </w:p>
        </w:tc>
        <w:tc>
          <w:tcPr>
            <w:tcW w:w="2680" w:type="dxa"/>
            <w:vAlign w:val="bottom"/>
            <w:shd w:val="clear" w:color="auto" w:fill="C00000"/>
          </w:tcPr>
          <w:p>
            <w:pPr>
              <w:spacing w:after="0"/>
              <w:rPr>
                <w:sz w:val="14"/>
                <w:szCs w:val="14"/>
                <w:color w:val="auto"/>
              </w:rPr>
            </w:pPr>
          </w:p>
        </w:tc>
      </w:tr>
      <w:tr>
        <w:trPr>
          <w:trHeight w:val="189"/>
        </w:trPr>
        <w:tc>
          <w:tcPr>
            <w:tcW w:w="50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Performance Measure</w:t>
            </w:r>
          </w:p>
        </w:tc>
        <w:tc>
          <w:tcPr>
            <w:tcW w:w="1220" w:type="dxa"/>
            <w:vAlign w:val="bottom"/>
            <w:shd w:val="clear" w:color="auto" w:fill="C00000"/>
          </w:tcPr>
          <w:p>
            <w:pPr>
              <w:jc w:val="right"/>
              <w:ind w:right="77"/>
              <w:spacing w:after="0"/>
              <w:rPr>
                <w:sz w:val="20"/>
                <w:szCs w:val="20"/>
                <w:color w:val="auto"/>
              </w:rPr>
            </w:pPr>
            <w:r>
              <w:rPr>
                <w:rFonts w:ascii="Arial" w:cs="Arial" w:eastAsia="Arial" w:hAnsi="Arial"/>
                <w:sz w:val="14"/>
                <w:szCs w:val="14"/>
                <w:b w:val="1"/>
                <w:bCs w:val="1"/>
                <w:color w:val="FFFFFF"/>
              </w:rPr>
              <w:t>(40% payout)</w:t>
            </w:r>
          </w:p>
        </w:tc>
        <w:tc>
          <w:tcPr>
            <w:tcW w:w="1240" w:type="dxa"/>
            <w:vAlign w:val="bottom"/>
            <w:shd w:val="clear" w:color="auto" w:fill="C00000"/>
          </w:tcPr>
          <w:p>
            <w:pPr>
              <w:jc w:val="right"/>
              <w:ind w:right="57"/>
              <w:spacing w:after="0"/>
              <w:rPr>
                <w:sz w:val="20"/>
                <w:szCs w:val="20"/>
                <w:color w:val="auto"/>
              </w:rPr>
            </w:pPr>
            <w:r>
              <w:rPr>
                <w:rFonts w:ascii="Arial" w:cs="Arial" w:eastAsia="Arial" w:hAnsi="Arial"/>
                <w:sz w:val="14"/>
                <w:szCs w:val="14"/>
                <w:b w:val="1"/>
                <w:bCs w:val="1"/>
                <w:color w:val="FFFFFF"/>
              </w:rPr>
              <w:t>(100% payout)</w:t>
            </w:r>
          </w:p>
        </w:tc>
        <w:tc>
          <w:tcPr>
            <w:tcW w:w="1280" w:type="dxa"/>
            <w:vAlign w:val="bottom"/>
            <w:shd w:val="clear" w:color="auto" w:fill="C00000"/>
          </w:tcPr>
          <w:p>
            <w:pPr>
              <w:jc w:val="right"/>
              <w:ind w:right="97"/>
              <w:spacing w:after="0"/>
              <w:rPr>
                <w:sz w:val="20"/>
                <w:szCs w:val="20"/>
                <w:color w:val="auto"/>
              </w:rPr>
            </w:pPr>
            <w:r>
              <w:rPr>
                <w:rFonts w:ascii="Arial" w:cs="Arial" w:eastAsia="Arial" w:hAnsi="Arial"/>
                <w:sz w:val="14"/>
                <w:szCs w:val="14"/>
                <w:b w:val="1"/>
                <w:bCs w:val="1"/>
                <w:color w:val="FFFFFF"/>
              </w:rPr>
              <w:t>(200% payout)</w:t>
            </w:r>
          </w:p>
        </w:tc>
        <w:tc>
          <w:tcPr>
            <w:tcW w:w="2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Actual</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50% cumulative corporate net income plus after-tax interest</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80" w:type="dxa"/>
            <w:vAlign w:val="bottom"/>
          </w:tcPr>
          <w:p>
            <w:pPr>
              <w:jc w:val="center"/>
              <w:spacing w:after="0" w:line="201" w:lineRule="exact"/>
              <w:rPr>
                <w:sz w:val="20"/>
                <w:szCs w:val="20"/>
                <w:color w:val="auto"/>
              </w:rPr>
            </w:pPr>
            <w:r>
              <w:rPr>
                <w:rFonts w:ascii="Arial" w:cs="Arial" w:eastAsia="Arial" w:hAnsi="Arial"/>
                <w:sz w:val="18"/>
                <w:szCs w:val="18"/>
                <w:color w:val="auto"/>
                <w:w w:val="98"/>
              </w:rPr>
              <w:t>$608,228</w:t>
            </w:r>
          </w:p>
        </w:tc>
      </w:tr>
      <w:tr>
        <w:trPr>
          <w:trHeight w:val="217"/>
        </w:trPr>
        <w:tc>
          <w:tcPr>
            <w:tcW w:w="5000" w:type="dxa"/>
            <w:vAlign w:val="bottom"/>
          </w:tcPr>
          <w:p>
            <w:pPr>
              <w:ind w:left="180"/>
              <w:spacing w:after="0"/>
              <w:rPr>
                <w:sz w:val="20"/>
                <w:szCs w:val="20"/>
                <w:color w:val="auto"/>
              </w:rPr>
            </w:pPr>
            <w:r>
              <w:rPr>
                <w:rFonts w:ascii="Arial" w:cs="Arial" w:eastAsia="Arial" w:hAnsi="Arial"/>
                <w:sz w:val="18"/>
                <w:szCs w:val="18"/>
                <w:color w:val="auto"/>
              </w:rPr>
              <w:t>(in thousands)</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$461,052</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$576,316</w:t>
            </w:r>
          </w:p>
        </w:tc>
        <w:tc>
          <w:tcPr>
            <w:tcW w:w="3960" w:type="dxa"/>
            <w:vAlign w:val="bottom"/>
            <w:gridSpan w:val="2"/>
          </w:tcPr>
          <w:p>
            <w:pPr>
              <w:ind w:left="380"/>
              <w:spacing w:after="0"/>
              <w:rPr>
                <w:sz w:val="20"/>
                <w:szCs w:val="20"/>
                <w:color w:val="auto"/>
              </w:rPr>
            </w:pPr>
            <w:r>
              <w:rPr>
                <w:rFonts w:ascii="Arial" w:cs="Arial" w:eastAsia="Arial" w:hAnsi="Arial"/>
                <w:sz w:val="18"/>
                <w:szCs w:val="18"/>
                <w:color w:val="auto"/>
              </w:rPr>
              <w:t>$653,156   (between target and maximum)</w:t>
            </w:r>
          </w:p>
        </w:tc>
      </w:tr>
      <w:tr>
        <w:trPr>
          <w:trHeight w:val="202"/>
        </w:trPr>
        <w:tc>
          <w:tcPr>
            <w:tcW w:w="50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30% cumulative corporate revenue (in thousands)</w:t>
            </w:r>
          </w:p>
        </w:tc>
        <w:tc>
          <w:tcPr>
            <w:tcW w:w="1220" w:type="dxa"/>
            <w:vAlign w:val="bottom"/>
            <w:shd w:val="clear" w:color="auto" w:fill="D9D9D9"/>
          </w:tcPr>
          <w:p>
            <w:pPr>
              <w:spacing w:after="0"/>
              <w:rPr>
                <w:sz w:val="17"/>
                <w:szCs w:val="17"/>
                <w:color w:val="auto"/>
              </w:rPr>
            </w:pPr>
          </w:p>
        </w:tc>
        <w:tc>
          <w:tcPr>
            <w:tcW w:w="124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268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$6,709,262</w:t>
            </w:r>
          </w:p>
        </w:tc>
      </w:tr>
      <w:tr>
        <w:trPr>
          <w:trHeight w:val="217"/>
        </w:trPr>
        <w:tc>
          <w:tcPr>
            <w:tcW w:w="5000" w:type="dxa"/>
            <w:vAlign w:val="bottom"/>
            <w:shd w:val="clear" w:color="auto" w:fill="D9D9D9"/>
          </w:tcPr>
          <w:p>
            <w:pPr>
              <w:spacing w:after="0"/>
              <w:rPr>
                <w:sz w:val="18"/>
                <w:szCs w:val="18"/>
                <w:color w:val="auto"/>
              </w:rPr>
            </w:pPr>
          </w:p>
        </w:tc>
        <w:tc>
          <w:tcPr>
            <w:tcW w:w="1220" w:type="dxa"/>
            <w:vAlign w:val="bottom"/>
            <w:shd w:val="clear" w:color="auto" w:fill="D9D9D9"/>
          </w:tcPr>
          <w:p>
            <w:pPr>
              <w:jc w:val="right"/>
              <w:ind w:right="17"/>
              <w:spacing w:after="0"/>
              <w:rPr>
                <w:sz w:val="20"/>
                <w:szCs w:val="20"/>
                <w:color w:val="auto"/>
              </w:rPr>
            </w:pPr>
            <w:r>
              <w:rPr>
                <w:rFonts w:ascii="Arial" w:cs="Arial" w:eastAsia="Arial" w:hAnsi="Arial"/>
                <w:sz w:val="18"/>
                <w:szCs w:val="18"/>
                <w:color w:val="auto"/>
              </w:rPr>
              <w:t>$6,410,354</w:t>
            </w:r>
          </w:p>
        </w:tc>
        <w:tc>
          <w:tcPr>
            <w:tcW w:w="1240" w:type="dxa"/>
            <w:vAlign w:val="bottom"/>
            <w:shd w:val="clear" w:color="auto" w:fill="D9D9D9"/>
          </w:tcPr>
          <w:p>
            <w:pPr>
              <w:jc w:val="right"/>
              <w:ind w:right="37"/>
              <w:spacing w:after="0"/>
              <w:rPr>
                <w:sz w:val="20"/>
                <w:szCs w:val="20"/>
                <w:color w:val="auto"/>
              </w:rPr>
            </w:pPr>
            <w:r>
              <w:rPr>
                <w:rFonts w:ascii="Arial" w:cs="Arial" w:eastAsia="Arial" w:hAnsi="Arial"/>
                <w:sz w:val="18"/>
                <w:szCs w:val="18"/>
                <w:color w:val="auto"/>
              </w:rPr>
              <w:t>$6,822,670</w:t>
            </w:r>
          </w:p>
        </w:tc>
        <w:tc>
          <w:tcPr>
            <w:tcW w:w="1280" w:type="dxa"/>
            <w:vAlign w:val="bottom"/>
            <w:shd w:val="clear" w:color="auto" w:fill="D9D9D9"/>
          </w:tcPr>
          <w:p>
            <w:pPr>
              <w:jc w:val="right"/>
              <w:ind w:right="77"/>
              <w:spacing w:after="0"/>
              <w:rPr>
                <w:sz w:val="20"/>
                <w:szCs w:val="20"/>
                <w:color w:val="auto"/>
              </w:rPr>
            </w:pPr>
            <w:r>
              <w:rPr>
                <w:rFonts w:ascii="Arial" w:cs="Arial" w:eastAsia="Arial" w:hAnsi="Arial"/>
                <w:sz w:val="18"/>
                <w:szCs w:val="18"/>
                <w:color w:val="auto"/>
              </w:rPr>
              <w:t>$7,198,345</w:t>
            </w:r>
          </w:p>
        </w:tc>
        <w:tc>
          <w:tcPr>
            <w:tcW w:w="268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(between threshold and target)</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20% cumulative corporate average net assets turns</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80" w:type="dxa"/>
            <w:vAlign w:val="bottom"/>
          </w:tcPr>
          <w:p>
            <w:pPr>
              <w:jc w:val="center"/>
              <w:spacing w:after="0" w:line="201" w:lineRule="exact"/>
              <w:rPr>
                <w:sz w:val="20"/>
                <w:szCs w:val="20"/>
                <w:color w:val="auto"/>
              </w:rPr>
            </w:pPr>
            <w:r>
              <w:rPr>
                <w:rFonts w:ascii="Arial" w:cs="Arial" w:eastAsia="Arial" w:hAnsi="Arial"/>
                <w:sz w:val="18"/>
                <w:szCs w:val="18"/>
                <w:color w:val="auto"/>
              </w:rPr>
              <w:t>8.82768</w:t>
            </w:r>
          </w:p>
        </w:tc>
      </w:tr>
      <w:tr>
        <w:trPr>
          <w:trHeight w:val="217"/>
        </w:trPr>
        <w:tc>
          <w:tcPr>
            <w:tcW w:w="50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7.54389</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8.87516</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10.20643</w:t>
            </w:r>
          </w:p>
        </w:tc>
        <w:tc>
          <w:tcPr>
            <w:tcW w:w="2680" w:type="dxa"/>
            <w:vAlign w:val="bottom"/>
          </w:tcPr>
          <w:p>
            <w:pPr>
              <w:jc w:val="center"/>
              <w:spacing w:after="0"/>
              <w:rPr>
                <w:sz w:val="20"/>
                <w:szCs w:val="20"/>
                <w:color w:val="auto"/>
              </w:rPr>
            </w:pPr>
            <w:r>
              <w:rPr>
                <w:rFonts w:ascii="Arial" w:cs="Arial" w:eastAsia="Arial" w:hAnsi="Arial"/>
                <w:sz w:val="18"/>
                <w:szCs w:val="18"/>
                <w:color w:val="auto"/>
              </w:rPr>
              <w:t>(between threshold and target)</w:t>
            </w:r>
          </w:p>
        </w:tc>
      </w:tr>
      <w:tr>
        <w:trPr>
          <w:trHeight w:val="203"/>
        </w:trPr>
        <w:tc>
          <w:tcPr>
            <w:tcW w:w="5000" w:type="dxa"/>
            <w:vAlign w:val="bottom"/>
            <w:shd w:val="clear" w:color="auto" w:fill="D9D9D9"/>
          </w:tcPr>
          <w:p>
            <w:pPr>
              <w:spacing w:after="0" w:line="202" w:lineRule="exact"/>
              <w:rPr>
                <w:sz w:val="20"/>
                <w:szCs w:val="20"/>
                <w:color w:val="auto"/>
              </w:rPr>
            </w:pPr>
            <w:r>
              <w:rPr>
                <w:rFonts w:ascii="Arial" w:cs="Arial" w:eastAsia="Arial" w:hAnsi="Arial"/>
                <w:sz w:val="18"/>
                <w:szCs w:val="18"/>
                <w:b w:val="1"/>
                <w:bCs w:val="1"/>
                <w:color w:val="auto"/>
              </w:rPr>
              <w:t>Fiscal 2014 to fiscal 2016 corporate performance payout</w:t>
            </w:r>
          </w:p>
        </w:tc>
        <w:tc>
          <w:tcPr>
            <w:tcW w:w="1220" w:type="dxa"/>
            <w:vAlign w:val="bottom"/>
            <w:shd w:val="clear" w:color="auto" w:fill="D9D9D9"/>
          </w:tcPr>
          <w:p>
            <w:pPr>
              <w:spacing w:after="0"/>
              <w:rPr>
                <w:sz w:val="17"/>
                <w:szCs w:val="17"/>
                <w:color w:val="auto"/>
              </w:rPr>
            </w:pPr>
          </w:p>
        </w:tc>
        <w:tc>
          <w:tcPr>
            <w:tcW w:w="124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26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rPr>
              <w:t>115.39% of target</w:t>
            </w:r>
          </w:p>
        </w:tc>
      </w:tr>
    </w:tbl>
    <w:p>
      <w:pPr>
        <w:spacing w:after="0" w:line="197" w:lineRule="exact"/>
        <w:rPr>
          <w:sz w:val="20"/>
          <w:szCs w:val="20"/>
          <w:color w:val="auto"/>
        </w:rPr>
      </w:pPr>
    </w:p>
    <w:p>
      <w:pPr>
        <w:ind w:right="160" w:firstLine="456"/>
        <w:spacing w:after="0" w:line="242" w:lineRule="auto"/>
        <w:rPr>
          <w:sz w:val="20"/>
          <w:szCs w:val="20"/>
          <w:color w:val="auto"/>
        </w:rPr>
      </w:pPr>
      <w:r>
        <w:rPr>
          <w:rFonts w:ascii="Arial" w:cs="Arial" w:eastAsia="Arial" w:hAnsi="Arial"/>
          <w:sz w:val="18"/>
          <w:szCs w:val="18"/>
          <w:i w:val="1"/>
          <w:iCs w:val="1"/>
          <w:color w:val="auto"/>
        </w:rPr>
        <w:t xml:space="preserve">Corporate Performance Discussion and Analysis. </w:t>
      </w:r>
      <w:r>
        <w:rPr>
          <w:rFonts w:ascii="Arial" w:cs="Arial" w:eastAsia="Arial" w:hAnsi="Arial"/>
          <w:sz w:val="18"/>
          <w:szCs w:val="18"/>
          <w:color w:val="auto"/>
        </w:rPr>
        <w:t>When applying the actual performance against the weightings of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the fiscal 2014 to fiscal 2016 corporate payout was 115.39% of target. As a result, Messrs. Hoffman and Dordell and Ms. Peterson received a performance share payout that was 115.39% of target. Based on the adjustment events approved by the Compensation &amp; Human Resources Committee in fiscal 2014, the actual results and corresponding payout were adjusted for our acquisition of BOSS which occurred during fiscal 2015.</w:t>
      </w:r>
    </w:p>
    <w:p>
      <w:pPr>
        <w:spacing w:after="0" w:line="185"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i w:val="1"/>
          <w:iCs w:val="1"/>
          <w:color w:val="auto"/>
        </w:rPr>
        <w:t xml:space="preserve">Discussion and Analysis of Division Performance Applicable to Messrs. Olson and Brown. </w:t>
      </w:r>
      <w:r>
        <w:rPr>
          <w:rFonts w:ascii="Arial" w:cs="Arial" w:eastAsia="Arial" w:hAnsi="Arial"/>
          <w:sz w:val="18"/>
          <w:szCs w:val="18"/>
          <w:color w:val="auto"/>
        </w:rPr>
        <w:t>The fiscal 2014 to fiscal 2016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awards for Messrs. Olson and Brown were based 75% on corporate performance and 25% on division performance. The division performance was based on the divisions over which Messrs. Olson and Brown had responsibility at the time the award was granted in fiscal 2014. As Mr. Brown had responsibility for multiple divisions at the time of grant, division performance for Mr. Brown was weighted among those divisions to generally reflect the difference between the size and profitability of the divisions, as well as the time that Mr. Brown devoted to the divisions. The performance measures for division performance were cumulative division CPC (60%) and cumulative division revenue (40%). When applying the corporate and division weighting, the resulting payouts for Messrs. Olson and Brown were 98.51% and 105.81%, respectively.</w:t>
      </w:r>
    </w:p>
    <w:p>
      <w:pPr>
        <w:spacing w:after="0" w:line="18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As described previously, when analyzing compensation, we look at base salary, target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target total direct compensation in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when establishing new base salary levels, target annual cash incentive awards and long-term incentive awards. Actual value realized from long-term incentives is dependent on the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2016 target total direct compensation, which is the sum of actual base salary, target annual cash incentive and target value of equity awards, for each named executive officer is compared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shd w:val="clear" w:color="auto" w:fill="C00000"/>
          </w:tcPr>
          <w:p>
            <w:pPr>
              <w:spacing w:after="0"/>
              <w:rPr>
                <w:sz w:val="14"/>
                <w:szCs w:val="14"/>
                <w:color w:val="auto"/>
              </w:rPr>
            </w:pPr>
          </w:p>
        </w:tc>
        <w:tc>
          <w:tcPr>
            <w:tcW w:w="5480" w:type="dxa"/>
            <w:vAlign w:val="bottom"/>
            <w:shd w:val="clear" w:color="auto" w:fill="C00000"/>
          </w:tcPr>
          <w:p>
            <w:pPr>
              <w:spacing w:after="0"/>
              <w:rPr>
                <w:sz w:val="14"/>
                <w:szCs w:val="14"/>
                <w:color w:val="auto"/>
              </w:rPr>
            </w:pPr>
          </w:p>
        </w:tc>
        <w:tc>
          <w:tcPr>
            <w:tcW w:w="1500" w:type="dxa"/>
            <w:vAlign w:val="bottom"/>
            <w:shd w:val="clear" w:color="auto" w:fill="C00000"/>
          </w:tcPr>
          <w:p>
            <w:pPr>
              <w:jc w:val="center"/>
              <w:ind w:left="259"/>
              <w:spacing w:after="0"/>
              <w:rPr>
                <w:sz w:val="20"/>
                <w:szCs w:val="20"/>
                <w:color w:val="auto"/>
              </w:rPr>
            </w:pPr>
            <w:r>
              <w:rPr>
                <w:rFonts w:ascii="Arial" w:cs="Arial" w:eastAsia="Arial" w:hAnsi="Arial"/>
                <w:sz w:val="14"/>
                <w:szCs w:val="14"/>
                <w:b w:val="1"/>
                <w:bCs w:val="1"/>
                <w:color w:val="FFFFFF"/>
              </w:rPr>
              <w:t>Comparison</w:t>
            </w:r>
          </w:p>
        </w:tc>
      </w:tr>
      <w:tr>
        <w:trPr>
          <w:trHeight w:val="159"/>
        </w:trPr>
        <w:tc>
          <w:tcPr>
            <w:tcW w:w="4440" w:type="dxa"/>
            <w:vAlign w:val="bottom"/>
            <w:shd w:val="clear" w:color="auto" w:fill="C00000"/>
          </w:tcPr>
          <w:p>
            <w:pPr>
              <w:spacing w:after="0"/>
              <w:rPr>
                <w:sz w:val="13"/>
                <w:szCs w:val="13"/>
                <w:color w:val="auto"/>
              </w:rPr>
            </w:pPr>
          </w:p>
        </w:tc>
        <w:tc>
          <w:tcPr>
            <w:tcW w:w="5480" w:type="dxa"/>
            <w:vAlign w:val="bottom"/>
            <w:shd w:val="clear" w:color="auto" w:fill="C00000"/>
          </w:tcPr>
          <w:p>
            <w:pPr>
              <w:spacing w:after="0"/>
              <w:rPr>
                <w:sz w:val="13"/>
                <w:szCs w:val="13"/>
                <w:color w:val="auto"/>
              </w:rPr>
            </w:pPr>
          </w:p>
        </w:tc>
        <w:tc>
          <w:tcPr>
            <w:tcW w:w="1500" w:type="dxa"/>
            <w:vAlign w:val="bottom"/>
            <w:shd w:val="clear" w:color="auto" w:fill="C00000"/>
          </w:tcPr>
          <w:p>
            <w:pPr>
              <w:jc w:val="center"/>
              <w:ind w:left="259"/>
              <w:spacing w:after="0" w:line="159" w:lineRule="exact"/>
              <w:rPr>
                <w:sz w:val="20"/>
                <w:szCs w:val="20"/>
                <w:color w:val="auto"/>
              </w:rPr>
            </w:pPr>
            <w:r>
              <w:rPr>
                <w:rFonts w:ascii="Arial" w:cs="Arial" w:eastAsia="Arial" w:hAnsi="Arial"/>
                <w:sz w:val="14"/>
                <w:szCs w:val="14"/>
                <w:b w:val="1"/>
                <w:bCs w:val="1"/>
                <w:color w:val="FFFFFF"/>
                <w:w w:val="90"/>
              </w:rPr>
              <w:t>to</w:t>
            </w:r>
          </w:p>
        </w:tc>
      </w:tr>
      <w:tr>
        <w:trPr>
          <w:trHeight w:val="166"/>
        </w:trPr>
        <w:tc>
          <w:tcPr>
            <w:tcW w:w="4440" w:type="dxa"/>
            <w:vAlign w:val="bottom"/>
            <w:shd w:val="clear" w:color="auto" w:fill="C00000"/>
          </w:tcPr>
          <w:p>
            <w:pPr>
              <w:spacing w:after="0"/>
              <w:rPr>
                <w:sz w:val="14"/>
                <w:szCs w:val="14"/>
                <w:color w:val="auto"/>
              </w:rPr>
            </w:pPr>
          </w:p>
        </w:tc>
        <w:tc>
          <w:tcPr>
            <w:tcW w:w="5480" w:type="dxa"/>
            <w:vAlign w:val="bottom"/>
            <w:shd w:val="clear" w:color="auto" w:fill="C00000"/>
          </w:tcPr>
          <w:p>
            <w:pPr>
              <w:jc w:val="right"/>
              <w:ind w:right="415"/>
              <w:spacing w:after="0"/>
              <w:rPr>
                <w:sz w:val="20"/>
                <w:szCs w:val="20"/>
                <w:color w:val="auto"/>
              </w:rPr>
            </w:pPr>
            <w:r>
              <w:rPr>
                <w:rFonts w:ascii="Arial" w:cs="Arial" w:eastAsia="Arial" w:hAnsi="Arial"/>
                <w:sz w:val="14"/>
                <w:szCs w:val="14"/>
                <w:b w:val="1"/>
                <w:bCs w:val="1"/>
                <w:color w:val="FFFFFF"/>
              </w:rPr>
              <w:t>Fiscal 2016 Target Total</w:t>
            </w:r>
          </w:p>
        </w:tc>
        <w:tc>
          <w:tcPr>
            <w:tcW w:w="1500" w:type="dxa"/>
            <w:vAlign w:val="bottom"/>
            <w:shd w:val="clear" w:color="auto" w:fill="C00000"/>
          </w:tcPr>
          <w:p>
            <w:pPr>
              <w:jc w:val="center"/>
              <w:ind w:left="199"/>
              <w:spacing w:after="0" w:line="165" w:lineRule="exact"/>
              <w:rPr>
                <w:sz w:val="20"/>
                <w:szCs w:val="20"/>
                <w:color w:val="auto"/>
              </w:rPr>
            </w:pPr>
            <w:r>
              <w:rPr>
                <w:rFonts w:ascii="Arial" w:cs="Arial" w:eastAsia="Arial" w:hAnsi="Arial"/>
                <w:sz w:val="12"/>
                <w:szCs w:val="12"/>
                <w:b w:val="1"/>
                <w:bCs w:val="1"/>
                <w:color w:val="FFFFFF"/>
              </w:rPr>
              <w:t>Market 50</w:t>
            </w:r>
            <w:r>
              <w:rPr>
                <w:rFonts w:ascii="Arial" w:cs="Arial" w:eastAsia="Arial" w:hAnsi="Arial"/>
                <w:sz w:val="19"/>
                <w:szCs w:val="19"/>
                <w:b w:val="1"/>
                <w:bCs w:val="1"/>
                <w:color w:val="FFFFFF"/>
                <w:vertAlign w:val="superscript"/>
              </w:rPr>
              <w:t>th</w:t>
            </w:r>
          </w:p>
        </w:tc>
      </w:tr>
      <w:tr>
        <w:trPr>
          <w:trHeight w:val="189"/>
        </w:trPr>
        <w:tc>
          <w:tcPr>
            <w:tcW w:w="44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5480" w:type="dxa"/>
            <w:vAlign w:val="bottom"/>
            <w:shd w:val="clear" w:color="auto" w:fill="C00000"/>
          </w:tcPr>
          <w:p>
            <w:pPr>
              <w:jc w:val="right"/>
              <w:ind w:right="495"/>
              <w:spacing w:after="0"/>
              <w:rPr>
                <w:sz w:val="20"/>
                <w:szCs w:val="20"/>
                <w:color w:val="auto"/>
              </w:rPr>
            </w:pPr>
            <w:r>
              <w:rPr>
                <w:rFonts w:ascii="Arial" w:cs="Arial" w:eastAsia="Arial" w:hAnsi="Arial"/>
                <w:sz w:val="14"/>
                <w:szCs w:val="14"/>
                <w:b w:val="1"/>
                <w:bCs w:val="1"/>
                <w:color w:val="FFFFFF"/>
              </w:rPr>
              <w:t>Direct Compensation</w:t>
            </w:r>
          </w:p>
        </w:tc>
        <w:tc>
          <w:tcPr>
            <w:tcW w:w="1500" w:type="dxa"/>
            <w:vAlign w:val="bottom"/>
            <w:shd w:val="clear" w:color="auto" w:fill="C00000"/>
          </w:tcPr>
          <w:p>
            <w:pPr>
              <w:jc w:val="center"/>
              <w:ind w:left="259"/>
              <w:spacing w:after="0"/>
              <w:rPr>
                <w:sz w:val="20"/>
                <w:szCs w:val="20"/>
                <w:color w:val="auto"/>
              </w:rPr>
            </w:pPr>
            <w:r>
              <w:rPr>
                <w:rFonts w:ascii="Arial" w:cs="Arial" w:eastAsia="Arial" w:hAnsi="Arial"/>
                <w:sz w:val="14"/>
                <w:szCs w:val="14"/>
                <w:b w:val="1"/>
                <w:bCs w:val="1"/>
                <w:color w:val="FFFFFF"/>
              </w:rPr>
              <w:t>Percentile</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Mr. Hoffman</w:t>
            </w:r>
          </w:p>
        </w:tc>
        <w:tc>
          <w:tcPr>
            <w:tcW w:w="5480" w:type="dxa"/>
            <w:vAlign w:val="bottom"/>
          </w:tcPr>
          <w:p>
            <w:pPr>
              <w:jc w:val="right"/>
              <w:ind w:right="415"/>
              <w:spacing w:after="0" w:line="202" w:lineRule="exact"/>
              <w:rPr>
                <w:sz w:val="20"/>
                <w:szCs w:val="20"/>
                <w:color w:val="auto"/>
              </w:rPr>
            </w:pPr>
            <w:r>
              <w:rPr>
                <w:rFonts w:ascii="Arial" w:cs="Arial" w:eastAsia="Arial" w:hAnsi="Arial"/>
                <w:sz w:val="18"/>
                <w:szCs w:val="18"/>
                <w:color w:val="auto"/>
              </w:rPr>
              <w:t>$5,027,500</w:t>
            </w:r>
          </w:p>
        </w:tc>
        <w:tc>
          <w:tcPr>
            <w:tcW w:w="15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 above</w:t>
            </w:r>
          </w:p>
        </w:tc>
      </w:tr>
      <w:tr>
        <w:trPr>
          <w:trHeight w:val="203"/>
        </w:trPr>
        <w:tc>
          <w:tcPr>
            <w:tcW w:w="44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Ms. Peterson</w:t>
            </w:r>
          </w:p>
        </w:tc>
        <w:tc>
          <w:tcPr>
            <w:tcW w:w="5480" w:type="dxa"/>
            <w:vAlign w:val="bottom"/>
            <w:shd w:val="clear" w:color="auto" w:fill="D9D9D9"/>
          </w:tcPr>
          <w:p>
            <w:pPr>
              <w:jc w:val="right"/>
              <w:ind w:right="415"/>
              <w:spacing w:after="0" w:line="202" w:lineRule="exact"/>
              <w:rPr>
                <w:sz w:val="20"/>
                <w:szCs w:val="20"/>
                <w:color w:val="auto"/>
              </w:rPr>
            </w:pPr>
            <w:r>
              <w:rPr>
                <w:rFonts w:ascii="Arial" w:cs="Arial" w:eastAsia="Arial" w:hAnsi="Arial"/>
                <w:sz w:val="18"/>
                <w:szCs w:val="18"/>
                <w:color w:val="auto"/>
              </w:rPr>
              <w:t>$1,648,750</w:t>
            </w:r>
          </w:p>
        </w:tc>
        <w:tc>
          <w:tcPr>
            <w:tcW w:w="1500" w:type="dxa"/>
            <w:vAlign w:val="bottom"/>
            <w:shd w:val="clear" w:color="auto" w:fill="D9D9D9"/>
          </w:tcPr>
          <w:p>
            <w:pPr>
              <w:jc w:val="right"/>
              <w:ind w:right="19"/>
              <w:spacing w:after="0" w:line="202" w:lineRule="exact"/>
              <w:rPr>
                <w:sz w:val="20"/>
                <w:szCs w:val="20"/>
                <w:color w:val="auto"/>
              </w:rPr>
            </w:pPr>
            <w:r>
              <w:rPr>
                <w:rFonts w:ascii="Arial" w:cs="Arial" w:eastAsia="Arial" w:hAnsi="Arial"/>
                <w:sz w:val="18"/>
                <w:szCs w:val="18"/>
                <w:color w:val="auto"/>
              </w:rPr>
              <w:t>1% above</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Mr. Olson</w:t>
            </w:r>
          </w:p>
        </w:tc>
        <w:tc>
          <w:tcPr>
            <w:tcW w:w="5480" w:type="dxa"/>
            <w:vAlign w:val="bottom"/>
          </w:tcPr>
          <w:p>
            <w:pPr>
              <w:jc w:val="right"/>
              <w:ind w:right="415"/>
              <w:spacing w:after="0" w:line="202" w:lineRule="exact"/>
              <w:rPr>
                <w:sz w:val="20"/>
                <w:szCs w:val="20"/>
                <w:color w:val="auto"/>
              </w:rPr>
            </w:pPr>
            <w:r>
              <w:rPr>
                <w:rFonts w:ascii="Arial" w:cs="Arial" w:eastAsia="Arial" w:hAnsi="Arial"/>
                <w:sz w:val="18"/>
                <w:szCs w:val="18"/>
                <w:color w:val="auto"/>
              </w:rPr>
              <w:t>$1,800,000</w:t>
            </w:r>
          </w:p>
        </w:tc>
        <w:tc>
          <w:tcPr>
            <w:tcW w:w="15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18% below</w:t>
            </w:r>
          </w:p>
        </w:tc>
      </w:tr>
      <w:tr>
        <w:trPr>
          <w:trHeight w:val="203"/>
        </w:trPr>
        <w:tc>
          <w:tcPr>
            <w:tcW w:w="44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Mr. Brown</w:t>
            </w:r>
          </w:p>
        </w:tc>
        <w:tc>
          <w:tcPr>
            <w:tcW w:w="5480" w:type="dxa"/>
            <w:vAlign w:val="bottom"/>
            <w:shd w:val="clear" w:color="auto" w:fill="D9D9D9"/>
          </w:tcPr>
          <w:p>
            <w:pPr>
              <w:jc w:val="right"/>
              <w:ind w:right="415"/>
              <w:spacing w:after="0" w:line="202" w:lineRule="exact"/>
              <w:rPr>
                <w:sz w:val="20"/>
                <w:szCs w:val="20"/>
                <w:color w:val="auto"/>
              </w:rPr>
            </w:pPr>
            <w:r>
              <w:rPr>
                <w:rFonts w:ascii="Arial" w:cs="Arial" w:eastAsia="Arial" w:hAnsi="Arial"/>
                <w:sz w:val="18"/>
                <w:szCs w:val="18"/>
                <w:color w:val="auto"/>
              </w:rPr>
              <w:t>$1,176,500</w:t>
            </w:r>
          </w:p>
        </w:tc>
        <w:tc>
          <w:tcPr>
            <w:tcW w:w="1500" w:type="dxa"/>
            <w:vAlign w:val="bottom"/>
            <w:shd w:val="clear" w:color="auto" w:fill="D9D9D9"/>
          </w:tcPr>
          <w:p>
            <w:pPr>
              <w:jc w:val="right"/>
              <w:ind w:right="19"/>
              <w:spacing w:after="0" w:line="202" w:lineRule="exact"/>
              <w:rPr>
                <w:sz w:val="20"/>
                <w:szCs w:val="20"/>
                <w:color w:val="auto"/>
              </w:rPr>
            </w:pPr>
            <w:r>
              <w:rPr>
                <w:rFonts w:ascii="Arial" w:cs="Arial" w:eastAsia="Arial" w:hAnsi="Arial"/>
                <w:sz w:val="18"/>
                <w:szCs w:val="18"/>
                <w:color w:val="auto"/>
              </w:rPr>
              <w:t>2% below</w:t>
            </w: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Mr. Dordell</w:t>
            </w:r>
          </w:p>
        </w:tc>
        <w:tc>
          <w:tcPr>
            <w:tcW w:w="5480" w:type="dxa"/>
            <w:vAlign w:val="bottom"/>
          </w:tcPr>
          <w:p>
            <w:pPr>
              <w:jc w:val="right"/>
              <w:ind w:right="415"/>
              <w:spacing w:after="0"/>
              <w:rPr>
                <w:sz w:val="20"/>
                <w:szCs w:val="20"/>
                <w:color w:val="auto"/>
              </w:rPr>
            </w:pPr>
            <w:r>
              <w:rPr>
                <w:rFonts w:ascii="Arial" w:cs="Arial" w:eastAsia="Arial" w:hAnsi="Arial"/>
                <w:sz w:val="18"/>
                <w:szCs w:val="18"/>
                <w:color w:val="auto"/>
              </w:rPr>
              <w:t>$1,110,500</w:t>
            </w: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3% below</w:t>
            </w: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p>
    <w:p>
      <w:pPr>
        <w:spacing w:after="0" w:line="216"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 important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employee’s compensation package and promotes employee health. Our executive officers participate in the same health and welfare benefits as our full-time office salaried employees. These health and welfare benefits for fiscal 2016 included medical and dental insurance; life, accidental death and dismemberment insurance; and disability insurance. These benefits, including plan design and cost, are analyzed annually.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IS&amp;ESOP, which is our defined contribution plan. The majority of our U.S.-based employees participate in the IS&amp;ESOP and certain other employees that are members of a collectively bargained agreement or employees of certain of our subsidiaries participate in different retirement plans. The IS&amp;ESOP plan includes a 401(k) plan with a company match and two other annual discretionary company contributions, which include an investment savings contribution and an ESOP contribution. Company contributions for fiscal 2016 to our defined contribution plan on behalf of our named executive officers can be found under “All Other Compensation for Fiscal 2016” beginning on page 51.</w:t>
      </w:r>
    </w:p>
    <w:p>
      <w:pPr>
        <w:spacing w:after="0" w:line="180"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i w:val="1"/>
          <w:iCs w:val="1"/>
          <w:color w:val="auto"/>
        </w:rPr>
        <w:t>Nonqualified Deferred Compensation Plans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If an executive officer’s compensation exceeds the IRS compensation limit, they are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in terms of what they can contribute and what we can match in our qualified defined contribution plan. To help ensure our executive officers’ ability to provide financial security and save for retirement, we maintain three nonqualified deferred compensation plans, which include: The Toro Company Deferred Compensation Plan, or Deferred Plan, the Deferred Plan for Officers and The Toro Company Supplemental Benefit Plan, or Supplemental Benefit Plan. These plans, which are unsecured and unfunded, are described under “Nonqualified Deferred Compensation for Fiscal 2016” beginning on page 56.</w:t>
      </w:r>
    </w:p>
    <w:p>
      <w:pPr>
        <w:spacing w:after="0" w:line="183" w:lineRule="exact"/>
        <w:rPr>
          <w:sz w:val="20"/>
          <w:szCs w:val="20"/>
          <w:color w:val="auto"/>
        </w:rPr>
      </w:pPr>
    </w:p>
    <w:p>
      <w:pPr>
        <w:ind w:right="20" w:firstLine="456"/>
        <w:spacing w:after="0" w:line="245"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perquisites, as well as the value of such perquisites, provided during fiscal 2016 to our executive officers are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greater detail in “All Other Compensation for Fiscal 2016” beginning on page 51. 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177" w:lineRule="exact"/>
        <w:rPr>
          <w:sz w:val="20"/>
          <w:szCs w:val="20"/>
          <w:color w:val="auto"/>
        </w:rPr>
      </w:pPr>
    </w:p>
    <w:p>
      <w:pPr>
        <w:ind w:right="500" w:firstLine="456"/>
        <w:spacing w:after="0" w:line="253"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provides that a gift or gifts by an executive officer and his/her spouse to one or more tax exempt 501(c)(3) charitable organizations located in the United States will be matched by us in an aggregate amount of up to $3,000 per year.</w:t>
      </w:r>
    </w:p>
    <w:p>
      <w:pPr>
        <w:spacing w:after="0" w:line="169" w:lineRule="exact"/>
        <w:rPr>
          <w:sz w:val="20"/>
          <w:szCs w:val="20"/>
          <w:color w:val="auto"/>
        </w:rPr>
      </w:pPr>
    </w:p>
    <w:p>
      <w:pPr>
        <w:ind w:right="180" w:firstLine="456"/>
        <w:spacing w:after="0" w:line="242" w:lineRule="auto"/>
        <w:rPr>
          <w:sz w:val="20"/>
          <w:szCs w:val="20"/>
          <w:color w:val="auto"/>
        </w:rPr>
      </w:pPr>
      <w:r>
        <w:rPr>
          <w:rFonts w:ascii="Arial" w:cs="Arial" w:eastAsia="Arial" w:hAnsi="Arial"/>
          <w:sz w:val="18"/>
          <w:szCs w:val="18"/>
          <w:b w:val="1"/>
          <w:bCs w:val="1"/>
          <w:color w:val="auto"/>
        </w:rPr>
        <w:t xml:space="preserve">Employment, Severance and Change in Control Arrangements. </w:t>
      </w:r>
      <w:r>
        <w:rPr>
          <w:rFonts w:ascii="Arial" w:cs="Arial" w:eastAsia="Arial" w:hAnsi="Arial"/>
          <w:sz w:val="18"/>
          <w:szCs w:val="18"/>
          <w:color w:val="auto"/>
        </w:rPr>
        <w:t>Our executive officers do not have any employment or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or arrangements other than as provided for in our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60. Each executive officer is a party to our standard confidentiality, invention and non-compete agreement.</w:t>
      </w:r>
    </w:p>
    <w:p>
      <w:pPr>
        <w:spacing w:after="0" w:line="201"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We believe that our CIC policy and other change in control arrangements are important because they provide retention incentives and additional monetary motivation to complete a transaction that the Board believes is in the best interests of our Company and our shareholders. We believe that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205"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20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addition to our CIC policy, we also have change in control provisions in our Amended and Restated 2010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beginning on page 60. Because the immediate vesting of stock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options, restricted stock,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203"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The Compensation &amp; Human Resources Committee reviews our change of control arrangements periodically to ensure that they remain appropriate.</w:t>
      </w:r>
    </w:p>
    <w:p>
      <w:pPr>
        <w:spacing w:after="0" w:line="175"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that enable us to meet our compensation objective of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interests of our executive officers with those of our shareholders. Our stock ownership guidelines are described in more detail in “Stock Ownership Guidelines” on page 8. As of October 31, 2016, each of our executive officers required to meet the stock ownership guidelines had met such guideline.</w:t>
      </w:r>
    </w:p>
    <w:p>
      <w:pPr>
        <w:spacing w:after="0" w:line="174" w:lineRule="exact"/>
        <w:rPr>
          <w:sz w:val="20"/>
          <w:szCs w:val="20"/>
          <w:color w:val="auto"/>
        </w:rPr>
      </w:pPr>
    </w:p>
    <w:p>
      <w:pPr>
        <w:ind w:right="40" w:firstLine="456"/>
        <w:spacing w:after="0" w:line="244" w:lineRule="auto"/>
        <w:rPr>
          <w:sz w:val="20"/>
          <w:szCs w:val="20"/>
          <w:color w:val="auto"/>
        </w:rPr>
      </w:pPr>
      <w:r>
        <w:rPr>
          <w:rFonts w:ascii="Arial" w:cs="Arial" w:eastAsia="Arial" w:hAnsi="Arial"/>
          <w:sz w:val="18"/>
          <w:szCs w:val="18"/>
          <w:b w:val="1"/>
          <w:bCs w:val="1"/>
          <w:color w:val="auto"/>
        </w:rPr>
        <w:t xml:space="preserve">Hedging and Pledging. </w:t>
      </w:r>
      <w:r>
        <w:rPr>
          <w:rFonts w:ascii="Arial" w:cs="Arial" w:eastAsia="Arial" w:hAnsi="Arial"/>
          <w:sz w:val="18"/>
          <w:szCs w:val="18"/>
          <w:color w:val="auto"/>
        </w:rPr>
        <w:t>Our insider trading policy prohibits officers and directors from purchasing Toro securities on margin,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account in which Toro securities are held, or pledging Toro securities as collateral for a loan. In addition, our insider trading policy prohibits employees (including executive officers) and directors from purchasing any financial instruments (including, without limitation, prepaid variable forward contracts, equity swaps, collars and exchange funds) that are designed to hedge or offset any decrease in the market value of Toro securities.</w:t>
      </w:r>
    </w:p>
    <w:p>
      <w:pPr>
        <w:spacing w:after="0" w:line="17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b w:val="1"/>
          <w:bCs w:val="1"/>
          <w:color w:val="auto"/>
        </w:rPr>
        <w:t xml:space="preserve">Tax Deductibility of Compensation. </w:t>
      </w:r>
      <w:r>
        <w:rPr>
          <w:rFonts w:ascii="Arial" w:cs="Arial" w:eastAsia="Arial" w:hAnsi="Arial"/>
          <w:sz w:val="18"/>
          <w:szCs w:val="18"/>
          <w:color w:val="auto"/>
        </w:rPr>
        <w:t>In designing our executive compensation program, we consider the deductibility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under Code Section 162(m), which provides that we may not deduct more than $1 million paid to certain executive officers, other than “performance-based” compensation meeting certain requirements. Our compensation plans and the annual cash incentive award payouts, stock option grants and performance share award payouts made under these plans have been designed with the intention of satisfying the requirements for “performance-based” compensation as defined in Code Section 162(m). While we design these plans to operate in a manner intended to qualify as “performance-based” under Code Section 162(m), the Committee may administer the plans in a manner that does not satisfy the requirements of Code Section 162(m) in order to achieve a result that the Committee determines to be appropriate. All performance-based compensation awarded to, earned by or paid to our named executive officers in fiscal 2016 was intended to be deductible under Code Section 162(m).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Assessment of Risk Related to Compensation Programs</w:t>
      </w:r>
    </w:p>
    <w:p>
      <w:pPr>
        <w:spacing w:after="0" w:line="23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profitability and asset efficiency strategies that emphasize shareholder value creation. In reaching such determination, we noted that (i) base salaries for all employees are targeted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Summary Compensation Table</w:t>
      </w:r>
    </w:p>
    <w:p>
      <w:pPr>
        <w:spacing w:after="0" w:line="234"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2016. We collectively refer to these executive officers as our “named executive officers” for fiscal 2016. The “Compensation Discussion and Analysis” beginning on page 33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forms of compensation are described in more detail under “Nonqualified Deferred Compensation for Fiscal 2016” beginning on page 56. Earnings on nonqualified deferred compensation are not on a basis that is considered to be above-market or preferential. Share and per share data set forth in the footnotes below have been adjusted to reflect our two-for-one stock split that was effective September 16,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180" w:type="dxa"/>
            <w:vAlign w:val="bottom"/>
            <w:shd w:val="clear" w:color="auto" w:fill="C00000"/>
          </w:tcPr>
          <w:p>
            <w:pPr>
              <w:spacing w:after="0"/>
              <w:rPr>
                <w:sz w:val="14"/>
                <w:szCs w:val="14"/>
                <w:color w:val="auto"/>
              </w:rPr>
            </w:pPr>
          </w:p>
        </w:tc>
        <w:tc>
          <w:tcPr>
            <w:tcW w:w="740" w:type="dxa"/>
            <w:vAlign w:val="bottom"/>
            <w:shd w:val="clear" w:color="auto" w:fill="C00000"/>
          </w:tcPr>
          <w:p>
            <w:pPr>
              <w:spacing w:after="0"/>
              <w:rPr>
                <w:sz w:val="14"/>
                <w:szCs w:val="14"/>
                <w:color w:val="auto"/>
              </w:rPr>
            </w:pPr>
          </w:p>
        </w:tc>
        <w:tc>
          <w:tcPr>
            <w:tcW w:w="180" w:type="dxa"/>
            <w:vAlign w:val="bottom"/>
            <w:shd w:val="clear" w:color="auto" w:fill="C00000"/>
          </w:tcPr>
          <w:p>
            <w:pPr>
              <w:spacing w:after="0"/>
              <w:rPr>
                <w:sz w:val="14"/>
                <w:szCs w:val="14"/>
                <w:color w:val="auto"/>
              </w:rPr>
            </w:pPr>
          </w:p>
        </w:tc>
        <w:tc>
          <w:tcPr>
            <w:tcW w:w="740" w:type="dxa"/>
            <w:vAlign w:val="bottom"/>
            <w:shd w:val="clear" w:color="auto" w:fill="C00000"/>
          </w:tcPr>
          <w:p>
            <w:pPr>
              <w:spacing w:after="0"/>
              <w:rPr>
                <w:sz w:val="14"/>
                <w:szCs w:val="14"/>
                <w:color w:val="auto"/>
              </w:rPr>
            </w:pPr>
          </w:p>
        </w:tc>
        <w:tc>
          <w:tcPr>
            <w:tcW w:w="13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Non-Equity</w:t>
            </w:r>
          </w:p>
        </w:tc>
        <w:tc>
          <w:tcPr>
            <w:tcW w:w="700" w:type="dxa"/>
            <w:vAlign w:val="bottom"/>
            <w:shd w:val="clear" w:color="auto" w:fill="C00000"/>
          </w:tcPr>
          <w:p>
            <w:pPr>
              <w:spacing w:after="0"/>
              <w:rPr>
                <w:sz w:val="14"/>
                <w:szCs w:val="14"/>
                <w:color w:val="auto"/>
              </w:rPr>
            </w:pPr>
          </w:p>
        </w:tc>
        <w:tc>
          <w:tcPr>
            <w:tcW w:w="62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r>
      <w:tr>
        <w:trPr>
          <w:trHeight w:val="159"/>
        </w:trPr>
        <w:tc>
          <w:tcPr>
            <w:tcW w:w="3660" w:type="dxa"/>
            <w:vAlign w:val="bottom"/>
            <w:shd w:val="clear" w:color="auto" w:fill="C00000"/>
          </w:tcPr>
          <w:p>
            <w:pPr>
              <w:spacing w:after="0"/>
              <w:rPr>
                <w:sz w:val="13"/>
                <w:szCs w:val="13"/>
                <w:color w:val="auto"/>
              </w:rPr>
            </w:pPr>
          </w:p>
        </w:tc>
        <w:tc>
          <w:tcPr>
            <w:tcW w:w="840" w:type="dxa"/>
            <w:vAlign w:val="bottom"/>
            <w:shd w:val="clear" w:color="auto" w:fill="C00000"/>
          </w:tcPr>
          <w:p>
            <w:pPr>
              <w:spacing w:after="0"/>
              <w:rPr>
                <w:sz w:val="13"/>
                <w:szCs w:val="13"/>
                <w:color w:val="auto"/>
              </w:rPr>
            </w:pPr>
          </w:p>
        </w:tc>
        <w:tc>
          <w:tcPr>
            <w:tcW w:w="780" w:type="dxa"/>
            <w:vAlign w:val="bottom"/>
            <w:shd w:val="clear" w:color="auto" w:fill="C00000"/>
          </w:tcPr>
          <w:p>
            <w:pPr>
              <w:spacing w:after="0"/>
              <w:rPr>
                <w:sz w:val="13"/>
                <w:szCs w:val="13"/>
                <w:color w:val="auto"/>
              </w:rPr>
            </w:pPr>
          </w:p>
        </w:tc>
        <w:tc>
          <w:tcPr>
            <w:tcW w:w="760" w:type="dxa"/>
            <w:vAlign w:val="bottom"/>
            <w:shd w:val="clear" w:color="auto" w:fill="C00000"/>
          </w:tcPr>
          <w:p>
            <w:pPr>
              <w:spacing w:after="0"/>
              <w:rPr>
                <w:sz w:val="13"/>
                <w:szCs w:val="13"/>
                <w:color w:val="auto"/>
              </w:rPr>
            </w:pPr>
          </w:p>
        </w:tc>
        <w:tc>
          <w:tcPr>
            <w:tcW w:w="180" w:type="dxa"/>
            <w:vAlign w:val="bottom"/>
            <w:shd w:val="clear" w:color="auto" w:fill="C00000"/>
          </w:tcPr>
          <w:p>
            <w:pPr>
              <w:spacing w:after="0"/>
              <w:rPr>
                <w:sz w:val="13"/>
                <w:szCs w:val="13"/>
                <w:color w:val="auto"/>
              </w:rPr>
            </w:pPr>
          </w:p>
        </w:tc>
        <w:tc>
          <w:tcPr>
            <w:tcW w:w="740" w:type="dxa"/>
            <w:vAlign w:val="bottom"/>
            <w:shd w:val="clear" w:color="auto" w:fill="C00000"/>
          </w:tcPr>
          <w:p>
            <w:pPr>
              <w:jc w:val="center"/>
              <w:ind w:right="108"/>
              <w:spacing w:after="0" w:line="159" w:lineRule="exact"/>
              <w:rPr>
                <w:sz w:val="20"/>
                <w:szCs w:val="20"/>
                <w:color w:val="auto"/>
              </w:rPr>
            </w:pPr>
            <w:r>
              <w:rPr>
                <w:rFonts w:ascii="Arial" w:cs="Arial" w:eastAsia="Arial" w:hAnsi="Arial"/>
                <w:sz w:val="14"/>
                <w:szCs w:val="14"/>
                <w:b w:val="1"/>
                <w:bCs w:val="1"/>
                <w:color w:val="FFFFFF"/>
              </w:rPr>
              <w:t>Stock</w:t>
            </w:r>
          </w:p>
        </w:tc>
        <w:tc>
          <w:tcPr>
            <w:tcW w:w="180" w:type="dxa"/>
            <w:vAlign w:val="bottom"/>
            <w:shd w:val="clear" w:color="auto" w:fill="C00000"/>
          </w:tcPr>
          <w:p>
            <w:pPr>
              <w:spacing w:after="0"/>
              <w:rPr>
                <w:sz w:val="13"/>
                <w:szCs w:val="13"/>
                <w:color w:val="auto"/>
              </w:rPr>
            </w:pPr>
          </w:p>
        </w:tc>
        <w:tc>
          <w:tcPr>
            <w:tcW w:w="740" w:type="dxa"/>
            <w:vAlign w:val="bottom"/>
            <w:shd w:val="clear" w:color="auto" w:fill="C00000"/>
          </w:tcPr>
          <w:p>
            <w:pPr>
              <w:jc w:val="center"/>
              <w:ind w:right="128"/>
              <w:spacing w:after="0" w:line="159" w:lineRule="exact"/>
              <w:rPr>
                <w:sz w:val="20"/>
                <w:szCs w:val="20"/>
                <w:color w:val="auto"/>
              </w:rPr>
            </w:pPr>
            <w:r>
              <w:rPr>
                <w:rFonts w:ascii="Arial" w:cs="Arial" w:eastAsia="Arial" w:hAnsi="Arial"/>
                <w:sz w:val="14"/>
                <w:szCs w:val="14"/>
                <w:b w:val="1"/>
                <w:bCs w:val="1"/>
                <w:color w:val="FFFFFF"/>
              </w:rPr>
              <w:t>Option</w:t>
            </w:r>
          </w:p>
        </w:tc>
        <w:tc>
          <w:tcPr>
            <w:tcW w:w="130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Incentive Plan</w:t>
            </w:r>
          </w:p>
        </w:tc>
        <w:tc>
          <w:tcPr>
            <w:tcW w:w="132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All Other</w:t>
            </w:r>
          </w:p>
        </w:tc>
        <w:tc>
          <w:tcPr>
            <w:tcW w:w="920" w:type="dxa"/>
            <w:vAlign w:val="bottom"/>
            <w:shd w:val="clear" w:color="auto" w:fill="C00000"/>
          </w:tcPr>
          <w:p>
            <w:pPr>
              <w:spacing w:after="0"/>
              <w:rPr>
                <w:sz w:val="13"/>
                <w:szCs w:val="13"/>
                <w:color w:val="auto"/>
              </w:rPr>
            </w:pPr>
          </w:p>
        </w:tc>
      </w:tr>
      <w:tr>
        <w:trPr>
          <w:trHeight w:val="166"/>
        </w:trPr>
        <w:tc>
          <w:tcPr>
            <w:tcW w:w="366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Name and</w:t>
            </w:r>
          </w:p>
        </w:tc>
        <w:tc>
          <w:tcPr>
            <w:tcW w:w="840" w:type="dxa"/>
            <w:vAlign w:val="bottom"/>
            <w:shd w:val="clear" w:color="auto" w:fill="C00000"/>
          </w:tcPr>
          <w:p>
            <w:pPr>
              <w:spacing w:after="0"/>
              <w:rPr>
                <w:sz w:val="14"/>
                <w:szCs w:val="14"/>
                <w:color w:val="auto"/>
              </w:rPr>
            </w:pPr>
          </w:p>
        </w:tc>
        <w:tc>
          <w:tcPr>
            <w:tcW w:w="780" w:type="dxa"/>
            <w:vAlign w:val="bottom"/>
            <w:shd w:val="clear" w:color="auto" w:fill="C00000"/>
          </w:tcPr>
          <w:p>
            <w:pPr>
              <w:ind w:left="160"/>
              <w:spacing w:after="0"/>
              <w:rPr>
                <w:sz w:val="20"/>
                <w:szCs w:val="20"/>
                <w:color w:val="auto"/>
              </w:rPr>
            </w:pPr>
            <w:r>
              <w:rPr>
                <w:rFonts w:ascii="Arial" w:cs="Arial" w:eastAsia="Arial" w:hAnsi="Arial"/>
                <w:sz w:val="14"/>
                <w:szCs w:val="14"/>
                <w:b w:val="1"/>
                <w:bCs w:val="1"/>
                <w:color w:val="FFFFFF"/>
              </w:rPr>
              <w:t>Salary</w:t>
            </w:r>
          </w:p>
        </w:tc>
        <w:tc>
          <w:tcPr>
            <w:tcW w:w="760" w:type="dxa"/>
            <w:vAlign w:val="bottom"/>
            <w:shd w:val="clear" w:color="auto" w:fill="C00000"/>
          </w:tcPr>
          <w:p>
            <w:pPr>
              <w:jc w:val="right"/>
              <w:ind w:right="9"/>
              <w:spacing w:after="0" w:line="165" w:lineRule="exact"/>
              <w:rPr>
                <w:sz w:val="20"/>
                <w:szCs w:val="20"/>
                <w:color w:val="auto"/>
              </w:rPr>
            </w:pPr>
            <w:r>
              <w:rPr>
                <w:rFonts w:ascii="Arial" w:cs="Arial" w:eastAsia="Arial" w:hAnsi="Arial"/>
                <w:sz w:val="12"/>
                <w:szCs w:val="12"/>
                <w:b w:val="1"/>
                <w:bCs w:val="1"/>
                <w:color w:val="FFFFFF"/>
              </w:rPr>
              <w:t>Bonus</w:t>
            </w:r>
            <w:r>
              <w:rPr>
                <w:rFonts w:ascii="Arial" w:cs="Arial" w:eastAsia="Arial" w:hAnsi="Arial"/>
                <w:sz w:val="19"/>
                <w:szCs w:val="19"/>
                <w:b w:val="1"/>
                <w:bCs w:val="1"/>
                <w:color w:val="FFFFFF"/>
                <w:vertAlign w:val="superscript"/>
              </w:rPr>
              <w:t>(1)</w:t>
            </w:r>
          </w:p>
        </w:tc>
        <w:tc>
          <w:tcPr>
            <w:tcW w:w="92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(2)</w:t>
            </w:r>
          </w:p>
        </w:tc>
        <w:tc>
          <w:tcPr>
            <w:tcW w:w="92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(3)</w:t>
            </w:r>
          </w:p>
        </w:tc>
        <w:tc>
          <w:tcPr>
            <w:tcW w:w="130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(4)</w:t>
            </w:r>
          </w:p>
        </w:tc>
        <w:tc>
          <w:tcPr>
            <w:tcW w:w="132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(5)</w:t>
            </w:r>
          </w:p>
        </w:tc>
        <w:tc>
          <w:tcPr>
            <w:tcW w:w="92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Total</w:t>
            </w:r>
          </w:p>
        </w:tc>
      </w:tr>
      <w:tr>
        <w:trPr>
          <w:trHeight w:val="189"/>
        </w:trPr>
        <w:tc>
          <w:tcPr>
            <w:tcW w:w="366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Principal Position</w:t>
            </w:r>
          </w:p>
        </w:tc>
        <w:tc>
          <w:tcPr>
            <w:tcW w:w="8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Year</w:t>
            </w:r>
          </w:p>
        </w:tc>
        <w:tc>
          <w:tcPr>
            <w:tcW w:w="7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C00000"/>
          </w:tcPr>
          <w:p>
            <w:pPr>
              <w:jc w:val="right"/>
              <w:ind w:right="229"/>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C00000"/>
          </w:tcPr>
          <w:p>
            <w:pPr>
              <w:spacing w:after="0"/>
              <w:rPr>
                <w:sz w:val="16"/>
                <w:szCs w:val="16"/>
                <w:color w:val="auto"/>
              </w:rPr>
            </w:pPr>
          </w:p>
        </w:tc>
        <w:tc>
          <w:tcPr>
            <w:tcW w:w="740" w:type="dxa"/>
            <w:vAlign w:val="bottom"/>
            <w:shd w:val="clear" w:color="auto" w:fill="C00000"/>
          </w:tcPr>
          <w:p>
            <w:pPr>
              <w:jc w:val="center"/>
              <w:ind w:right="128"/>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C00000"/>
          </w:tcPr>
          <w:p>
            <w:pPr>
              <w:spacing w:after="0"/>
              <w:rPr>
                <w:sz w:val="16"/>
                <w:szCs w:val="16"/>
                <w:color w:val="auto"/>
              </w:rPr>
            </w:pPr>
          </w:p>
        </w:tc>
        <w:tc>
          <w:tcPr>
            <w:tcW w:w="740" w:type="dxa"/>
            <w:vAlign w:val="bottom"/>
            <w:shd w:val="clear" w:color="auto" w:fill="C00000"/>
          </w:tcPr>
          <w:p>
            <w:pPr>
              <w:jc w:val="center"/>
              <w:ind w:right="128"/>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C00000"/>
          </w:tcPr>
          <w:p>
            <w:pPr>
              <w:spacing w:after="0"/>
              <w:rPr>
                <w:sz w:val="16"/>
                <w:szCs w:val="16"/>
                <w:color w:val="auto"/>
              </w:rPr>
            </w:pPr>
          </w:p>
        </w:tc>
        <w:tc>
          <w:tcPr>
            <w:tcW w:w="740" w:type="dxa"/>
            <w:vAlign w:val="bottom"/>
            <w:shd w:val="clear" w:color="auto" w:fill="C00000"/>
          </w:tcPr>
          <w:p>
            <w:pPr>
              <w:jc w:val="center"/>
              <w:ind w:right="488"/>
              <w:spacing w:after="0"/>
              <w:rPr>
                <w:sz w:val="20"/>
                <w:szCs w:val="20"/>
                <w:color w:val="auto"/>
              </w:rPr>
            </w:pPr>
            <w:r>
              <w:rPr>
                <w:rFonts w:ascii="Arial" w:cs="Arial" w:eastAsia="Arial" w:hAnsi="Arial"/>
                <w:sz w:val="14"/>
                <w:szCs w:val="14"/>
                <w:b w:val="1"/>
                <w:bCs w:val="1"/>
                <w:color w:val="FFFFFF"/>
              </w:rPr>
              <w:t>($)</w:t>
            </w:r>
          </w:p>
        </w:tc>
        <w:tc>
          <w:tcPr>
            <w:tcW w:w="132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Michael J. Hoffman,</w:t>
            </w:r>
          </w:p>
        </w:tc>
        <w:tc>
          <w:tcPr>
            <w:tcW w:w="840" w:type="dxa"/>
            <w:vAlign w:val="bottom"/>
          </w:tcPr>
          <w:p>
            <w:pPr>
              <w:jc w:val="center"/>
              <w:ind w:left="8"/>
              <w:spacing w:after="0" w:line="159" w:lineRule="exact"/>
              <w:rPr>
                <w:sz w:val="20"/>
                <w:szCs w:val="20"/>
                <w:color w:val="auto"/>
              </w:rPr>
            </w:pPr>
            <w:r>
              <w:rPr>
                <w:rFonts w:ascii="Arial" w:cs="Arial" w:eastAsia="Arial" w:hAnsi="Arial"/>
                <w:sz w:val="14"/>
                <w:szCs w:val="14"/>
                <w:color w:val="auto"/>
              </w:rPr>
              <w:t>2016</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rPr>
              <w:t>$ 990,000</w:t>
            </w:r>
          </w:p>
        </w:tc>
        <w:tc>
          <w:tcPr>
            <w:tcW w:w="760" w:type="dxa"/>
            <w:vAlign w:val="bottom"/>
          </w:tcPr>
          <w:p>
            <w:pPr>
              <w:jc w:val="right"/>
              <w:ind w:right="9"/>
              <w:spacing w:after="0" w:line="159" w:lineRule="exact"/>
              <w:rPr>
                <w:sz w:val="20"/>
                <w:szCs w:val="20"/>
                <w:color w:val="auto"/>
              </w:rPr>
            </w:pPr>
            <w:r>
              <w:rPr>
                <w:rFonts w:ascii="Arial" w:cs="Arial" w:eastAsia="Arial" w:hAnsi="Arial"/>
                <w:sz w:val="14"/>
                <w:szCs w:val="14"/>
                <w:color w:val="auto"/>
              </w:rPr>
              <w:t>$ 0</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59" w:lineRule="exact"/>
              <w:rPr>
                <w:sz w:val="20"/>
                <w:szCs w:val="20"/>
                <w:color w:val="auto"/>
              </w:rPr>
            </w:pPr>
            <w:r>
              <w:rPr>
                <w:rFonts w:ascii="Arial" w:cs="Arial" w:eastAsia="Arial" w:hAnsi="Arial"/>
                <w:sz w:val="14"/>
                <w:szCs w:val="14"/>
                <w:color w:val="auto"/>
              </w:rPr>
              <w:t>1,524,292</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59" w:lineRule="exact"/>
              <w:rPr>
                <w:sz w:val="20"/>
                <w:szCs w:val="20"/>
                <w:color w:val="auto"/>
              </w:rPr>
            </w:pPr>
            <w:r>
              <w:rPr>
                <w:rFonts w:ascii="Arial" w:cs="Arial" w:eastAsia="Arial" w:hAnsi="Arial"/>
                <w:sz w:val="14"/>
                <w:szCs w:val="14"/>
                <w:color w:val="auto"/>
              </w:rPr>
              <w:t>1,280,640</w:t>
            </w:r>
          </w:p>
        </w:tc>
        <w:tc>
          <w:tcPr>
            <w:tcW w:w="1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$ 1,023,536</w:t>
            </w:r>
          </w:p>
        </w:tc>
        <w:tc>
          <w:tcPr>
            <w:tcW w:w="700" w:type="dxa"/>
            <w:vAlign w:val="bottom"/>
          </w:tcPr>
          <w:p>
            <w:pPr>
              <w:jc w:val="center"/>
              <w:ind w:left="50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line="159" w:lineRule="exact"/>
              <w:rPr>
                <w:sz w:val="20"/>
                <w:szCs w:val="20"/>
                <w:color w:val="auto"/>
              </w:rPr>
            </w:pPr>
            <w:r>
              <w:rPr>
                <w:rFonts w:ascii="Arial" w:cs="Arial" w:eastAsia="Arial" w:hAnsi="Arial"/>
                <w:sz w:val="14"/>
                <w:szCs w:val="14"/>
                <w:color w:val="auto"/>
              </w:rPr>
              <w:t>205,002</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rPr>
              <w:t>$ 5,023,470</w:t>
            </w:r>
          </w:p>
        </w:tc>
      </w:tr>
      <w:tr>
        <w:trPr>
          <w:trHeight w:val="170"/>
        </w:trPr>
        <w:tc>
          <w:tcPr>
            <w:tcW w:w="3660" w:type="dxa"/>
            <w:vAlign w:val="bottom"/>
          </w:tcPr>
          <w:p>
            <w:pPr>
              <w:ind w:left="160"/>
              <w:spacing w:after="0" w:line="170" w:lineRule="exact"/>
              <w:rPr>
                <w:sz w:val="20"/>
                <w:szCs w:val="20"/>
                <w:color w:val="auto"/>
              </w:rPr>
            </w:pPr>
            <w:r>
              <w:rPr>
                <w:rFonts w:ascii="Arial" w:cs="Arial" w:eastAsia="Arial" w:hAnsi="Arial"/>
                <w:sz w:val="12"/>
                <w:szCs w:val="12"/>
                <w:color w:val="auto"/>
              </w:rPr>
              <w:t>Chairman and former CEO</w:t>
            </w:r>
            <w:r>
              <w:rPr>
                <w:rFonts w:ascii="Arial" w:cs="Arial" w:eastAsia="Arial" w:hAnsi="Arial"/>
                <w:sz w:val="19"/>
                <w:szCs w:val="19"/>
                <w:color w:val="auto"/>
                <w:vertAlign w:val="superscript"/>
              </w:rPr>
              <w:t>(6)</w:t>
            </w:r>
          </w:p>
        </w:tc>
        <w:tc>
          <w:tcPr>
            <w:tcW w:w="840" w:type="dxa"/>
            <w:vAlign w:val="bottom"/>
          </w:tcPr>
          <w:p>
            <w:pPr>
              <w:jc w:val="center"/>
              <w:ind w:left="8"/>
              <w:spacing w:after="0"/>
              <w:rPr>
                <w:sz w:val="20"/>
                <w:szCs w:val="20"/>
                <w:color w:val="auto"/>
              </w:rPr>
            </w:pPr>
            <w:r>
              <w:rPr>
                <w:rFonts w:ascii="Arial" w:cs="Arial" w:eastAsia="Arial" w:hAnsi="Arial"/>
                <w:sz w:val="14"/>
                <w:szCs w:val="14"/>
                <w:color w:val="auto"/>
              </w:rPr>
              <w:t>2015</w:t>
            </w:r>
          </w:p>
        </w:tc>
        <w:tc>
          <w:tcPr>
            <w:tcW w:w="780" w:type="dxa"/>
            <w:vAlign w:val="bottom"/>
          </w:tcPr>
          <w:p>
            <w:pPr>
              <w:jc w:val="center"/>
              <w:spacing w:after="0"/>
              <w:rPr>
                <w:sz w:val="20"/>
                <w:szCs w:val="20"/>
                <w:color w:val="auto"/>
              </w:rPr>
            </w:pPr>
            <w:r>
              <w:rPr>
                <w:rFonts w:ascii="Arial" w:cs="Arial" w:eastAsia="Arial" w:hAnsi="Arial"/>
                <w:sz w:val="14"/>
                <w:szCs w:val="14"/>
                <w:color w:val="auto"/>
              </w:rPr>
              <w:t>$ 960,000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1,451,528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1,255,936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$ 1,305,981</w:t>
            </w:r>
          </w:p>
        </w:tc>
        <w:tc>
          <w:tcPr>
            <w:tcW w:w="700" w:type="dxa"/>
            <w:vAlign w:val="bottom"/>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228,543</w:t>
            </w:r>
          </w:p>
        </w:tc>
        <w:tc>
          <w:tcPr>
            <w:tcW w:w="920" w:type="dxa"/>
            <w:vAlign w:val="bottom"/>
          </w:tcPr>
          <w:p>
            <w:pPr>
              <w:jc w:val="center"/>
              <w:spacing w:after="0"/>
              <w:rPr>
                <w:sz w:val="20"/>
                <w:szCs w:val="20"/>
                <w:color w:val="auto"/>
              </w:rPr>
            </w:pPr>
            <w:r>
              <w:rPr>
                <w:rFonts w:ascii="Arial" w:cs="Arial" w:eastAsia="Arial" w:hAnsi="Arial"/>
                <w:sz w:val="14"/>
                <w:szCs w:val="14"/>
                <w:color w:val="auto"/>
              </w:rPr>
              <w:t>$ 5,201,988</w:t>
            </w:r>
          </w:p>
        </w:tc>
      </w:tr>
      <w:tr>
        <w:trPr>
          <w:trHeight w:val="157"/>
        </w:trPr>
        <w:tc>
          <w:tcPr>
            <w:tcW w:w="3660" w:type="dxa"/>
            <w:vAlign w:val="bottom"/>
          </w:tcPr>
          <w:p>
            <w:pPr>
              <w:spacing w:after="0"/>
              <w:rPr>
                <w:sz w:val="13"/>
                <w:szCs w:val="13"/>
                <w:color w:val="auto"/>
              </w:rPr>
            </w:pPr>
          </w:p>
        </w:tc>
        <w:tc>
          <w:tcPr>
            <w:tcW w:w="840" w:type="dxa"/>
            <w:vAlign w:val="bottom"/>
          </w:tcPr>
          <w:p>
            <w:pPr>
              <w:jc w:val="center"/>
              <w:ind w:left="8"/>
              <w:spacing w:after="0" w:line="157" w:lineRule="exact"/>
              <w:rPr>
                <w:sz w:val="20"/>
                <w:szCs w:val="20"/>
                <w:color w:val="auto"/>
              </w:rPr>
            </w:pPr>
            <w:r>
              <w:rPr>
                <w:rFonts w:ascii="Arial" w:cs="Arial" w:eastAsia="Arial" w:hAnsi="Arial"/>
                <w:sz w:val="14"/>
                <w:szCs w:val="14"/>
                <w:color w:val="auto"/>
              </w:rPr>
              <w:t>2014</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rPr>
              <w:t>$ 925,000</w:t>
            </w:r>
          </w:p>
        </w:tc>
        <w:tc>
          <w:tcPr>
            <w:tcW w:w="760" w:type="dxa"/>
            <w:vAlign w:val="bottom"/>
          </w:tcPr>
          <w:p>
            <w:pPr>
              <w:jc w:val="right"/>
              <w:ind w:right="9"/>
              <w:spacing w:after="0" w:line="157" w:lineRule="exact"/>
              <w:rPr>
                <w:sz w:val="20"/>
                <w:szCs w:val="20"/>
                <w:color w:val="auto"/>
              </w:rPr>
            </w:pPr>
            <w:r>
              <w:rPr>
                <w:rFonts w:ascii="Arial" w:cs="Arial" w:eastAsia="Arial" w:hAnsi="Arial"/>
                <w:sz w:val="14"/>
                <w:szCs w:val="14"/>
                <w:color w:val="auto"/>
              </w:rPr>
              <w:t>$ 0</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1,402,427</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1,408,863</w:t>
            </w:r>
          </w:p>
        </w:tc>
        <w:tc>
          <w:tcPr>
            <w:tcW w:w="13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$ 1,252,034</w:t>
            </w:r>
          </w:p>
        </w:tc>
        <w:tc>
          <w:tcPr>
            <w:tcW w:w="700" w:type="dxa"/>
            <w:vAlign w:val="bottom"/>
          </w:tcPr>
          <w:p>
            <w:pPr>
              <w:jc w:val="center"/>
              <w:ind w:left="509"/>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231,890</w:t>
            </w: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rPr>
              <w:t>$ 5,220,214</w:t>
            </w:r>
          </w:p>
        </w:tc>
      </w:tr>
      <w:tr>
        <w:trPr>
          <w:trHeight w:val="162"/>
        </w:trPr>
        <w:tc>
          <w:tcPr>
            <w:tcW w:w="366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84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2016</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$ 485,000</w:t>
            </w:r>
          </w:p>
        </w:tc>
        <w:tc>
          <w:tcPr>
            <w:tcW w:w="76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435,512</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365,632</w:t>
            </w:r>
          </w:p>
        </w:tc>
        <w:tc>
          <w:tcPr>
            <w:tcW w:w="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300,858</w:t>
            </w:r>
          </w:p>
        </w:tc>
        <w:tc>
          <w:tcPr>
            <w:tcW w:w="700" w:type="dxa"/>
            <w:vAlign w:val="bottom"/>
            <w:shd w:val="clear" w:color="auto" w:fill="D9D9D9"/>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97,709</w:t>
            </w:r>
          </w:p>
        </w:tc>
        <w:tc>
          <w:tcPr>
            <w:tcW w:w="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$ 1,684,711</w:t>
            </w:r>
          </w:p>
        </w:tc>
      </w:tr>
      <w:tr>
        <w:trPr>
          <w:trHeight w:val="162"/>
        </w:trPr>
        <w:tc>
          <w:tcPr>
            <w:tcW w:w="3660" w:type="dxa"/>
            <w:vAlign w:val="bottom"/>
            <w:shd w:val="clear" w:color="auto" w:fill="D9D9D9"/>
          </w:tcPr>
          <w:p>
            <w:pPr>
              <w:ind w:left="160"/>
              <w:spacing w:after="0"/>
              <w:rPr>
                <w:sz w:val="20"/>
                <w:szCs w:val="20"/>
                <w:color w:val="auto"/>
              </w:rPr>
            </w:pPr>
            <w:r>
              <w:rPr>
                <w:rFonts w:ascii="Arial" w:cs="Arial" w:eastAsia="Arial" w:hAnsi="Arial"/>
                <w:sz w:val="14"/>
                <w:szCs w:val="14"/>
                <w:color w:val="auto"/>
              </w:rPr>
              <w:t>VP, Treasurer and</w:t>
            </w:r>
          </w:p>
        </w:tc>
        <w:tc>
          <w:tcPr>
            <w:tcW w:w="84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2015</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$ 475,000</w:t>
            </w:r>
          </w:p>
        </w:tc>
        <w:tc>
          <w:tcPr>
            <w:tcW w:w="76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394,080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338,960</w:t>
            </w:r>
          </w:p>
        </w:tc>
        <w:tc>
          <w:tcPr>
            <w:tcW w:w="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376,943</w:t>
            </w:r>
          </w:p>
        </w:tc>
        <w:tc>
          <w:tcPr>
            <w:tcW w:w="700" w:type="dxa"/>
            <w:vAlign w:val="bottom"/>
            <w:shd w:val="clear" w:color="auto" w:fill="D9D9D9"/>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103,435</w:t>
            </w:r>
          </w:p>
        </w:tc>
        <w:tc>
          <w:tcPr>
            <w:tcW w:w="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$ 1,688,418</w:t>
            </w:r>
          </w:p>
        </w:tc>
      </w:tr>
      <w:tr>
        <w:trPr>
          <w:trHeight w:val="162"/>
        </w:trPr>
        <w:tc>
          <w:tcPr>
            <w:tcW w:w="3660" w:type="dxa"/>
            <w:vAlign w:val="bottom"/>
            <w:shd w:val="clear" w:color="auto" w:fill="D9D9D9"/>
          </w:tcPr>
          <w:p>
            <w:pPr>
              <w:ind w:left="160"/>
              <w:spacing w:after="0"/>
              <w:rPr>
                <w:sz w:val="20"/>
                <w:szCs w:val="20"/>
                <w:color w:val="auto"/>
              </w:rPr>
            </w:pPr>
            <w:r>
              <w:rPr>
                <w:rFonts w:ascii="Arial" w:cs="Arial" w:eastAsia="Arial" w:hAnsi="Arial"/>
                <w:sz w:val="14"/>
                <w:szCs w:val="14"/>
                <w:color w:val="auto"/>
              </w:rPr>
              <w:t>CFO</w:t>
            </w:r>
          </w:p>
        </w:tc>
        <w:tc>
          <w:tcPr>
            <w:tcW w:w="84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2014</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$ 460,000</w:t>
            </w:r>
          </w:p>
        </w:tc>
        <w:tc>
          <w:tcPr>
            <w:tcW w:w="76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361,140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362,974</w:t>
            </w:r>
          </w:p>
        </w:tc>
        <w:tc>
          <w:tcPr>
            <w:tcW w:w="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378,994</w:t>
            </w:r>
          </w:p>
        </w:tc>
        <w:tc>
          <w:tcPr>
            <w:tcW w:w="700" w:type="dxa"/>
            <w:vAlign w:val="bottom"/>
            <w:shd w:val="clear" w:color="auto" w:fill="D9D9D9"/>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100,012</w:t>
            </w:r>
          </w:p>
        </w:tc>
        <w:tc>
          <w:tcPr>
            <w:tcW w:w="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$ 1,663,120</w:t>
            </w: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Richard M. Olson,</w:t>
            </w:r>
          </w:p>
        </w:tc>
        <w:tc>
          <w:tcPr>
            <w:tcW w:w="840" w:type="dxa"/>
            <w:vAlign w:val="bottom"/>
          </w:tcPr>
          <w:p>
            <w:pPr>
              <w:jc w:val="center"/>
              <w:ind w:left="8"/>
              <w:spacing w:after="0" w:line="159" w:lineRule="exact"/>
              <w:rPr>
                <w:sz w:val="20"/>
                <w:szCs w:val="20"/>
                <w:color w:val="auto"/>
              </w:rPr>
            </w:pPr>
            <w:r>
              <w:rPr>
                <w:rFonts w:ascii="Arial" w:cs="Arial" w:eastAsia="Arial" w:hAnsi="Arial"/>
                <w:sz w:val="14"/>
                <w:szCs w:val="14"/>
                <w:color w:val="auto"/>
              </w:rPr>
              <w:t>2016</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rPr>
              <w:t>$ 500,000</w:t>
            </w:r>
          </w:p>
        </w:tc>
        <w:tc>
          <w:tcPr>
            <w:tcW w:w="760" w:type="dxa"/>
            <w:vAlign w:val="bottom"/>
          </w:tcPr>
          <w:p>
            <w:pPr>
              <w:jc w:val="right"/>
              <w:ind w:right="9"/>
              <w:spacing w:after="0" w:line="159" w:lineRule="exact"/>
              <w:rPr>
                <w:sz w:val="20"/>
                <w:szCs w:val="20"/>
                <w:color w:val="auto"/>
              </w:rPr>
            </w:pPr>
            <w:r>
              <w:rPr>
                <w:rFonts w:ascii="Arial" w:cs="Arial" w:eastAsia="Arial" w:hAnsi="Arial"/>
                <w:sz w:val="14"/>
                <w:szCs w:val="14"/>
                <w:color w:val="auto"/>
              </w:rPr>
              <w:t>$ 0</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59" w:lineRule="exact"/>
              <w:rPr>
                <w:sz w:val="20"/>
                <w:szCs w:val="20"/>
                <w:color w:val="auto"/>
              </w:rPr>
            </w:pPr>
            <w:r>
              <w:rPr>
                <w:rFonts w:ascii="Arial" w:cs="Arial" w:eastAsia="Arial" w:hAnsi="Arial"/>
                <w:sz w:val="14"/>
                <w:szCs w:val="14"/>
                <w:color w:val="auto"/>
              </w:rPr>
              <w:t>489,951</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59" w:lineRule="exact"/>
              <w:rPr>
                <w:sz w:val="20"/>
                <w:szCs w:val="20"/>
                <w:color w:val="auto"/>
              </w:rPr>
            </w:pPr>
            <w:r>
              <w:rPr>
                <w:rFonts w:ascii="Arial" w:cs="Arial" w:eastAsia="Arial" w:hAnsi="Arial"/>
                <w:sz w:val="14"/>
                <w:szCs w:val="14"/>
                <w:color w:val="auto"/>
              </w:rPr>
              <w:t>412,032</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330,840</w:t>
            </w:r>
          </w:p>
        </w:tc>
        <w:tc>
          <w:tcPr>
            <w:tcW w:w="700" w:type="dxa"/>
            <w:vAlign w:val="bottom"/>
          </w:tcPr>
          <w:p>
            <w:pPr>
              <w:jc w:val="center"/>
              <w:ind w:left="50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line="159" w:lineRule="exact"/>
              <w:rPr>
                <w:sz w:val="20"/>
                <w:szCs w:val="20"/>
                <w:color w:val="auto"/>
              </w:rPr>
            </w:pPr>
            <w:r>
              <w:rPr>
                <w:rFonts w:ascii="Arial" w:cs="Arial" w:eastAsia="Arial" w:hAnsi="Arial"/>
                <w:sz w:val="14"/>
                <w:szCs w:val="14"/>
                <w:color w:val="auto"/>
              </w:rPr>
              <w:t>97,589</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rPr>
              <w:t>$ 1,830,412</w:t>
            </w:r>
          </w:p>
        </w:tc>
      </w:tr>
      <w:tr>
        <w:trPr>
          <w:trHeight w:val="165"/>
        </w:trPr>
        <w:tc>
          <w:tcPr>
            <w:tcW w:w="3660" w:type="dxa"/>
            <w:vAlign w:val="bottom"/>
          </w:tcPr>
          <w:p>
            <w:pPr>
              <w:ind w:left="160"/>
              <w:spacing w:after="0" w:line="164" w:lineRule="exact"/>
              <w:rPr>
                <w:sz w:val="20"/>
                <w:szCs w:val="20"/>
                <w:color w:val="auto"/>
              </w:rPr>
            </w:pPr>
            <w:r>
              <w:rPr>
                <w:rFonts w:ascii="Arial" w:cs="Arial" w:eastAsia="Arial" w:hAnsi="Arial"/>
                <w:sz w:val="12"/>
                <w:szCs w:val="12"/>
                <w:color w:val="auto"/>
              </w:rPr>
              <w:t>President and CEO and former President and COO</w:t>
            </w:r>
            <w:r>
              <w:rPr>
                <w:rFonts w:ascii="Arial" w:cs="Arial" w:eastAsia="Arial" w:hAnsi="Arial"/>
                <w:sz w:val="19"/>
                <w:szCs w:val="19"/>
                <w:color w:val="auto"/>
                <w:vertAlign w:val="superscript"/>
              </w:rPr>
              <w:t>(7)</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660" w:type="dxa"/>
            <w:vAlign w:val="bottom"/>
            <w:shd w:val="clear" w:color="auto" w:fill="D9D9D9"/>
          </w:tcPr>
          <w:p>
            <w:pPr>
              <w:spacing w:after="0"/>
              <w:rPr>
                <w:sz w:val="20"/>
                <w:szCs w:val="20"/>
                <w:color w:val="auto"/>
              </w:rPr>
            </w:pPr>
            <w:r>
              <w:rPr>
                <w:rFonts w:ascii="Arial" w:cs="Arial" w:eastAsia="Arial" w:hAnsi="Arial"/>
                <w:sz w:val="14"/>
                <w:szCs w:val="14"/>
                <w:color w:val="auto"/>
              </w:rPr>
              <w:t>William E. Brown, Jr.,</w:t>
            </w:r>
          </w:p>
        </w:tc>
        <w:tc>
          <w:tcPr>
            <w:tcW w:w="84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2016</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$ 410,000</w:t>
            </w:r>
          </w:p>
        </w:tc>
        <w:tc>
          <w:tcPr>
            <w:tcW w:w="76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272,195</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228,288</w:t>
            </w:r>
          </w:p>
        </w:tc>
        <w:tc>
          <w:tcPr>
            <w:tcW w:w="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236,974</w:t>
            </w:r>
          </w:p>
        </w:tc>
        <w:tc>
          <w:tcPr>
            <w:tcW w:w="700" w:type="dxa"/>
            <w:vAlign w:val="bottom"/>
            <w:shd w:val="clear" w:color="auto" w:fill="D9D9D9"/>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85,149</w:t>
            </w:r>
          </w:p>
        </w:tc>
        <w:tc>
          <w:tcPr>
            <w:tcW w:w="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$ 1,232,606</w:t>
            </w:r>
          </w:p>
        </w:tc>
      </w:tr>
      <w:tr>
        <w:trPr>
          <w:trHeight w:val="162"/>
        </w:trPr>
        <w:tc>
          <w:tcPr>
            <w:tcW w:w="3660" w:type="dxa"/>
            <w:vAlign w:val="bottom"/>
            <w:shd w:val="clear" w:color="auto" w:fill="D9D9D9"/>
          </w:tcPr>
          <w:p>
            <w:pPr>
              <w:ind w:left="160"/>
              <w:spacing w:after="0"/>
              <w:rPr>
                <w:sz w:val="20"/>
                <w:szCs w:val="20"/>
                <w:color w:val="auto"/>
              </w:rPr>
            </w:pPr>
            <w:r>
              <w:rPr>
                <w:rFonts w:ascii="Arial" w:cs="Arial" w:eastAsia="Arial" w:hAnsi="Arial"/>
                <w:sz w:val="14"/>
                <w:szCs w:val="14"/>
                <w:color w:val="auto"/>
              </w:rPr>
              <w:t>Group VP, Residential and Contractor Businesses</w:t>
            </w:r>
          </w:p>
        </w:tc>
        <w:tc>
          <w:tcPr>
            <w:tcW w:w="84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2015</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$ 390,000</w:t>
            </w:r>
          </w:p>
        </w:tc>
        <w:tc>
          <w:tcPr>
            <w:tcW w:w="76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516,680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201,592</w:t>
            </w:r>
          </w:p>
        </w:tc>
        <w:tc>
          <w:tcPr>
            <w:tcW w:w="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204,571</w:t>
            </w:r>
          </w:p>
        </w:tc>
        <w:tc>
          <w:tcPr>
            <w:tcW w:w="700" w:type="dxa"/>
            <w:vAlign w:val="bottom"/>
            <w:shd w:val="clear" w:color="auto" w:fill="D9D9D9"/>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84,943</w:t>
            </w:r>
          </w:p>
        </w:tc>
        <w:tc>
          <w:tcPr>
            <w:tcW w:w="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$ 1,397,786</w:t>
            </w:r>
          </w:p>
        </w:tc>
      </w:tr>
      <w:tr>
        <w:trPr>
          <w:trHeight w:val="162"/>
        </w:trPr>
        <w:tc>
          <w:tcPr>
            <w:tcW w:w="3660" w:type="dxa"/>
            <w:vAlign w:val="bottom"/>
            <w:shd w:val="clear" w:color="auto" w:fill="D9D9D9"/>
          </w:tcPr>
          <w:p>
            <w:pPr>
              <w:spacing w:after="0"/>
              <w:rPr>
                <w:sz w:val="14"/>
                <w:szCs w:val="14"/>
                <w:color w:val="auto"/>
              </w:rPr>
            </w:pPr>
          </w:p>
        </w:tc>
        <w:tc>
          <w:tcPr>
            <w:tcW w:w="84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2014</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$ 375,000</w:t>
            </w:r>
          </w:p>
        </w:tc>
        <w:tc>
          <w:tcPr>
            <w:tcW w:w="76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222,703</w:t>
            </w: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224,520</w:t>
            </w:r>
          </w:p>
        </w:tc>
        <w:tc>
          <w:tcPr>
            <w:tcW w:w="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218,081</w:t>
            </w:r>
          </w:p>
        </w:tc>
        <w:tc>
          <w:tcPr>
            <w:tcW w:w="700" w:type="dxa"/>
            <w:vAlign w:val="bottom"/>
            <w:shd w:val="clear" w:color="auto" w:fill="D9D9D9"/>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69,369</w:t>
            </w:r>
          </w:p>
        </w:tc>
        <w:tc>
          <w:tcPr>
            <w:tcW w:w="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$ 1,109,673</w:t>
            </w:r>
          </w:p>
        </w:tc>
      </w:tr>
      <w:tr>
        <w:trPr>
          <w:trHeight w:val="167"/>
        </w:trPr>
        <w:tc>
          <w:tcPr>
            <w:tcW w:w="3660" w:type="dxa"/>
            <w:vAlign w:val="bottom"/>
          </w:tcPr>
          <w:p>
            <w:pPr>
              <w:spacing w:after="0"/>
              <w:rPr>
                <w:sz w:val="20"/>
                <w:szCs w:val="20"/>
                <w:color w:val="auto"/>
              </w:rPr>
            </w:pPr>
            <w:r>
              <w:rPr>
                <w:rFonts w:ascii="Arial" w:cs="Arial" w:eastAsia="Arial" w:hAnsi="Arial"/>
                <w:sz w:val="14"/>
                <w:szCs w:val="14"/>
                <w:color w:val="auto"/>
              </w:rPr>
              <w:t>Timothy P. Dordell,</w:t>
            </w:r>
          </w:p>
        </w:tc>
        <w:tc>
          <w:tcPr>
            <w:tcW w:w="840" w:type="dxa"/>
            <w:vAlign w:val="bottom"/>
          </w:tcPr>
          <w:p>
            <w:pPr>
              <w:jc w:val="center"/>
              <w:ind w:left="8"/>
              <w:spacing w:after="0"/>
              <w:rPr>
                <w:sz w:val="20"/>
                <w:szCs w:val="20"/>
                <w:color w:val="auto"/>
              </w:rPr>
            </w:pPr>
            <w:r>
              <w:rPr>
                <w:rFonts w:ascii="Arial" w:cs="Arial" w:eastAsia="Arial" w:hAnsi="Arial"/>
                <w:sz w:val="14"/>
                <w:szCs w:val="14"/>
                <w:color w:val="auto"/>
              </w:rPr>
              <w:t>2016</w:t>
            </w:r>
          </w:p>
        </w:tc>
        <w:tc>
          <w:tcPr>
            <w:tcW w:w="780" w:type="dxa"/>
            <w:vAlign w:val="bottom"/>
          </w:tcPr>
          <w:p>
            <w:pPr>
              <w:jc w:val="center"/>
              <w:spacing w:after="0"/>
              <w:rPr>
                <w:sz w:val="20"/>
                <w:szCs w:val="20"/>
                <w:color w:val="auto"/>
              </w:rPr>
            </w:pPr>
            <w:r>
              <w:rPr>
                <w:rFonts w:ascii="Arial" w:cs="Arial" w:eastAsia="Arial" w:hAnsi="Arial"/>
                <w:sz w:val="14"/>
                <w:szCs w:val="14"/>
                <w:color w:val="auto"/>
              </w:rPr>
              <w:t>$ 410,000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256,641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217,152</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186,511</w:t>
            </w:r>
          </w:p>
        </w:tc>
        <w:tc>
          <w:tcPr>
            <w:tcW w:w="700" w:type="dxa"/>
            <w:vAlign w:val="bottom"/>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84,506</w:t>
            </w:r>
          </w:p>
        </w:tc>
        <w:tc>
          <w:tcPr>
            <w:tcW w:w="920" w:type="dxa"/>
            <w:vAlign w:val="bottom"/>
          </w:tcPr>
          <w:p>
            <w:pPr>
              <w:jc w:val="center"/>
              <w:spacing w:after="0"/>
              <w:rPr>
                <w:sz w:val="20"/>
                <w:szCs w:val="20"/>
                <w:color w:val="auto"/>
              </w:rPr>
            </w:pPr>
            <w:r>
              <w:rPr>
                <w:rFonts w:ascii="Arial" w:cs="Arial" w:eastAsia="Arial" w:hAnsi="Arial"/>
                <w:sz w:val="14"/>
                <w:szCs w:val="14"/>
                <w:color w:val="auto"/>
              </w:rPr>
              <w:t>$ 1,154,810</w:t>
            </w:r>
          </w:p>
        </w:tc>
      </w:tr>
      <w:tr>
        <w:trPr>
          <w:trHeight w:val="162"/>
        </w:trPr>
        <w:tc>
          <w:tcPr>
            <w:tcW w:w="3660" w:type="dxa"/>
            <w:vAlign w:val="bottom"/>
          </w:tcPr>
          <w:p>
            <w:pPr>
              <w:ind w:left="160"/>
              <w:spacing w:after="0"/>
              <w:rPr>
                <w:sz w:val="20"/>
                <w:szCs w:val="20"/>
                <w:color w:val="auto"/>
              </w:rPr>
            </w:pPr>
            <w:r>
              <w:rPr>
                <w:rFonts w:ascii="Arial" w:cs="Arial" w:eastAsia="Arial" w:hAnsi="Arial"/>
                <w:sz w:val="14"/>
                <w:szCs w:val="14"/>
                <w:color w:val="auto"/>
              </w:rPr>
              <w:t>VP, Secretary and General Counsel</w:t>
            </w:r>
          </w:p>
        </w:tc>
        <w:tc>
          <w:tcPr>
            <w:tcW w:w="840" w:type="dxa"/>
            <w:vAlign w:val="bottom"/>
          </w:tcPr>
          <w:p>
            <w:pPr>
              <w:jc w:val="center"/>
              <w:ind w:left="8"/>
              <w:spacing w:after="0"/>
              <w:rPr>
                <w:sz w:val="20"/>
                <w:szCs w:val="20"/>
                <w:color w:val="auto"/>
              </w:rPr>
            </w:pPr>
            <w:r>
              <w:rPr>
                <w:rFonts w:ascii="Arial" w:cs="Arial" w:eastAsia="Arial" w:hAnsi="Arial"/>
                <w:sz w:val="14"/>
                <w:szCs w:val="14"/>
                <w:color w:val="auto"/>
              </w:rPr>
              <w:t>2015</w:t>
            </w:r>
          </w:p>
        </w:tc>
        <w:tc>
          <w:tcPr>
            <w:tcW w:w="780" w:type="dxa"/>
            <w:vAlign w:val="bottom"/>
          </w:tcPr>
          <w:p>
            <w:pPr>
              <w:jc w:val="center"/>
              <w:spacing w:after="0"/>
              <w:rPr>
                <w:sz w:val="20"/>
                <w:szCs w:val="20"/>
                <w:color w:val="auto"/>
              </w:rPr>
            </w:pPr>
            <w:r>
              <w:rPr>
                <w:rFonts w:ascii="Arial" w:cs="Arial" w:eastAsia="Arial" w:hAnsi="Arial"/>
                <w:sz w:val="14"/>
                <w:szCs w:val="14"/>
                <w:color w:val="auto"/>
              </w:rPr>
              <w:t>$ 397,500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249,584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212,296</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247,847</w:t>
            </w:r>
          </w:p>
        </w:tc>
        <w:tc>
          <w:tcPr>
            <w:tcW w:w="700" w:type="dxa"/>
            <w:vAlign w:val="bottom"/>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103,600</w:t>
            </w:r>
          </w:p>
        </w:tc>
        <w:tc>
          <w:tcPr>
            <w:tcW w:w="920" w:type="dxa"/>
            <w:vAlign w:val="bottom"/>
          </w:tcPr>
          <w:p>
            <w:pPr>
              <w:jc w:val="center"/>
              <w:spacing w:after="0"/>
              <w:rPr>
                <w:sz w:val="20"/>
                <w:szCs w:val="20"/>
                <w:color w:val="auto"/>
              </w:rPr>
            </w:pPr>
            <w:r>
              <w:rPr>
                <w:rFonts w:ascii="Arial" w:cs="Arial" w:eastAsia="Arial" w:hAnsi="Arial"/>
                <w:sz w:val="14"/>
                <w:szCs w:val="14"/>
                <w:color w:val="auto"/>
              </w:rPr>
              <w:t>$ 1,210,827</w:t>
            </w:r>
          </w:p>
        </w:tc>
      </w:tr>
      <w:tr>
        <w:trPr>
          <w:trHeight w:val="172"/>
        </w:trPr>
        <w:tc>
          <w:tcPr>
            <w:tcW w:w="3660" w:type="dxa"/>
            <w:vAlign w:val="bottom"/>
          </w:tcPr>
          <w:p>
            <w:pPr>
              <w:spacing w:after="0"/>
              <w:rPr>
                <w:sz w:val="14"/>
                <w:szCs w:val="14"/>
                <w:color w:val="auto"/>
              </w:rPr>
            </w:pPr>
          </w:p>
        </w:tc>
        <w:tc>
          <w:tcPr>
            <w:tcW w:w="840" w:type="dxa"/>
            <w:vAlign w:val="bottom"/>
          </w:tcPr>
          <w:p>
            <w:pPr>
              <w:jc w:val="center"/>
              <w:ind w:left="8"/>
              <w:spacing w:after="0"/>
              <w:rPr>
                <w:sz w:val="20"/>
                <w:szCs w:val="20"/>
                <w:color w:val="auto"/>
              </w:rPr>
            </w:pPr>
            <w:r>
              <w:rPr>
                <w:rFonts w:ascii="Arial" w:cs="Arial" w:eastAsia="Arial" w:hAnsi="Arial"/>
                <w:sz w:val="14"/>
                <w:szCs w:val="14"/>
                <w:color w:val="auto"/>
              </w:rPr>
              <w:t>2014</w:t>
            </w:r>
          </w:p>
        </w:tc>
        <w:tc>
          <w:tcPr>
            <w:tcW w:w="780" w:type="dxa"/>
            <w:vAlign w:val="bottom"/>
          </w:tcPr>
          <w:p>
            <w:pPr>
              <w:jc w:val="center"/>
              <w:spacing w:after="0"/>
              <w:rPr>
                <w:sz w:val="20"/>
                <w:szCs w:val="20"/>
                <w:color w:val="auto"/>
              </w:rPr>
            </w:pPr>
            <w:r>
              <w:rPr>
                <w:rFonts w:ascii="Arial" w:cs="Arial" w:eastAsia="Arial" w:hAnsi="Arial"/>
                <w:sz w:val="14"/>
                <w:szCs w:val="14"/>
                <w:color w:val="auto"/>
              </w:rPr>
              <w:t>$ 384,000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$ 0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222,703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224,520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248,582</w:t>
            </w:r>
          </w:p>
        </w:tc>
        <w:tc>
          <w:tcPr>
            <w:tcW w:w="700" w:type="dxa"/>
            <w:vAlign w:val="bottom"/>
          </w:tcPr>
          <w:p>
            <w:pPr>
              <w:jc w:val="center"/>
              <w:ind w:left="50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87,379</w:t>
            </w:r>
          </w:p>
        </w:tc>
        <w:tc>
          <w:tcPr>
            <w:tcW w:w="920" w:type="dxa"/>
            <w:vAlign w:val="bottom"/>
          </w:tcPr>
          <w:p>
            <w:pPr>
              <w:jc w:val="center"/>
              <w:spacing w:after="0"/>
              <w:rPr>
                <w:sz w:val="20"/>
                <w:szCs w:val="20"/>
                <w:color w:val="auto"/>
              </w:rPr>
            </w:pPr>
            <w:r>
              <w:rPr>
                <w:rFonts w:ascii="Arial" w:cs="Arial" w:eastAsia="Arial" w:hAnsi="Arial"/>
                <w:sz w:val="14"/>
                <w:szCs w:val="14"/>
                <w:color w:val="auto"/>
              </w:rPr>
              <w:t>$ 1,167,184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6073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3" w:lineRule="exact"/>
        <w:rPr>
          <w:sz w:val="20"/>
          <w:szCs w:val="20"/>
          <w:color w:val="auto"/>
        </w:rPr>
      </w:pPr>
    </w:p>
    <w:p>
      <w:pPr>
        <w:ind w:left="460" w:right="40" w:hanging="452"/>
        <w:spacing w:after="0" w:line="261"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213" w:lineRule="exact"/>
        <w:rPr>
          <w:rFonts w:ascii="Arial" w:cs="Arial" w:eastAsia="Arial" w:hAnsi="Arial"/>
          <w:sz w:val="17"/>
          <w:szCs w:val="17"/>
          <w:color w:val="auto"/>
        </w:rPr>
      </w:pPr>
    </w:p>
    <w:p>
      <w:pPr>
        <w:ind w:left="460" w:right="40" w:hanging="452"/>
        <w:spacing w:after="0" w:line="236"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for fiscal 2016 for our named executive officers represent the grant date fair value, computed in accordance with FASB ASC Topic 718, of performance share awards granted for the fiscal 2016 to fiscal 2018 three-year performance period assuming target levels of performance. In addition, the amount for Mr. Brown in fiscal 2015 includes the grant date fair value of restricted stock units granted to him on September 15, 2015 for retention purposes in connection with the promotion of Mr. Olson to the position of President and COO. Amounts reported for each named executive officer and each award for fiscal 2016 are set forth in the “Grants of Plan-Based Awards for Fiscal 2016” table beginning on page 52 in the “Grant Date Fair Value of Stock and Option Awards” column. Provided below is the fiscal 2016 grant date fair value of performance share awards for the fiscal 2016 to fiscal 2018 performance period assuming maximum levels of performance. The maximum value is calculated using the number of shares reflected in the “Maximum” column of the “Estimated Future Payouts Under Equity Incentive Plan Awards” section of the “Grants of Plan-Based Awards for Fiscal 2016” table beginning on page 52 and the closing price of our common stock, as reported by the NYSE, on December 1, 2015, the grant date, of $38.885.</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shd w:val="clear" w:color="auto" w:fill="C00000"/>
          </w:tcPr>
          <w:p>
            <w:pPr>
              <w:spacing w:after="0"/>
              <w:rPr>
                <w:sz w:val="14"/>
                <w:szCs w:val="14"/>
                <w:color w:val="auto"/>
              </w:rPr>
            </w:pPr>
          </w:p>
        </w:tc>
        <w:tc>
          <w:tcPr>
            <w:tcW w:w="5780" w:type="dxa"/>
            <w:vAlign w:val="bottom"/>
            <w:gridSpan w:val="2"/>
            <w:shd w:val="clear" w:color="auto" w:fill="C00000"/>
          </w:tcPr>
          <w:p>
            <w:pPr>
              <w:jc w:val="center"/>
              <w:ind w:left="3837"/>
              <w:spacing w:after="0"/>
              <w:rPr>
                <w:sz w:val="20"/>
                <w:szCs w:val="20"/>
                <w:color w:val="auto"/>
              </w:rPr>
            </w:pPr>
            <w:r>
              <w:rPr>
                <w:rFonts w:ascii="Arial" w:cs="Arial" w:eastAsia="Arial" w:hAnsi="Arial"/>
                <w:sz w:val="14"/>
                <w:szCs w:val="14"/>
                <w:b w:val="1"/>
                <w:bCs w:val="1"/>
                <w:color w:val="FFFFFF"/>
              </w:rPr>
              <w:t>Grant Date Fair Value at</w:t>
            </w:r>
          </w:p>
        </w:tc>
      </w:tr>
      <w:tr>
        <w:trPr>
          <w:trHeight w:val="162"/>
        </w:trPr>
        <w:tc>
          <w:tcPr>
            <w:tcW w:w="5180" w:type="dxa"/>
            <w:vAlign w:val="bottom"/>
            <w:shd w:val="clear" w:color="auto" w:fill="C00000"/>
          </w:tcPr>
          <w:p>
            <w:pPr>
              <w:spacing w:after="0"/>
              <w:rPr>
                <w:sz w:val="14"/>
                <w:szCs w:val="14"/>
                <w:color w:val="auto"/>
              </w:rPr>
            </w:pPr>
          </w:p>
        </w:tc>
        <w:tc>
          <w:tcPr>
            <w:tcW w:w="5780" w:type="dxa"/>
            <w:vAlign w:val="bottom"/>
            <w:gridSpan w:val="2"/>
            <w:shd w:val="clear" w:color="auto" w:fill="C00000"/>
          </w:tcPr>
          <w:p>
            <w:pPr>
              <w:jc w:val="center"/>
              <w:ind w:left="3857"/>
              <w:spacing w:after="0"/>
              <w:rPr>
                <w:sz w:val="20"/>
                <w:szCs w:val="20"/>
                <w:color w:val="auto"/>
              </w:rPr>
            </w:pPr>
            <w:r>
              <w:rPr>
                <w:rFonts w:ascii="Arial" w:cs="Arial" w:eastAsia="Arial" w:hAnsi="Arial"/>
                <w:sz w:val="14"/>
                <w:szCs w:val="14"/>
                <w:b w:val="1"/>
                <w:bCs w:val="1"/>
                <w:color w:val="FFFFFF"/>
              </w:rPr>
              <w:t>Maximum Levels of</w:t>
            </w:r>
          </w:p>
        </w:tc>
      </w:tr>
      <w:tr>
        <w:trPr>
          <w:trHeight w:val="189"/>
        </w:trPr>
        <w:tc>
          <w:tcPr>
            <w:tcW w:w="51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5780" w:type="dxa"/>
            <w:vAlign w:val="bottom"/>
            <w:gridSpan w:val="2"/>
            <w:shd w:val="clear" w:color="auto" w:fill="C00000"/>
          </w:tcPr>
          <w:p>
            <w:pPr>
              <w:jc w:val="center"/>
              <w:ind w:left="3857"/>
              <w:spacing w:after="0"/>
              <w:rPr>
                <w:sz w:val="20"/>
                <w:szCs w:val="20"/>
                <w:color w:val="auto"/>
              </w:rPr>
            </w:pPr>
            <w:r>
              <w:rPr>
                <w:rFonts w:ascii="Arial" w:cs="Arial" w:eastAsia="Arial" w:hAnsi="Arial"/>
                <w:sz w:val="14"/>
                <w:szCs w:val="14"/>
                <w:b w:val="1"/>
                <w:bCs w:val="1"/>
                <w:color w:val="FFFFFF"/>
              </w:rPr>
              <w:t>Performance</w:t>
            </w: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Mr. Hoffman</w:t>
            </w:r>
          </w:p>
        </w:tc>
        <w:tc>
          <w:tcPr>
            <w:tcW w:w="4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3,048,584</w:t>
            </w:r>
          </w:p>
        </w:tc>
      </w:tr>
      <w:tr>
        <w:trPr>
          <w:trHeight w:val="203"/>
        </w:trPr>
        <w:tc>
          <w:tcPr>
            <w:tcW w:w="51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Ms. Peterson</w:t>
            </w:r>
          </w:p>
        </w:tc>
        <w:tc>
          <w:tcPr>
            <w:tcW w:w="48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871,024</w:t>
            </w:r>
          </w:p>
        </w:tc>
      </w:tr>
      <w:tr>
        <w:trPr>
          <w:trHeight w:val="203"/>
        </w:trPr>
        <w:tc>
          <w:tcPr>
            <w:tcW w:w="5180" w:type="dxa"/>
            <w:vAlign w:val="bottom"/>
          </w:tcPr>
          <w:p>
            <w:pPr>
              <w:ind w:left="60"/>
              <w:spacing w:after="0" w:line="202" w:lineRule="exact"/>
              <w:rPr>
                <w:sz w:val="20"/>
                <w:szCs w:val="20"/>
                <w:color w:val="auto"/>
              </w:rPr>
            </w:pPr>
            <w:r>
              <w:rPr>
                <w:rFonts w:ascii="Arial" w:cs="Arial" w:eastAsia="Arial" w:hAnsi="Arial"/>
                <w:sz w:val="18"/>
                <w:szCs w:val="18"/>
                <w:color w:val="auto"/>
              </w:rPr>
              <w:t>Mr. Olson</w:t>
            </w:r>
          </w:p>
        </w:tc>
        <w:tc>
          <w:tcPr>
            <w:tcW w:w="4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979,902</w:t>
            </w:r>
          </w:p>
        </w:tc>
      </w:tr>
      <w:tr>
        <w:trPr>
          <w:trHeight w:val="203"/>
        </w:trPr>
        <w:tc>
          <w:tcPr>
            <w:tcW w:w="518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Mr. Brown</w:t>
            </w:r>
          </w:p>
        </w:tc>
        <w:tc>
          <w:tcPr>
            <w:tcW w:w="48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544,390</w:t>
            </w:r>
          </w:p>
        </w:tc>
      </w:tr>
      <w:tr>
        <w:trPr>
          <w:trHeight w:val="217"/>
        </w:trPr>
        <w:tc>
          <w:tcPr>
            <w:tcW w:w="5180" w:type="dxa"/>
            <w:vAlign w:val="bottom"/>
          </w:tcPr>
          <w:p>
            <w:pPr>
              <w:ind w:left="60"/>
              <w:spacing w:after="0"/>
              <w:rPr>
                <w:sz w:val="20"/>
                <w:szCs w:val="20"/>
                <w:color w:val="auto"/>
              </w:rPr>
            </w:pPr>
            <w:r>
              <w:rPr>
                <w:rFonts w:ascii="Arial" w:cs="Arial" w:eastAsia="Arial" w:hAnsi="Arial"/>
                <w:sz w:val="18"/>
                <w:szCs w:val="18"/>
                <w:color w:val="auto"/>
              </w:rPr>
              <w:t>Mr. Dordell</w:t>
            </w:r>
          </w:p>
        </w:tc>
        <w:tc>
          <w:tcPr>
            <w:tcW w:w="48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513,282</w:t>
            </w:r>
          </w:p>
        </w:tc>
      </w:tr>
    </w:tbl>
    <w:p>
      <w:pPr>
        <w:spacing w:after="0" w:line="228" w:lineRule="exact"/>
        <w:rPr>
          <w:sz w:val="20"/>
          <w:szCs w:val="20"/>
          <w:color w:val="auto"/>
        </w:rPr>
      </w:pPr>
    </w:p>
    <w:p>
      <w:pPr>
        <w:ind w:left="460" w:right="80" w:hanging="452"/>
        <w:spacing w:after="0" w:line="275"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20" w:type="dxa"/>
            <w:vAlign w:val="bottom"/>
            <w:shd w:val="clear" w:color="auto" w:fill="C00000"/>
          </w:tcPr>
          <w:p>
            <w:pPr>
              <w:spacing w:after="0"/>
              <w:rPr>
                <w:sz w:val="14"/>
                <w:szCs w:val="14"/>
                <w:color w:val="auto"/>
              </w:rPr>
            </w:pPr>
          </w:p>
        </w:tc>
        <w:tc>
          <w:tcPr>
            <w:tcW w:w="2820" w:type="dxa"/>
            <w:vAlign w:val="bottom"/>
            <w:shd w:val="clear" w:color="auto" w:fill="C00000"/>
          </w:tcPr>
          <w:p>
            <w:pPr>
              <w:spacing w:after="0"/>
              <w:rPr>
                <w:sz w:val="14"/>
                <w:szCs w:val="14"/>
                <w:color w:val="auto"/>
              </w:rPr>
            </w:pPr>
          </w:p>
        </w:tc>
        <w:tc>
          <w:tcPr>
            <w:tcW w:w="1460" w:type="dxa"/>
            <w:vAlign w:val="bottom"/>
            <w:shd w:val="clear" w:color="auto" w:fill="C00000"/>
          </w:tcPr>
          <w:p>
            <w:pPr>
              <w:spacing w:after="0"/>
              <w:rPr>
                <w:sz w:val="14"/>
                <w:szCs w:val="14"/>
                <w:color w:val="auto"/>
              </w:rPr>
            </w:pPr>
          </w:p>
        </w:tc>
        <w:tc>
          <w:tcPr>
            <w:tcW w:w="116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Expected</w:t>
            </w:r>
          </w:p>
        </w:tc>
        <w:tc>
          <w:tcPr>
            <w:tcW w:w="15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Expected</w:t>
            </w:r>
          </w:p>
        </w:tc>
        <w:tc>
          <w:tcPr>
            <w:tcW w:w="1500" w:type="dxa"/>
            <w:vAlign w:val="bottom"/>
            <w:shd w:val="clear" w:color="auto" w:fill="C00000"/>
          </w:tcPr>
          <w:p>
            <w:pPr>
              <w:jc w:val="right"/>
              <w:ind w:right="37"/>
              <w:spacing w:after="0"/>
              <w:rPr>
                <w:sz w:val="20"/>
                <w:szCs w:val="20"/>
                <w:color w:val="auto"/>
              </w:rPr>
            </w:pPr>
            <w:r>
              <w:rPr>
                <w:rFonts w:ascii="Arial" w:cs="Arial" w:eastAsia="Arial" w:hAnsi="Arial"/>
                <w:sz w:val="14"/>
                <w:szCs w:val="14"/>
                <w:b w:val="1"/>
                <w:bCs w:val="1"/>
                <w:color w:val="FFFFFF"/>
              </w:rPr>
              <w:t>Per Share Black-</w:t>
            </w:r>
          </w:p>
        </w:tc>
      </w:tr>
      <w:tr>
        <w:trPr>
          <w:trHeight w:val="189"/>
        </w:trPr>
        <w:tc>
          <w:tcPr>
            <w:tcW w:w="252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Grant Date</w:t>
            </w:r>
          </w:p>
        </w:tc>
        <w:tc>
          <w:tcPr>
            <w:tcW w:w="2820" w:type="dxa"/>
            <w:vAlign w:val="bottom"/>
            <w:shd w:val="clear" w:color="auto" w:fill="C00000"/>
          </w:tcPr>
          <w:p>
            <w:pPr>
              <w:jc w:val="center"/>
              <w:ind w:left="1254"/>
              <w:spacing w:after="0"/>
              <w:rPr>
                <w:sz w:val="20"/>
                <w:szCs w:val="20"/>
                <w:color w:val="auto"/>
              </w:rPr>
            </w:pPr>
            <w:r>
              <w:rPr>
                <w:rFonts w:ascii="Arial" w:cs="Arial" w:eastAsia="Arial" w:hAnsi="Arial"/>
                <w:sz w:val="14"/>
                <w:szCs w:val="14"/>
                <w:b w:val="1"/>
                <w:bCs w:val="1"/>
                <w:color w:val="FFFFFF"/>
              </w:rPr>
              <w:t>Risk Free Rate</w:t>
            </w:r>
          </w:p>
        </w:tc>
        <w:tc>
          <w:tcPr>
            <w:tcW w:w="14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Expected Life</w:t>
            </w:r>
          </w:p>
        </w:tc>
        <w:tc>
          <w:tcPr>
            <w:tcW w:w="116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Volatility</w:t>
            </w:r>
          </w:p>
        </w:tc>
        <w:tc>
          <w:tcPr>
            <w:tcW w:w="15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Dividend Yield</w:t>
            </w:r>
          </w:p>
        </w:tc>
        <w:tc>
          <w:tcPr>
            <w:tcW w:w="1500" w:type="dxa"/>
            <w:vAlign w:val="bottom"/>
            <w:shd w:val="clear" w:color="auto" w:fill="C00000"/>
          </w:tcPr>
          <w:p>
            <w:pPr>
              <w:jc w:val="right"/>
              <w:ind w:right="117"/>
              <w:spacing w:after="0"/>
              <w:rPr>
                <w:sz w:val="20"/>
                <w:szCs w:val="20"/>
                <w:color w:val="auto"/>
              </w:rPr>
            </w:pPr>
            <w:r>
              <w:rPr>
                <w:rFonts w:ascii="Arial" w:cs="Arial" w:eastAsia="Arial" w:hAnsi="Arial"/>
                <w:sz w:val="14"/>
                <w:szCs w:val="14"/>
                <w:b w:val="1"/>
                <w:bCs w:val="1"/>
                <w:color w:val="FFFFFF"/>
              </w:rPr>
              <w:t>Scholes Value</w:t>
            </w:r>
          </w:p>
        </w:tc>
      </w:tr>
      <w:tr>
        <w:trPr>
          <w:trHeight w:val="203"/>
        </w:trPr>
        <w:tc>
          <w:tcPr>
            <w:tcW w:w="2520" w:type="dxa"/>
            <w:vAlign w:val="bottom"/>
          </w:tcPr>
          <w:p>
            <w:pPr>
              <w:ind w:left="60"/>
              <w:spacing w:after="0" w:line="202" w:lineRule="exact"/>
              <w:rPr>
                <w:sz w:val="20"/>
                <w:szCs w:val="20"/>
                <w:color w:val="auto"/>
              </w:rPr>
            </w:pPr>
            <w:r>
              <w:rPr>
                <w:rFonts w:ascii="Arial" w:cs="Arial" w:eastAsia="Arial" w:hAnsi="Arial"/>
                <w:sz w:val="18"/>
                <w:szCs w:val="18"/>
                <w:color w:val="auto"/>
              </w:rPr>
              <w:t>12/04/2015</w:t>
            </w:r>
          </w:p>
        </w:tc>
        <w:tc>
          <w:tcPr>
            <w:tcW w:w="2820" w:type="dxa"/>
            <w:vAlign w:val="bottom"/>
          </w:tcPr>
          <w:p>
            <w:pPr>
              <w:jc w:val="center"/>
              <w:ind w:left="1234"/>
              <w:spacing w:after="0" w:line="202" w:lineRule="exact"/>
              <w:rPr>
                <w:sz w:val="20"/>
                <w:szCs w:val="20"/>
                <w:color w:val="auto"/>
              </w:rPr>
            </w:pPr>
            <w:r>
              <w:rPr>
                <w:rFonts w:ascii="Arial" w:cs="Arial" w:eastAsia="Arial" w:hAnsi="Arial"/>
                <w:sz w:val="18"/>
                <w:szCs w:val="18"/>
                <w:color w:val="auto"/>
                <w:w w:val="97"/>
              </w:rPr>
              <w:t>1.90%</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6.3 years</w:t>
            </w:r>
          </w:p>
        </w:tc>
        <w:tc>
          <w:tcPr>
            <w:tcW w:w="1160" w:type="dxa"/>
            <w:vAlign w:val="bottom"/>
          </w:tcPr>
          <w:p>
            <w:pPr>
              <w:ind w:left="280"/>
              <w:spacing w:after="0" w:line="202" w:lineRule="exact"/>
              <w:rPr>
                <w:sz w:val="20"/>
                <w:szCs w:val="20"/>
                <w:color w:val="auto"/>
              </w:rPr>
            </w:pPr>
            <w:r>
              <w:rPr>
                <w:rFonts w:ascii="Arial" w:cs="Arial" w:eastAsia="Arial" w:hAnsi="Arial"/>
                <w:sz w:val="18"/>
                <w:szCs w:val="18"/>
                <w:color w:val="auto"/>
              </w:rPr>
              <w:t>24.59%</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1.23%</w:t>
            </w:r>
          </w:p>
        </w:tc>
        <w:tc>
          <w:tcPr>
            <w:tcW w:w="15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$9.28</w:t>
            </w:r>
          </w:p>
        </w:tc>
      </w:tr>
      <w:tr>
        <w:trPr>
          <w:trHeight w:val="203"/>
        </w:trPr>
        <w:tc>
          <w:tcPr>
            <w:tcW w:w="2520" w:type="dxa"/>
            <w:vAlign w:val="bottom"/>
            <w:shd w:val="clear" w:color="auto" w:fill="D9D9D9"/>
          </w:tcPr>
          <w:p>
            <w:pPr>
              <w:ind w:left="60"/>
              <w:spacing w:after="0" w:line="202" w:lineRule="exact"/>
              <w:rPr>
                <w:sz w:val="20"/>
                <w:szCs w:val="20"/>
                <w:color w:val="auto"/>
              </w:rPr>
            </w:pPr>
            <w:r>
              <w:rPr>
                <w:rFonts w:ascii="Arial" w:cs="Arial" w:eastAsia="Arial" w:hAnsi="Arial"/>
                <w:sz w:val="18"/>
                <w:szCs w:val="18"/>
                <w:color w:val="auto"/>
              </w:rPr>
              <w:t>12/05/2014</w:t>
            </w:r>
          </w:p>
        </w:tc>
        <w:tc>
          <w:tcPr>
            <w:tcW w:w="2820" w:type="dxa"/>
            <w:vAlign w:val="bottom"/>
            <w:shd w:val="clear" w:color="auto" w:fill="D9D9D9"/>
          </w:tcPr>
          <w:p>
            <w:pPr>
              <w:jc w:val="center"/>
              <w:ind w:left="1234"/>
              <w:spacing w:after="0" w:line="202" w:lineRule="exact"/>
              <w:rPr>
                <w:sz w:val="20"/>
                <w:szCs w:val="20"/>
                <w:color w:val="auto"/>
              </w:rPr>
            </w:pPr>
            <w:r>
              <w:rPr>
                <w:rFonts w:ascii="Arial" w:cs="Arial" w:eastAsia="Arial" w:hAnsi="Arial"/>
                <w:sz w:val="18"/>
                <w:szCs w:val="18"/>
                <w:color w:val="auto"/>
                <w:w w:val="97"/>
              </w:rPr>
              <w:t>1.57%</w:t>
            </w:r>
          </w:p>
        </w:tc>
        <w:tc>
          <w:tcPr>
            <w:tcW w:w="146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6.2 years</w:t>
            </w:r>
          </w:p>
        </w:tc>
        <w:tc>
          <w:tcPr>
            <w:tcW w:w="1160" w:type="dxa"/>
            <w:vAlign w:val="bottom"/>
            <w:shd w:val="clear" w:color="auto" w:fill="D9D9D9"/>
          </w:tcPr>
          <w:p>
            <w:pPr>
              <w:ind w:left="280"/>
              <w:spacing w:after="0" w:line="202" w:lineRule="exact"/>
              <w:rPr>
                <w:sz w:val="20"/>
                <w:szCs w:val="20"/>
                <w:color w:val="auto"/>
              </w:rPr>
            </w:pPr>
            <w:r>
              <w:rPr>
                <w:rFonts w:ascii="Arial" w:cs="Arial" w:eastAsia="Arial" w:hAnsi="Arial"/>
                <w:sz w:val="18"/>
                <w:szCs w:val="18"/>
                <w:color w:val="auto"/>
              </w:rPr>
              <w:t>31.12%</w:t>
            </w:r>
          </w:p>
        </w:tc>
        <w:tc>
          <w:tcPr>
            <w:tcW w:w="150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7"/>
              </w:rPr>
              <w:t>1.28%</w:t>
            </w:r>
          </w:p>
        </w:tc>
        <w:tc>
          <w:tcPr>
            <w:tcW w:w="1500" w:type="dxa"/>
            <w:vAlign w:val="bottom"/>
            <w:shd w:val="clear" w:color="auto" w:fill="D9D9D9"/>
          </w:tcPr>
          <w:p>
            <w:pPr>
              <w:jc w:val="right"/>
              <w:ind w:right="17"/>
              <w:spacing w:after="0" w:line="202" w:lineRule="exact"/>
              <w:rPr>
                <w:sz w:val="20"/>
                <w:szCs w:val="20"/>
                <w:color w:val="auto"/>
              </w:rPr>
            </w:pPr>
            <w:r>
              <w:rPr>
                <w:rFonts w:ascii="Arial" w:cs="Arial" w:eastAsia="Arial" w:hAnsi="Arial"/>
                <w:sz w:val="18"/>
                <w:szCs w:val="18"/>
                <w:color w:val="auto"/>
              </w:rPr>
              <w:t>$8.92</w:t>
            </w:r>
          </w:p>
        </w:tc>
      </w:tr>
      <w:tr>
        <w:trPr>
          <w:trHeight w:val="217"/>
        </w:trPr>
        <w:tc>
          <w:tcPr>
            <w:tcW w:w="2520" w:type="dxa"/>
            <w:vAlign w:val="bottom"/>
          </w:tcPr>
          <w:p>
            <w:pPr>
              <w:ind w:left="60"/>
              <w:spacing w:after="0"/>
              <w:rPr>
                <w:sz w:val="20"/>
                <w:szCs w:val="20"/>
                <w:color w:val="auto"/>
              </w:rPr>
            </w:pPr>
            <w:r>
              <w:rPr>
                <w:rFonts w:ascii="Arial" w:cs="Arial" w:eastAsia="Arial" w:hAnsi="Arial"/>
                <w:sz w:val="18"/>
                <w:szCs w:val="18"/>
                <w:color w:val="auto"/>
              </w:rPr>
              <w:t>12/06/2013</w:t>
            </w:r>
          </w:p>
        </w:tc>
        <w:tc>
          <w:tcPr>
            <w:tcW w:w="2820" w:type="dxa"/>
            <w:vAlign w:val="bottom"/>
          </w:tcPr>
          <w:p>
            <w:pPr>
              <w:jc w:val="center"/>
              <w:ind w:left="1234"/>
              <w:spacing w:after="0"/>
              <w:rPr>
                <w:sz w:val="20"/>
                <w:szCs w:val="20"/>
                <w:color w:val="auto"/>
              </w:rPr>
            </w:pPr>
            <w:r>
              <w:rPr>
                <w:rFonts w:ascii="Arial" w:cs="Arial" w:eastAsia="Arial" w:hAnsi="Arial"/>
                <w:sz w:val="18"/>
                <w:szCs w:val="18"/>
                <w:color w:val="auto"/>
                <w:w w:val="97"/>
              </w:rPr>
              <w:t>1.93%</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6.0 years</w:t>
            </w:r>
          </w:p>
        </w:tc>
        <w:tc>
          <w:tcPr>
            <w:tcW w:w="1160" w:type="dxa"/>
            <w:vAlign w:val="bottom"/>
          </w:tcPr>
          <w:p>
            <w:pPr>
              <w:ind w:left="280"/>
              <w:spacing w:after="0"/>
              <w:rPr>
                <w:sz w:val="20"/>
                <w:szCs w:val="20"/>
                <w:color w:val="auto"/>
              </w:rPr>
            </w:pPr>
            <w:r>
              <w:rPr>
                <w:rFonts w:ascii="Arial" w:cs="Arial" w:eastAsia="Arial" w:hAnsi="Arial"/>
                <w:sz w:val="18"/>
                <w:szCs w:val="18"/>
                <w:color w:val="auto"/>
              </w:rPr>
              <w:t>34.28%</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1.25%</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$9.36</w:t>
            </w:r>
          </w:p>
        </w:tc>
      </w:tr>
    </w:tbl>
    <w:p>
      <w:pPr>
        <w:spacing w:after="0" w:line="228" w:lineRule="exact"/>
        <w:rPr>
          <w:sz w:val="20"/>
          <w:szCs w:val="20"/>
          <w:color w:val="auto"/>
        </w:rPr>
      </w:pPr>
    </w:p>
    <w:p>
      <w:pPr>
        <w:ind w:left="460" w:right="220" w:hanging="452"/>
        <w:spacing w:after="0" w:line="23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 that are established and communicated at the beginning of each fiscal year. Additional detail regarding our annual cash incentives is set forth in the “Annual Cash Incentives—Actual Cash Compensation Discussion and Analysis” beginning on page 43.</w:t>
      </w:r>
    </w:p>
    <w:p>
      <w:pPr>
        <w:spacing w:after="0" w:line="228"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for fiscal 2016 are set forth below under “All Other Compensation for Fiscal 2016”.</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Hoffman was our Chairman and Chief Executive Officer for the entirety of fiscal 2016.</w:t>
      </w:r>
    </w:p>
    <w:p>
      <w:pPr>
        <w:spacing w:after="0" w:line="238" w:lineRule="exact"/>
        <w:rPr>
          <w:rFonts w:ascii="Arial" w:cs="Arial" w:eastAsia="Arial" w:hAnsi="Arial"/>
          <w:sz w:val="18"/>
          <w:szCs w:val="18"/>
          <w:color w:val="auto"/>
        </w:rPr>
      </w:pPr>
    </w:p>
    <w:p>
      <w:pPr>
        <w:ind w:left="460" w:right="22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Olson was our President and Chief Operating Officer for the entirety of fiscal 2016. Mr. Olson was an executive officer in fiscal 2014 and fiscal 2015; however, he was not a named executive officer in fiscal 2014 or fiscal 2015 and, therefore, his information is only provided for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All Other Compensation for Fiscal 2016</w:t>
      </w:r>
    </w:p>
    <w:p>
      <w:pPr>
        <w:spacing w:after="0" w:line="234" w:lineRule="exact"/>
        <w:rPr>
          <w:sz w:val="20"/>
          <w:szCs w:val="20"/>
          <w:color w:val="auto"/>
        </w:rPr>
      </w:pPr>
    </w:p>
    <w:p>
      <w:pPr>
        <w:ind w:right="600" w:firstLine="456"/>
        <w:spacing w:after="0"/>
        <w:rPr>
          <w:sz w:val="20"/>
          <w:szCs w:val="20"/>
          <w:color w:val="auto"/>
        </w:rPr>
      </w:pPr>
      <w:r>
        <w:rPr>
          <w:rFonts w:ascii="Arial" w:cs="Arial" w:eastAsia="Arial" w:hAnsi="Arial"/>
          <w:sz w:val="18"/>
          <w:szCs w:val="18"/>
          <w:color w:val="auto"/>
        </w:rPr>
        <w:t>All other compensation for fiscal 2016 includes the value of Company contributions to our retirement plan(s), the value of modest perquisites provided and the matching portion by the Company for charitable donations by our named executive officers, all of which are described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Element</w:t>
            </w:r>
          </w:p>
        </w:tc>
        <w:tc>
          <w:tcPr>
            <w:tcW w:w="9460" w:type="dxa"/>
            <w:vAlign w:val="bottom"/>
            <w:shd w:val="clear" w:color="auto" w:fill="C00000"/>
          </w:tcPr>
          <w:p>
            <w:pPr>
              <w:ind w:left="340"/>
              <w:spacing w:after="0"/>
              <w:rPr>
                <w:sz w:val="20"/>
                <w:szCs w:val="20"/>
                <w:color w:val="auto"/>
              </w:rPr>
            </w:pPr>
            <w:r>
              <w:rPr>
                <w:rFonts w:ascii="Arial" w:cs="Arial" w:eastAsia="Arial" w:hAnsi="Arial"/>
                <w:sz w:val="14"/>
                <w:szCs w:val="14"/>
                <w:b w:val="1"/>
                <w:bCs w:val="1"/>
                <w:color w:val="FFFFFF"/>
              </w:rPr>
              <w:t>Description</w:t>
            </w:r>
          </w:p>
        </w:tc>
      </w:tr>
      <w:tr>
        <w:trPr>
          <w:trHeight w:val="202"/>
        </w:trPr>
        <w:tc>
          <w:tcPr>
            <w:tcW w:w="1960" w:type="dxa"/>
            <w:vAlign w:val="bottom"/>
          </w:tcPr>
          <w:p>
            <w:pPr>
              <w:ind w:left="60"/>
              <w:spacing w:after="0" w:line="201" w:lineRule="exact"/>
              <w:rPr>
                <w:sz w:val="20"/>
                <w:szCs w:val="20"/>
                <w:color w:val="auto"/>
              </w:rPr>
            </w:pPr>
            <w:r>
              <w:rPr>
                <w:rFonts w:ascii="Arial" w:cs="Arial" w:eastAsia="Arial" w:hAnsi="Arial"/>
                <w:sz w:val="18"/>
                <w:szCs w:val="18"/>
                <w:color w:val="auto"/>
              </w:rPr>
              <w:t>Retirement Benefits</w:t>
            </w:r>
          </w:p>
        </w:tc>
        <w:tc>
          <w:tcPr>
            <w:tcW w:w="9460" w:type="dxa"/>
            <w:vAlign w:val="bottom"/>
          </w:tcPr>
          <w:p>
            <w:pPr>
              <w:ind w:left="340"/>
              <w:spacing w:after="0" w:line="201" w:lineRule="exact"/>
              <w:rPr>
                <w:sz w:val="20"/>
                <w:szCs w:val="20"/>
                <w:color w:val="auto"/>
              </w:rPr>
            </w:pPr>
            <w:r>
              <w:rPr>
                <w:rFonts w:ascii="Arial" w:cs="Arial" w:eastAsia="Arial" w:hAnsi="Arial"/>
                <w:sz w:val="18"/>
                <w:szCs w:val="18"/>
                <w:color w:val="auto"/>
              </w:rPr>
              <w:t>Under our IS&amp;ESOP, we currently match $0.50 for each employee dollar contribution, up to an employee</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maximum of 4%. Additionally, there may be an annual Company investment savings and ESOP contribution.</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Employees are eligible to participate in the plan and receive company contributions, all of which are discretionary,</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after 30 days of service. For certain employees whose compensation exceeds the IRS limit, we also provide a</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contribution into our nonqualified deferred compensation plans, the Supplemental Benefit Plan or the Deferred</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Plan, as applicable. Our nonqualified deferred compensation plans are described under “Nonqualified Deferred</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3" w:lineRule="exact"/>
              <w:rPr>
                <w:sz w:val="20"/>
                <w:szCs w:val="20"/>
                <w:color w:val="auto"/>
              </w:rPr>
            </w:pPr>
            <w:r>
              <w:rPr>
                <w:rFonts w:ascii="Arial" w:cs="Arial" w:eastAsia="Arial" w:hAnsi="Arial"/>
                <w:sz w:val="18"/>
                <w:szCs w:val="18"/>
                <w:color w:val="auto"/>
              </w:rPr>
              <w:t>Compensation for Fiscal 2016” beginning on page 56.</w:t>
            </w:r>
          </w:p>
        </w:tc>
      </w:tr>
      <w:tr>
        <w:trPr>
          <w:trHeight w:val="202"/>
        </w:trPr>
        <w:tc>
          <w:tcPr>
            <w:tcW w:w="196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Perquisites</w:t>
            </w:r>
          </w:p>
        </w:tc>
        <w:tc>
          <w:tcPr>
            <w:tcW w:w="9460" w:type="dxa"/>
            <w:vAlign w:val="bottom"/>
            <w:shd w:val="clear" w:color="auto" w:fill="D9D9D9"/>
          </w:tcPr>
          <w:p>
            <w:pPr>
              <w:ind w:left="340"/>
              <w:spacing w:after="0" w:line="201" w:lineRule="exact"/>
              <w:rPr>
                <w:sz w:val="20"/>
                <w:szCs w:val="20"/>
                <w:color w:val="auto"/>
              </w:rPr>
            </w:pPr>
            <w:r>
              <w:rPr>
                <w:rFonts w:ascii="Arial" w:cs="Arial" w:eastAsia="Arial" w:hAnsi="Arial"/>
                <w:sz w:val="18"/>
                <w:szCs w:val="18"/>
                <w:color w:val="auto"/>
              </w:rPr>
              <w:t>We provide our executive officers with the following modest perquisites:</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340"/>
              <w:spacing w:after="0" w:line="202" w:lineRule="exact"/>
              <w:rPr>
                <w:sz w:val="20"/>
                <w:szCs w:val="20"/>
                <w:color w:val="auto"/>
              </w:rPr>
            </w:pPr>
            <w:r>
              <w:rPr>
                <w:rFonts w:ascii="Arial" w:cs="Arial" w:eastAsia="Arial" w:hAnsi="Arial"/>
                <w:sz w:val="18"/>
                <w:szCs w:val="18"/>
                <w:color w:val="auto"/>
              </w:rPr>
              <w:t>•Company-leased automobile—We pay all costs associated with leasing, operating, maintaining and insuring a</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company-leased automobile up to certain thresholds. Our executive officers are generally eligible for a new</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vehicle after 30 months and may choose to purchase the existing vehicle at book value plus payment of any</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miscellaneous expenses charged by our leasing company.</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340"/>
              <w:spacing w:after="0" w:line="202" w:lineRule="exact"/>
              <w:rPr>
                <w:sz w:val="20"/>
                <w:szCs w:val="20"/>
                <w:color w:val="auto"/>
              </w:rPr>
            </w:pPr>
            <w:r>
              <w:rPr>
                <w:rFonts w:ascii="Arial" w:cs="Arial" w:eastAsia="Arial" w:hAnsi="Arial"/>
                <w:sz w:val="18"/>
                <w:szCs w:val="18"/>
                <w:color w:val="auto"/>
              </w:rPr>
              <w:t>•Financial planning—We encourage our executive officers to receive professional advice regarding their financial,</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tax and estate planning needs. Therefore, we pay up to a maximum defined amount for each of our executive</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officers to cover tax planning, tax return preparation, financial counseling and estate planning. Every three</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years, we will pay up to an additional 50% of the annual allowance. Annual allowance ranges from $5,000 to</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$15,000 depending on the level of the executive officer’s position.</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340"/>
              <w:spacing w:after="0" w:line="202" w:lineRule="exact"/>
              <w:rPr>
                <w:sz w:val="20"/>
                <w:szCs w:val="20"/>
                <w:color w:val="auto"/>
              </w:rPr>
            </w:pPr>
            <w:r>
              <w:rPr>
                <w:rFonts w:ascii="Arial" w:cs="Arial" w:eastAsia="Arial" w:hAnsi="Arial"/>
                <w:sz w:val="18"/>
                <w:szCs w:val="18"/>
                <w:color w:val="auto"/>
              </w:rPr>
              <w:t>•Annual executive physical—To help ensure the health of our executive officers, we generally pay up to $2,000 for</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approved physical exam expenses not covered by the executive officer’s health insurance.</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340"/>
              <w:spacing w:after="0" w:line="202" w:lineRule="exact"/>
              <w:rPr>
                <w:sz w:val="20"/>
                <w:szCs w:val="20"/>
                <w:color w:val="auto"/>
              </w:rPr>
            </w:pPr>
            <w:r>
              <w:rPr>
                <w:rFonts w:ascii="Arial" w:cs="Arial" w:eastAsia="Arial" w:hAnsi="Arial"/>
                <w:sz w:val="18"/>
                <w:szCs w:val="18"/>
                <w:color w:val="auto"/>
              </w:rPr>
              <w:t>•Company products—To enable our executive officers the opportunity to become more familiar with our products</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and use those products on a regular basis, we provide certain Company products and related parts and</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w w:val="99"/>
              </w:rPr>
              <w:t>accessories for personal use at no cost; provided, however, that executive officers are responsible for applicable</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taxes attributable to the value of such products. The value of a product, part or accessory is generally deemed</w:t>
            </w:r>
          </w:p>
        </w:tc>
      </w:tr>
      <w:tr>
        <w:trPr>
          <w:trHeight w:val="203"/>
        </w:trPr>
        <w:tc>
          <w:tcPr>
            <w:tcW w:w="1960" w:type="dxa"/>
            <w:vAlign w:val="bottom"/>
            <w:shd w:val="clear" w:color="auto" w:fill="D9D9D9"/>
          </w:tcPr>
          <w:p>
            <w:pPr>
              <w:spacing w:after="0"/>
              <w:rPr>
                <w:sz w:val="17"/>
                <w:szCs w:val="17"/>
                <w:color w:val="auto"/>
              </w:rPr>
            </w:pPr>
          </w:p>
        </w:tc>
        <w:tc>
          <w:tcPr>
            <w:tcW w:w="9460" w:type="dxa"/>
            <w:vAlign w:val="bottom"/>
            <w:shd w:val="clear" w:color="auto" w:fill="D9D9D9"/>
          </w:tcPr>
          <w:p>
            <w:pPr>
              <w:ind w:left="520"/>
              <w:spacing w:after="0" w:line="202" w:lineRule="exact"/>
              <w:rPr>
                <w:sz w:val="20"/>
                <w:szCs w:val="20"/>
                <w:color w:val="auto"/>
              </w:rPr>
            </w:pPr>
            <w:r>
              <w:rPr>
                <w:rFonts w:ascii="Arial" w:cs="Arial" w:eastAsia="Arial" w:hAnsi="Arial"/>
                <w:sz w:val="18"/>
                <w:szCs w:val="18"/>
                <w:color w:val="auto"/>
              </w:rPr>
              <w:t>to be our distributor net price or its equivalent, which is also the price at which products are available to</w:t>
            </w:r>
          </w:p>
        </w:tc>
      </w:tr>
      <w:tr>
        <w:trPr>
          <w:trHeight w:val="217"/>
        </w:trPr>
        <w:tc>
          <w:tcPr>
            <w:tcW w:w="1960" w:type="dxa"/>
            <w:vAlign w:val="bottom"/>
            <w:shd w:val="clear" w:color="auto" w:fill="D9D9D9"/>
          </w:tcPr>
          <w:p>
            <w:pPr>
              <w:spacing w:after="0"/>
              <w:rPr>
                <w:sz w:val="18"/>
                <w:szCs w:val="18"/>
                <w:color w:val="auto"/>
              </w:rPr>
            </w:pPr>
          </w:p>
        </w:tc>
        <w:tc>
          <w:tcPr>
            <w:tcW w:w="9460" w:type="dxa"/>
            <w:vAlign w:val="bottom"/>
            <w:shd w:val="clear" w:color="auto" w:fill="D9D9D9"/>
          </w:tcPr>
          <w:p>
            <w:pPr>
              <w:ind w:left="520"/>
              <w:spacing w:after="0"/>
              <w:rPr>
                <w:sz w:val="20"/>
                <w:szCs w:val="20"/>
                <w:color w:val="auto"/>
              </w:rPr>
            </w:pPr>
            <w:r>
              <w:rPr>
                <w:rFonts w:ascii="Arial" w:cs="Arial" w:eastAsia="Arial" w:hAnsi="Arial"/>
                <w:sz w:val="18"/>
                <w:szCs w:val="18"/>
                <w:color w:val="auto"/>
              </w:rPr>
              <w:t>employees for purchase.</w:t>
            </w:r>
          </w:p>
        </w:tc>
      </w:tr>
      <w:tr>
        <w:trPr>
          <w:trHeight w:val="202"/>
        </w:trPr>
        <w:tc>
          <w:tcPr>
            <w:tcW w:w="1960" w:type="dxa"/>
            <w:vAlign w:val="bottom"/>
          </w:tcPr>
          <w:p>
            <w:pPr>
              <w:ind w:left="60"/>
              <w:spacing w:after="0" w:line="201" w:lineRule="exact"/>
              <w:rPr>
                <w:sz w:val="20"/>
                <w:szCs w:val="20"/>
                <w:color w:val="auto"/>
              </w:rPr>
            </w:pPr>
            <w:r>
              <w:rPr>
                <w:rFonts w:ascii="Arial" w:cs="Arial" w:eastAsia="Arial" w:hAnsi="Arial"/>
                <w:sz w:val="18"/>
                <w:szCs w:val="18"/>
                <w:color w:val="auto"/>
              </w:rPr>
              <w:t>Charitable Giving</w:t>
            </w:r>
          </w:p>
        </w:tc>
        <w:tc>
          <w:tcPr>
            <w:tcW w:w="9460" w:type="dxa"/>
            <w:vAlign w:val="bottom"/>
          </w:tcPr>
          <w:p>
            <w:pPr>
              <w:ind w:left="340"/>
              <w:spacing w:after="0" w:line="201" w:lineRule="exact"/>
              <w:rPr>
                <w:sz w:val="20"/>
                <w:szCs w:val="20"/>
                <w:color w:val="auto"/>
              </w:rPr>
            </w:pPr>
            <w:r>
              <w:rPr>
                <w:rFonts w:ascii="Arial" w:cs="Arial" w:eastAsia="Arial" w:hAnsi="Arial"/>
                <w:sz w:val="18"/>
                <w:szCs w:val="18"/>
                <w:color w:val="auto"/>
              </w:rPr>
              <w:t>We support charitable organizations for our employees through our matching gift program. The program for our</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executive officers provides that a gift or gifts by an executive officer and/or his or her spouse to one or more tax</w:t>
            </w:r>
          </w:p>
        </w:tc>
      </w:tr>
      <w:tr>
        <w:trPr>
          <w:trHeight w:val="203"/>
        </w:trPr>
        <w:tc>
          <w:tcPr>
            <w:tcW w:w="1960" w:type="dxa"/>
            <w:vAlign w:val="bottom"/>
          </w:tcPr>
          <w:p>
            <w:pPr>
              <w:spacing w:after="0"/>
              <w:rPr>
                <w:sz w:val="17"/>
                <w:szCs w:val="17"/>
                <w:color w:val="auto"/>
              </w:rPr>
            </w:pPr>
          </w:p>
        </w:tc>
        <w:tc>
          <w:tcPr>
            <w:tcW w:w="9460" w:type="dxa"/>
            <w:vAlign w:val="bottom"/>
          </w:tcPr>
          <w:p>
            <w:pPr>
              <w:ind w:left="340"/>
              <w:spacing w:after="0" w:line="202" w:lineRule="exact"/>
              <w:rPr>
                <w:sz w:val="20"/>
                <w:szCs w:val="20"/>
                <w:color w:val="auto"/>
              </w:rPr>
            </w:pPr>
            <w:r>
              <w:rPr>
                <w:rFonts w:ascii="Arial" w:cs="Arial" w:eastAsia="Arial" w:hAnsi="Arial"/>
                <w:sz w:val="18"/>
                <w:szCs w:val="18"/>
                <w:color w:val="auto"/>
              </w:rPr>
              <w:t>exempt 501(c)(3) charitable organizations located in the United States will be matched by us in an aggregate</w:t>
            </w:r>
          </w:p>
        </w:tc>
      </w:tr>
      <w:tr>
        <w:trPr>
          <w:trHeight w:val="217"/>
        </w:trPr>
        <w:tc>
          <w:tcPr>
            <w:tcW w:w="196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amount of up to $3,000 per year.</w:t>
            </w:r>
          </w:p>
        </w:tc>
      </w:tr>
      <w:tr>
        <w:trPr>
          <w:trHeight w:val="351"/>
        </w:trPr>
        <w:tc>
          <w:tcPr>
            <w:tcW w:w="196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Specific amounts included in the fiscal 2016 “All Other Compensation” column of the “Summary Compensation Table” are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shd w:val="clear" w:color="auto" w:fill="C00000"/>
          </w:tcPr>
          <w:p>
            <w:pPr>
              <w:spacing w:after="0"/>
              <w:rPr>
                <w:sz w:val="14"/>
                <w:szCs w:val="14"/>
                <w:color w:val="auto"/>
              </w:rPr>
            </w:pPr>
          </w:p>
        </w:tc>
        <w:tc>
          <w:tcPr>
            <w:tcW w:w="2280" w:type="dxa"/>
            <w:vAlign w:val="bottom"/>
            <w:shd w:val="clear" w:color="auto" w:fill="C00000"/>
          </w:tcPr>
          <w:p>
            <w:pPr>
              <w:spacing w:after="0"/>
              <w:rPr>
                <w:sz w:val="14"/>
                <w:szCs w:val="14"/>
                <w:color w:val="auto"/>
              </w:rPr>
            </w:pPr>
          </w:p>
        </w:tc>
        <w:tc>
          <w:tcPr>
            <w:tcW w:w="12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Nonqualified</w:t>
            </w:r>
          </w:p>
        </w:tc>
        <w:tc>
          <w:tcPr>
            <w:tcW w:w="1120" w:type="dxa"/>
            <w:vAlign w:val="bottom"/>
            <w:shd w:val="clear" w:color="auto" w:fill="C00000"/>
          </w:tcPr>
          <w:p>
            <w:pPr>
              <w:spacing w:after="0"/>
              <w:rPr>
                <w:sz w:val="14"/>
                <w:szCs w:val="14"/>
                <w:color w:val="auto"/>
              </w:rPr>
            </w:pPr>
          </w:p>
        </w:tc>
        <w:tc>
          <w:tcPr>
            <w:tcW w:w="320" w:type="dxa"/>
            <w:vAlign w:val="bottom"/>
            <w:shd w:val="clear" w:color="auto" w:fill="C00000"/>
          </w:tcPr>
          <w:p>
            <w:pPr>
              <w:spacing w:after="0"/>
              <w:rPr>
                <w:sz w:val="14"/>
                <w:szCs w:val="14"/>
                <w:color w:val="auto"/>
              </w:rPr>
            </w:pPr>
          </w:p>
        </w:tc>
        <w:tc>
          <w:tcPr>
            <w:tcW w:w="620" w:type="dxa"/>
            <w:vAlign w:val="bottom"/>
            <w:shd w:val="clear" w:color="auto" w:fill="C00000"/>
          </w:tcPr>
          <w:p>
            <w:pPr>
              <w:spacing w:after="0"/>
              <w:rPr>
                <w:sz w:val="14"/>
                <w:szCs w:val="14"/>
                <w:color w:val="auto"/>
              </w:rPr>
            </w:pPr>
          </w:p>
        </w:tc>
        <w:tc>
          <w:tcPr>
            <w:tcW w:w="360" w:type="dxa"/>
            <w:vAlign w:val="bottom"/>
            <w:shd w:val="clear" w:color="auto" w:fill="C00000"/>
          </w:tcPr>
          <w:p>
            <w:pPr>
              <w:spacing w:after="0"/>
              <w:rPr>
                <w:sz w:val="14"/>
                <w:szCs w:val="14"/>
                <w:color w:val="auto"/>
              </w:rPr>
            </w:pPr>
          </w:p>
        </w:tc>
        <w:tc>
          <w:tcPr>
            <w:tcW w:w="560" w:type="dxa"/>
            <w:vAlign w:val="bottom"/>
            <w:shd w:val="clear" w:color="auto" w:fill="C00000"/>
          </w:tcPr>
          <w:p>
            <w:pPr>
              <w:spacing w:after="0"/>
              <w:rPr>
                <w:sz w:val="14"/>
                <w:szCs w:val="14"/>
                <w:color w:val="auto"/>
              </w:rPr>
            </w:pPr>
          </w:p>
        </w:tc>
        <w:tc>
          <w:tcPr>
            <w:tcW w:w="540" w:type="dxa"/>
            <w:vAlign w:val="bottom"/>
            <w:shd w:val="clear" w:color="auto" w:fill="C00000"/>
          </w:tcPr>
          <w:p>
            <w:pPr>
              <w:spacing w:after="0"/>
              <w:rPr>
                <w:sz w:val="14"/>
                <w:szCs w:val="14"/>
                <w:color w:val="auto"/>
              </w:rPr>
            </w:pPr>
          </w:p>
        </w:tc>
        <w:tc>
          <w:tcPr>
            <w:tcW w:w="42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220" w:type="dxa"/>
            <w:vAlign w:val="bottom"/>
            <w:shd w:val="clear" w:color="auto" w:fill="C00000"/>
          </w:tcPr>
          <w:p>
            <w:pPr>
              <w:spacing w:after="0"/>
              <w:rPr>
                <w:sz w:val="14"/>
                <w:szCs w:val="14"/>
                <w:color w:val="auto"/>
              </w:rPr>
            </w:pPr>
          </w:p>
        </w:tc>
        <w:tc>
          <w:tcPr>
            <w:tcW w:w="740" w:type="dxa"/>
            <w:vAlign w:val="bottom"/>
            <w:shd w:val="clear" w:color="auto" w:fill="C00000"/>
          </w:tcPr>
          <w:p>
            <w:pPr>
              <w:spacing w:after="0"/>
              <w:rPr>
                <w:sz w:val="14"/>
                <w:szCs w:val="14"/>
                <w:color w:val="auto"/>
              </w:rPr>
            </w:pPr>
          </w:p>
        </w:tc>
      </w:tr>
      <w:tr>
        <w:trPr>
          <w:trHeight w:val="162"/>
        </w:trPr>
        <w:tc>
          <w:tcPr>
            <w:tcW w:w="2080" w:type="dxa"/>
            <w:vAlign w:val="bottom"/>
            <w:shd w:val="clear" w:color="auto" w:fill="C00000"/>
          </w:tcPr>
          <w:p>
            <w:pPr>
              <w:spacing w:after="0"/>
              <w:rPr>
                <w:sz w:val="14"/>
                <w:szCs w:val="14"/>
                <w:color w:val="auto"/>
              </w:rPr>
            </w:pPr>
          </w:p>
        </w:tc>
        <w:tc>
          <w:tcPr>
            <w:tcW w:w="2280" w:type="dxa"/>
            <w:vAlign w:val="bottom"/>
            <w:shd w:val="clear" w:color="auto" w:fill="C00000"/>
          </w:tcPr>
          <w:p>
            <w:pPr>
              <w:jc w:val="center"/>
              <w:ind w:left="924"/>
              <w:spacing w:after="0"/>
              <w:rPr>
                <w:sz w:val="20"/>
                <w:szCs w:val="20"/>
                <w:color w:val="auto"/>
              </w:rPr>
            </w:pPr>
            <w:r>
              <w:rPr>
                <w:rFonts w:ascii="Arial" w:cs="Arial" w:eastAsia="Arial" w:hAnsi="Arial"/>
                <w:sz w:val="14"/>
                <w:szCs w:val="14"/>
                <w:b w:val="1"/>
                <w:bCs w:val="1"/>
                <w:color w:val="FFFFFF"/>
              </w:rPr>
              <w:t>IS&amp;ESOP</w:t>
            </w:r>
          </w:p>
        </w:tc>
        <w:tc>
          <w:tcPr>
            <w:tcW w:w="12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Plan</w:t>
            </w:r>
          </w:p>
        </w:tc>
        <w:tc>
          <w:tcPr>
            <w:tcW w:w="1120" w:type="dxa"/>
            <w:vAlign w:val="bottom"/>
            <w:shd w:val="clear" w:color="auto" w:fill="C00000"/>
          </w:tcPr>
          <w:p>
            <w:pPr>
              <w:spacing w:after="0"/>
              <w:rPr>
                <w:sz w:val="14"/>
                <w:szCs w:val="14"/>
                <w:color w:val="auto"/>
              </w:rPr>
            </w:pPr>
          </w:p>
        </w:tc>
        <w:tc>
          <w:tcPr>
            <w:tcW w:w="940" w:type="dxa"/>
            <w:vAlign w:val="bottom"/>
            <w:gridSpan w:val="2"/>
            <w:shd w:val="clear" w:color="auto" w:fill="C00000"/>
          </w:tcPr>
          <w:p>
            <w:pPr>
              <w:ind w:left="160"/>
              <w:spacing w:after="0"/>
              <w:rPr>
                <w:sz w:val="20"/>
                <w:szCs w:val="20"/>
                <w:color w:val="auto"/>
              </w:rPr>
            </w:pPr>
            <w:r>
              <w:rPr>
                <w:rFonts w:ascii="Arial" w:cs="Arial" w:eastAsia="Arial" w:hAnsi="Arial"/>
                <w:sz w:val="14"/>
                <w:szCs w:val="14"/>
                <w:b w:val="1"/>
                <w:bCs w:val="1"/>
                <w:color w:val="FFFFFF"/>
              </w:rPr>
              <w:t>Financial</w:t>
            </w:r>
          </w:p>
        </w:tc>
        <w:tc>
          <w:tcPr>
            <w:tcW w:w="92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Executive</w:t>
            </w:r>
          </w:p>
        </w:tc>
        <w:tc>
          <w:tcPr>
            <w:tcW w:w="9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Company</w:t>
            </w: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Charitable</w:t>
            </w:r>
          </w:p>
        </w:tc>
        <w:tc>
          <w:tcPr>
            <w:tcW w:w="220" w:type="dxa"/>
            <w:vAlign w:val="bottom"/>
            <w:shd w:val="clear" w:color="auto" w:fill="C00000"/>
          </w:tcPr>
          <w:p>
            <w:pPr>
              <w:spacing w:after="0"/>
              <w:rPr>
                <w:sz w:val="14"/>
                <w:szCs w:val="14"/>
                <w:color w:val="auto"/>
              </w:rPr>
            </w:pPr>
          </w:p>
        </w:tc>
        <w:tc>
          <w:tcPr>
            <w:tcW w:w="740" w:type="dxa"/>
            <w:vAlign w:val="bottom"/>
            <w:shd w:val="clear" w:color="auto" w:fill="C00000"/>
          </w:tcPr>
          <w:p>
            <w:pPr>
              <w:spacing w:after="0"/>
              <w:rPr>
                <w:sz w:val="14"/>
                <w:szCs w:val="14"/>
                <w:color w:val="auto"/>
              </w:rPr>
            </w:pPr>
          </w:p>
        </w:tc>
      </w:tr>
      <w:tr>
        <w:trPr>
          <w:trHeight w:val="162"/>
        </w:trPr>
        <w:tc>
          <w:tcPr>
            <w:tcW w:w="2080" w:type="dxa"/>
            <w:vAlign w:val="bottom"/>
            <w:shd w:val="clear" w:color="auto" w:fill="C00000"/>
          </w:tcPr>
          <w:p>
            <w:pPr>
              <w:spacing w:after="0"/>
              <w:rPr>
                <w:sz w:val="14"/>
                <w:szCs w:val="14"/>
                <w:color w:val="auto"/>
              </w:rPr>
            </w:pPr>
          </w:p>
        </w:tc>
        <w:tc>
          <w:tcPr>
            <w:tcW w:w="2280" w:type="dxa"/>
            <w:vAlign w:val="bottom"/>
            <w:shd w:val="clear" w:color="auto" w:fill="C00000"/>
          </w:tcPr>
          <w:p>
            <w:pPr>
              <w:jc w:val="center"/>
              <w:ind w:left="904"/>
              <w:spacing w:after="0" w:line="163"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8"/>
                <w:szCs w:val="18"/>
                <w:b w:val="1"/>
                <w:bCs w:val="1"/>
                <w:color w:val="FFFFFF"/>
                <w:vertAlign w:val="superscript"/>
              </w:rPr>
              <w:t>(1)</w:t>
            </w:r>
          </w:p>
        </w:tc>
        <w:tc>
          <w:tcPr>
            <w:tcW w:w="1260" w:type="dxa"/>
            <w:vAlign w:val="bottom"/>
            <w:gridSpan w:val="2"/>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8"/>
                <w:szCs w:val="18"/>
                <w:b w:val="1"/>
                <w:bCs w:val="1"/>
                <w:color w:val="FFFFFF"/>
                <w:vertAlign w:val="superscript"/>
              </w:rPr>
              <w:t>(2)</w:t>
            </w:r>
          </w:p>
        </w:tc>
        <w:tc>
          <w:tcPr>
            <w:tcW w:w="1120" w:type="dxa"/>
            <w:vAlign w:val="bottom"/>
            <w:shd w:val="clear" w:color="auto" w:fill="C00000"/>
          </w:tcPr>
          <w:p>
            <w:pPr>
              <w:jc w:val="right"/>
              <w:ind w:right="4"/>
              <w:spacing w:after="0" w:line="163" w:lineRule="exact"/>
              <w:rPr>
                <w:sz w:val="20"/>
                <w:szCs w:val="20"/>
                <w:color w:val="auto"/>
              </w:rPr>
            </w:pPr>
            <w:r>
              <w:rPr>
                <w:rFonts w:ascii="Arial" w:cs="Arial" w:eastAsia="Arial" w:hAnsi="Arial"/>
                <w:sz w:val="11"/>
                <w:szCs w:val="11"/>
                <w:b w:val="1"/>
                <w:bCs w:val="1"/>
                <w:color w:val="FFFFFF"/>
              </w:rPr>
              <w:t>Automobile</w:t>
            </w:r>
            <w:r>
              <w:rPr>
                <w:rFonts w:ascii="Arial" w:cs="Arial" w:eastAsia="Arial" w:hAnsi="Arial"/>
                <w:sz w:val="18"/>
                <w:szCs w:val="18"/>
                <w:b w:val="1"/>
                <w:bCs w:val="1"/>
                <w:color w:val="FFFFFF"/>
                <w:vertAlign w:val="superscript"/>
              </w:rPr>
              <w:t>(3)</w:t>
            </w:r>
          </w:p>
        </w:tc>
        <w:tc>
          <w:tcPr>
            <w:tcW w:w="940" w:type="dxa"/>
            <w:vAlign w:val="bottom"/>
            <w:gridSpan w:val="2"/>
            <w:shd w:val="clear" w:color="auto" w:fill="C00000"/>
          </w:tcPr>
          <w:p>
            <w:pPr>
              <w:jc w:val="right"/>
              <w:ind w:right="1"/>
              <w:spacing w:after="0" w:line="163" w:lineRule="exact"/>
              <w:rPr>
                <w:sz w:val="20"/>
                <w:szCs w:val="20"/>
                <w:color w:val="auto"/>
              </w:rPr>
            </w:pPr>
            <w:r>
              <w:rPr>
                <w:rFonts w:ascii="Arial" w:cs="Arial" w:eastAsia="Arial" w:hAnsi="Arial"/>
                <w:sz w:val="11"/>
                <w:szCs w:val="11"/>
                <w:b w:val="1"/>
                <w:bCs w:val="1"/>
                <w:color w:val="FFFFFF"/>
              </w:rPr>
              <w:t>Planning</w:t>
            </w:r>
            <w:r>
              <w:rPr>
                <w:rFonts w:ascii="Arial" w:cs="Arial" w:eastAsia="Arial" w:hAnsi="Arial"/>
                <w:sz w:val="18"/>
                <w:szCs w:val="18"/>
                <w:b w:val="1"/>
                <w:bCs w:val="1"/>
                <w:color w:val="FFFFFF"/>
                <w:vertAlign w:val="superscript"/>
              </w:rPr>
              <w:t>(4)</w:t>
            </w:r>
          </w:p>
        </w:tc>
        <w:tc>
          <w:tcPr>
            <w:tcW w:w="920" w:type="dxa"/>
            <w:vAlign w:val="bottom"/>
            <w:gridSpan w:val="2"/>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Physical</w:t>
            </w:r>
            <w:r>
              <w:rPr>
                <w:rFonts w:ascii="Arial" w:cs="Arial" w:eastAsia="Arial" w:hAnsi="Arial"/>
                <w:sz w:val="18"/>
                <w:szCs w:val="18"/>
                <w:b w:val="1"/>
                <w:bCs w:val="1"/>
                <w:color w:val="FFFFFF"/>
                <w:vertAlign w:val="superscript"/>
              </w:rPr>
              <w:t>(5)</w:t>
            </w:r>
          </w:p>
        </w:tc>
        <w:tc>
          <w:tcPr>
            <w:tcW w:w="960" w:type="dxa"/>
            <w:vAlign w:val="bottom"/>
            <w:gridSpan w:val="2"/>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Products</w:t>
            </w:r>
            <w:r>
              <w:rPr>
                <w:rFonts w:ascii="Arial" w:cs="Arial" w:eastAsia="Arial" w:hAnsi="Arial"/>
                <w:sz w:val="18"/>
                <w:szCs w:val="18"/>
                <w:b w:val="1"/>
                <w:bCs w:val="1"/>
                <w:color w:val="FFFFFF"/>
                <w:vertAlign w:val="superscript"/>
              </w:rPr>
              <w:t>(6)</w:t>
            </w:r>
          </w:p>
        </w:tc>
        <w:tc>
          <w:tcPr>
            <w:tcW w:w="90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Giving</w:t>
            </w:r>
            <w:r>
              <w:rPr>
                <w:rFonts w:ascii="Arial" w:cs="Arial" w:eastAsia="Arial" w:hAnsi="Arial"/>
                <w:sz w:val="18"/>
                <w:szCs w:val="18"/>
                <w:b w:val="1"/>
                <w:bCs w:val="1"/>
                <w:color w:val="FFFFFF"/>
                <w:vertAlign w:val="superscript"/>
              </w:rPr>
              <w:t>(7)</w:t>
            </w:r>
          </w:p>
        </w:tc>
        <w:tc>
          <w:tcPr>
            <w:tcW w:w="220" w:type="dxa"/>
            <w:vAlign w:val="bottom"/>
            <w:shd w:val="clear" w:color="auto" w:fill="C00000"/>
          </w:tcPr>
          <w:p>
            <w:pPr>
              <w:spacing w:after="0"/>
              <w:rPr>
                <w:sz w:val="14"/>
                <w:szCs w:val="14"/>
                <w:color w:val="auto"/>
              </w:rPr>
            </w:pPr>
          </w:p>
        </w:tc>
        <w:tc>
          <w:tcPr>
            <w:tcW w:w="740" w:type="dxa"/>
            <w:vAlign w:val="bottom"/>
            <w:shd w:val="clear" w:color="auto" w:fill="C00000"/>
          </w:tcPr>
          <w:p>
            <w:pPr>
              <w:jc w:val="right"/>
              <w:ind w:right="242"/>
              <w:spacing w:after="0"/>
              <w:rPr>
                <w:sz w:val="20"/>
                <w:szCs w:val="20"/>
                <w:color w:val="auto"/>
              </w:rPr>
            </w:pPr>
            <w:r>
              <w:rPr>
                <w:rFonts w:ascii="Arial" w:cs="Arial" w:eastAsia="Arial" w:hAnsi="Arial"/>
                <w:sz w:val="14"/>
                <w:szCs w:val="14"/>
                <w:b w:val="1"/>
                <w:bCs w:val="1"/>
                <w:color w:val="FFFFFF"/>
              </w:rPr>
              <w:t>Total</w:t>
            </w:r>
          </w:p>
        </w:tc>
      </w:tr>
      <w:tr>
        <w:trPr>
          <w:trHeight w:val="189"/>
        </w:trPr>
        <w:tc>
          <w:tcPr>
            <w:tcW w:w="20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2280" w:type="dxa"/>
            <w:vAlign w:val="bottom"/>
            <w:shd w:val="clear" w:color="auto" w:fill="C00000"/>
          </w:tcPr>
          <w:p>
            <w:pPr>
              <w:jc w:val="center"/>
              <w:ind w:left="904"/>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C00000"/>
          </w:tcPr>
          <w:p>
            <w:pPr>
              <w:spacing w:after="0"/>
              <w:rPr>
                <w:sz w:val="16"/>
                <w:szCs w:val="16"/>
                <w:color w:val="auto"/>
              </w:rPr>
            </w:pPr>
          </w:p>
        </w:tc>
        <w:tc>
          <w:tcPr>
            <w:tcW w:w="740" w:type="dxa"/>
            <w:vAlign w:val="bottom"/>
            <w:shd w:val="clear" w:color="auto" w:fill="C00000"/>
          </w:tcPr>
          <w:p>
            <w:pPr>
              <w:jc w:val="center"/>
              <w:ind w:right="441"/>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C00000"/>
          </w:tcPr>
          <w:p>
            <w:pPr>
              <w:jc w:val="right"/>
              <w:ind w:right="404"/>
              <w:spacing w:after="0"/>
              <w:rPr>
                <w:sz w:val="20"/>
                <w:szCs w:val="20"/>
                <w:color w:val="auto"/>
              </w:rPr>
            </w:pPr>
            <w:r>
              <w:rPr>
                <w:rFonts w:ascii="Arial" w:cs="Arial" w:eastAsia="Arial" w:hAnsi="Arial"/>
                <w:sz w:val="14"/>
                <w:szCs w:val="14"/>
                <w:b w:val="1"/>
                <w:bCs w:val="1"/>
                <w:color w:val="FFFFFF"/>
              </w:rPr>
              <w:t>($)</w:t>
            </w:r>
          </w:p>
        </w:tc>
        <w:tc>
          <w:tcPr>
            <w:tcW w:w="320" w:type="dxa"/>
            <w:vAlign w:val="bottom"/>
            <w:shd w:val="clear" w:color="auto" w:fill="C00000"/>
          </w:tcPr>
          <w:p>
            <w:pPr>
              <w:spacing w:after="0"/>
              <w:rPr>
                <w:sz w:val="16"/>
                <w:szCs w:val="16"/>
                <w:color w:val="auto"/>
              </w:rPr>
            </w:pPr>
          </w:p>
        </w:tc>
        <w:tc>
          <w:tcPr>
            <w:tcW w:w="620" w:type="dxa"/>
            <w:vAlign w:val="bottom"/>
            <w:shd w:val="clear" w:color="auto" w:fill="C00000"/>
          </w:tcPr>
          <w:p>
            <w:pPr>
              <w:jc w:val="right"/>
              <w:ind w:right="301"/>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C00000"/>
          </w:tcPr>
          <w:p>
            <w:pPr>
              <w:spacing w:after="0"/>
              <w:rPr>
                <w:sz w:val="16"/>
                <w:szCs w:val="16"/>
                <w:color w:val="auto"/>
              </w:rPr>
            </w:pPr>
          </w:p>
        </w:tc>
        <w:tc>
          <w:tcPr>
            <w:tcW w:w="560" w:type="dxa"/>
            <w:vAlign w:val="bottom"/>
            <w:shd w:val="clear" w:color="auto" w:fill="C00000"/>
          </w:tcPr>
          <w:p>
            <w:pPr>
              <w:jc w:val="center"/>
              <w:ind w:right="261"/>
              <w:spacing w:after="0"/>
              <w:rPr>
                <w:sz w:val="20"/>
                <w:szCs w:val="20"/>
                <w:color w:val="auto"/>
              </w:rPr>
            </w:pPr>
            <w:r>
              <w:rPr>
                <w:rFonts w:ascii="Arial" w:cs="Arial" w:eastAsia="Arial" w:hAnsi="Arial"/>
                <w:sz w:val="14"/>
                <w:szCs w:val="14"/>
                <w:b w:val="1"/>
                <w:bCs w:val="1"/>
                <w:color w:val="FFFFFF"/>
              </w:rPr>
              <w:t>($)</w:t>
            </w:r>
          </w:p>
        </w:tc>
        <w:tc>
          <w:tcPr>
            <w:tcW w:w="9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C00000"/>
          </w:tcPr>
          <w:p>
            <w:pPr>
              <w:spacing w:after="0"/>
              <w:rPr>
                <w:sz w:val="16"/>
                <w:szCs w:val="16"/>
                <w:color w:val="auto"/>
              </w:rPr>
            </w:pPr>
          </w:p>
        </w:tc>
        <w:tc>
          <w:tcPr>
            <w:tcW w:w="740" w:type="dxa"/>
            <w:vAlign w:val="bottom"/>
            <w:shd w:val="clear" w:color="auto" w:fill="C00000"/>
          </w:tcPr>
          <w:p>
            <w:pPr>
              <w:jc w:val="right"/>
              <w:ind w:right="322"/>
              <w:spacing w:after="0"/>
              <w:rPr>
                <w:sz w:val="20"/>
                <w:szCs w:val="20"/>
                <w:color w:val="auto"/>
              </w:rPr>
            </w:pPr>
            <w:r>
              <w:rPr>
                <w:rFonts w:ascii="Arial" w:cs="Arial" w:eastAsia="Arial" w:hAnsi="Arial"/>
                <w:sz w:val="14"/>
                <w:szCs w:val="14"/>
                <w:b w:val="1"/>
                <w:bCs w:val="1"/>
                <w:color w:val="FFFFFF"/>
              </w:rPr>
              <w:t>($)</w:t>
            </w:r>
          </w:p>
        </w:tc>
      </w:tr>
      <w:tr>
        <w:trPr>
          <w:trHeight w:val="189"/>
        </w:trPr>
        <w:tc>
          <w:tcPr>
            <w:tcW w:w="2080" w:type="dxa"/>
            <w:vAlign w:val="bottom"/>
          </w:tcPr>
          <w:p>
            <w:pPr>
              <w:ind w:left="60"/>
              <w:spacing w:after="0"/>
              <w:rPr>
                <w:sz w:val="20"/>
                <w:szCs w:val="20"/>
                <w:color w:val="auto"/>
              </w:rPr>
            </w:pPr>
            <w:r>
              <w:rPr>
                <w:rFonts w:ascii="Arial" w:cs="Arial" w:eastAsia="Arial" w:hAnsi="Arial"/>
                <w:sz w:val="16"/>
                <w:szCs w:val="16"/>
                <w:color w:val="auto"/>
              </w:rPr>
              <w:t>Mr. Hoffman</w:t>
            </w:r>
          </w:p>
        </w:tc>
        <w:tc>
          <w:tcPr>
            <w:tcW w:w="2280" w:type="dxa"/>
            <w:vAlign w:val="bottom"/>
          </w:tcPr>
          <w:p>
            <w:pPr>
              <w:jc w:val="right"/>
              <w:ind w:right="104"/>
              <w:spacing w:after="0"/>
              <w:rPr>
                <w:sz w:val="20"/>
                <w:szCs w:val="20"/>
                <w:color w:val="auto"/>
              </w:rPr>
            </w:pPr>
            <w:r>
              <w:rPr>
                <w:rFonts w:ascii="Arial" w:cs="Arial" w:eastAsia="Arial" w:hAnsi="Arial"/>
                <w:sz w:val="16"/>
                <w:szCs w:val="16"/>
                <w:color w:val="auto"/>
              </w:rPr>
              <w:t>$ 23,678</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$ 146,606</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$ 23,040</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7,500</w:t>
            </w: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$ 1,178</w:t>
            </w:r>
          </w:p>
        </w:tc>
        <w:tc>
          <w:tcPr>
            <w:tcW w:w="540" w:type="dxa"/>
            <w:vAlign w:val="bottom"/>
          </w:tcPr>
          <w:p>
            <w:pPr>
              <w:jc w:val="center"/>
              <w:ind w:left="32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$3,000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205,002</w:t>
            </w:r>
          </w:p>
        </w:tc>
      </w:tr>
      <w:tr>
        <w:trPr>
          <w:trHeight w:val="189"/>
        </w:trPr>
        <w:tc>
          <w:tcPr>
            <w:tcW w:w="2080" w:type="dxa"/>
            <w:vAlign w:val="bottom"/>
            <w:shd w:val="clear" w:color="auto" w:fill="D9D9D9"/>
          </w:tcPr>
          <w:p>
            <w:pPr>
              <w:ind w:left="60"/>
              <w:spacing w:after="0"/>
              <w:rPr>
                <w:sz w:val="20"/>
                <w:szCs w:val="20"/>
                <w:color w:val="auto"/>
              </w:rPr>
            </w:pPr>
            <w:r>
              <w:rPr>
                <w:rFonts w:ascii="Arial" w:cs="Arial" w:eastAsia="Arial" w:hAnsi="Arial"/>
                <w:sz w:val="16"/>
                <w:szCs w:val="16"/>
                <w:color w:val="auto"/>
              </w:rPr>
              <w:t>Ms. Peterson</w:t>
            </w:r>
          </w:p>
        </w:tc>
        <w:tc>
          <w:tcPr>
            <w:tcW w:w="22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$ 23,678</w:t>
            </w:r>
          </w:p>
        </w:tc>
        <w:tc>
          <w:tcPr>
            <w:tcW w:w="5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61"/>
              <w:spacing w:after="0"/>
              <w:rPr>
                <w:sz w:val="20"/>
                <w:szCs w:val="20"/>
                <w:color w:val="auto"/>
              </w:rPr>
            </w:pPr>
            <w:r>
              <w:rPr>
                <w:rFonts w:ascii="Arial" w:cs="Arial" w:eastAsia="Arial" w:hAnsi="Arial"/>
                <w:sz w:val="16"/>
                <w:szCs w:val="16"/>
                <w:color w:val="auto"/>
              </w:rPr>
              <w:t>43,978</w:t>
            </w:r>
          </w:p>
        </w:tc>
        <w:tc>
          <w:tcPr>
            <w:tcW w:w="1120" w:type="dxa"/>
            <w:vAlign w:val="bottom"/>
            <w:shd w:val="clear" w:color="auto" w:fill="D9D9D9"/>
          </w:tcPr>
          <w:p>
            <w:pPr>
              <w:jc w:val="right"/>
              <w:ind w:right="64"/>
              <w:spacing w:after="0"/>
              <w:rPr>
                <w:sz w:val="20"/>
                <w:szCs w:val="20"/>
                <w:color w:val="auto"/>
              </w:rPr>
            </w:pPr>
            <w:r>
              <w:rPr>
                <w:rFonts w:ascii="Arial" w:cs="Arial" w:eastAsia="Arial" w:hAnsi="Arial"/>
                <w:sz w:val="16"/>
                <w:szCs w:val="16"/>
                <w:color w:val="auto"/>
              </w:rPr>
              <w:t>$ 15,632</w:t>
            </w:r>
          </w:p>
        </w:tc>
        <w:tc>
          <w:tcPr>
            <w:tcW w:w="3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D9D9D9"/>
          </w:tcPr>
          <w:p>
            <w:pPr>
              <w:jc w:val="right"/>
              <w:ind w:right="41"/>
              <w:spacing w:after="0"/>
              <w:rPr>
                <w:sz w:val="20"/>
                <w:szCs w:val="20"/>
                <w:color w:val="auto"/>
              </w:rPr>
            </w:pPr>
            <w:r>
              <w:rPr>
                <w:rFonts w:ascii="Arial" w:cs="Arial" w:eastAsia="Arial" w:hAnsi="Arial"/>
                <w:sz w:val="16"/>
                <w:szCs w:val="16"/>
                <w:color w:val="auto"/>
              </w:rPr>
              <w:t>9,300</w:t>
            </w:r>
          </w:p>
        </w:tc>
        <w:tc>
          <w:tcPr>
            <w:tcW w:w="920" w:type="dxa"/>
            <w:vAlign w:val="bottom"/>
            <w:gridSpan w:val="2"/>
            <w:shd w:val="clear" w:color="auto" w:fill="D9D9D9"/>
          </w:tcPr>
          <w:p>
            <w:pPr>
              <w:jc w:val="right"/>
              <w:ind w:right="41"/>
              <w:spacing w:after="0"/>
              <w:rPr>
                <w:sz w:val="20"/>
                <w:szCs w:val="20"/>
                <w:color w:val="auto"/>
              </w:rPr>
            </w:pPr>
            <w:r>
              <w:rPr>
                <w:rFonts w:ascii="Arial" w:cs="Arial" w:eastAsia="Arial" w:hAnsi="Arial"/>
                <w:sz w:val="16"/>
                <w:szCs w:val="16"/>
                <w:color w:val="auto"/>
              </w:rPr>
              <w:t>$ 1,861</w:t>
            </w:r>
          </w:p>
        </w:tc>
        <w:tc>
          <w:tcPr>
            <w:tcW w:w="540" w:type="dxa"/>
            <w:vAlign w:val="bottom"/>
            <w:shd w:val="clear" w:color="auto" w:fill="D9D9D9"/>
          </w:tcPr>
          <w:p>
            <w:pPr>
              <w:jc w:val="center"/>
              <w:ind w:left="324"/>
              <w:spacing w:after="0"/>
              <w:rPr>
                <w:sz w:val="20"/>
                <w:szCs w:val="20"/>
                <w:color w:val="auto"/>
              </w:rPr>
            </w:pPr>
            <w:r>
              <w:rPr>
                <w:rFonts w:ascii="Arial" w:cs="Arial" w:eastAsia="Arial" w:hAnsi="Arial"/>
                <w:sz w:val="16"/>
                <w:szCs w:val="16"/>
                <w:color w:val="auto"/>
              </w:rPr>
              <w:t>$</w:t>
            </w:r>
          </w:p>
        </w:tc>
        <w:tc>
          <w:tcPr>
            <w:tcW w:w="4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260</w:t>
            </w:r>
          </w:p>
        </w:tc>
        <w:tc>
          <w:tcPr>
            <w:tcW w:w="900" w:type="dxa"/>
            <w:vAlign w:val="bottom"/>
            <w:shd w:val="clear" w:color="auto" w:fill="D9D9D9"/>
          </w:tcPr>
          <w:p>
            <w:pPr>
              <w:jc w:val="right"/>
              <w:ind w:right="64"/>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97,709</w:t>
            </w:r>
          </w:p>
        </w:tc>
      </w:tr>
      <w:tr>
        <w:trPr>
          <w:trHeight w:val="189"/>
        </w:trPr>
        <w:tc>
          <w:tcPr>
            <w:tcW w:w="2080" w:type="dxa"/>
            <w:vAlign w:val="bottom"/>
          </w:tcPr>
          <w:p>
            <w:pPr>
              <w:ind w:left="60"/>
              <w:spacing w:after="0"/>
              <w:rPr>
                <w:sz w:val="20"/>
                <w:szCs w:val="20"/>
                <w:color w:val="auto"/>
              </w:rPr>
            </w:pPr>
            <w:r>
              <w:rPr>
                <w:rFonts w:ascii="Arial" w:cs="Arial" w:eastAsia="Arial" w:hAnsi="Arial"/>
                <w:sz w:val="16"/>
                <w:szCs w:val="16"/>
                <w:color w:val="auto"/>
              </w:rPr>
              <w:t>Mr. Olson</w:t>
            </w:r>
          </w:p>
        </w:tc>
        <w:tc>
          <w:tcPr>
            <w:tcW w:w="2280" w:type="dxa"/>
            <w:vAlign w:val="bottom"/>
          </w:tcPr>
          <w:p>
            <w:pPr>
              <w:jc w:val="right"/>
              <w:ind w:right="104"/>
              <w:spacing w:after="0"/>
              <w:rPr>
                <w:sz w:val="20"/>
                <w:szCs w:val="20"/>
                <w:color w:val="auto"/>
              </w:rPr>
            </w:pPr>
            <w:r>
              <w:rPr>
                <w:rFonts w:ascii="Arial" w:cs="Arial" w:eastAsia="Arial" w:hAnsi="Arial"/>
                <w:sz w:val="16"/>
                <w:szCs w:val="16"/>
                <w:color w:val="auto"/>
              </w:rPr>
              <w:t>$ 23,678</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46,832</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$ 14,246</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8,935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540" w:type="dxa"/>
            <w:vAlign w:val="bottom"/>
          </w:tcPr>
          <w:p>
            <w:pPr>
              <w:jc w:val="center"/>
              <w:ind w:left="32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898</w:t>
            </w: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$3,000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97,589</w:t>
            </w:r>
          </w:p>
        </w:tc>
      </w:tr>
      <w:tr>
        <w:trPr>
          <w:trHeight w:val="189"/>
        </w:trPr>
        <w:tc>
          <w:tcPr>
            <w:tcW w:w="2080" w:type="dxa"/>
            <w:vAlign w:val="bottom"/>
            <w:shd w:val="clear" w:color="auto" w:fill="D9D9D9"/>
          </w:tcPr>
          <w:p>
            <w:pPr>
              <w:ind w:left="60"/>
              <w:spacing w:after="0"/>
              <w:rPr>
                <w:sz w:val="20"/>
                <w:szCs w:val="20"/>
                <w:color w:val="auto"/>
              </w:rPr>
            </w:pPr>
            <w:r>
              <w:rPr>
                <w:rFonts w:ascii="Arial" w:cs="Arial" w:eastAsia="Arial" w:hAnsi="Arial"/>
                <w:sz w:val="16"/>
                <w:szCs w:val="16"/>
                <w:color w:val="auto"/>
              </w:rPr>
              <w:t>Mr. Brown</w:t>
            </w:r>
          </w:p>
        </w:tc>
        <w:tc>
          <w:tcPr>
            <w:tcW w:w="22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$ 17,882</w:t>
            </w:r>
          </w:p>
        </w:tc>
        <w:tc>
          <w:tcPr>
            <w:tcW w:w="5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61"/>
              <w:spacing w:after="0"/>
              <w:rPr>
                <w:sz w:val="20"/>
                <w:szCs w:val="20"/>
                <w:color w:val="auto"/>
              </w:rPr>
            </w:pPr>
            <w:r>
              <w:rPr>
                <w:rFonts w:ascii="Arial" w:cs="Arial" w:eastAsia="Arial" w:hAnsi="Arial"/>
                <w:sz w:val="16"/>
                <w:szCs w:val="16"/>
                <w:color w:val="auto"/>
              </w:rPr>
              <w:t>36,553</w:t>
            </w:r>
          </w:p>
        </w:tc>
        <w:tc>
          <w:tcPr>
            <w:tcW w:w="1120" w:type="dxa"/>
            <w:vAlign w:val="bottom"/>
            <w:shd w:val="clear" w:color="auto" w:fill="D9D9D9"/>
          </w:tcPr>
          <w:p>
            <w:pPr>
              <w:jc w:val="right"/>
              <w:ind w:right="64"/>
              <w:spacing w:after="0"/>
              <w:rPr>
                <w:sz w:val="20"/>
                <w:szCs w:val="20"/>
                <w:color w:val="auto"/>
              </w:rPr>
            </w:pPr>
            <w:r>
              <w:rPr>
                <w:rFonts w:ascii="Arial" w:cs="Arial" w:eastAsia="Arial" w:hAnsi="Arial"/>
                <w:sz w:val="16"/>
                <w:szCs w:val="16"/>
                <w:color w:val="auto"/>
              </w:rPr>
              <w:t>$ 16,051</w:t>
            </w:r>
          </w:p>
        </w:tc>
        <w:tc>
          <w:tcPr>
            <w:tcW w:w="940" w:type="dxa"/>
            <w:vAlign w:val="bottom"/>
            <w:gridSpan w:val="2"/>
            <w:shd w:val="clear" w:color="auto" w:fill="D9D9D9"/>
          </w:tcPr>
          <w:p>
            <w:pPr>
              <w:jc w:val="right"/>
              <w:ind w:right="41"/>
              <w:spacing w:after="0"/>
              <w:rPr>
                <w:sz w:val="20"/>
                <w:szCs w:val="20"/>
                <w:color w:val="auto"/>
              </w:rPr>
            </w:pPr>
            <w:r>
              <w:rPr>
                <w:rFonts w:ascii="Arial" w:cs="Arial" w:eastAsia="Arial" w:hAnsi="Arial"/>
                <w:sz w:val="16"/>
                <w:szCs w:val="16"/>
                <w:color w:val="auto"/>
              </w:rPr>
              <w:t>$ 11,250</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9D9D9"/>
          </w:tcPr>
          <w:p>
            <w:pPr>
              <w:jc w:val="right"/>
              <w:ind w:right="41"/>
              <w:spacing w:after="0"/>
              <w:rPr>
                <w:sz w:val="20"/>
                <w:szCs w:val="20"/>
                <w:color w:val="auto"/>
              </w:rPr>
            </w:pPr>
            <w:r>
              <w:rPr>
                <w:rFonts w:ascii="Arial" w:cs="Arial" w:eastAsia="Arial" w:hAnsi="Arial"/>
                <w:sz w:val="16"/>
                <w:szCs w:val="16"/>
                <w:color w:val="auto"/>
              </w:rPr>
              <w:t>413</w:t>
            </w:r>
          </w:p>
        </w:tc>
        <w:tc>
          <w:tcPr>
            <w:tcW w:w="540" w:type="dxa"/>
            <w:vAlign w:val="bottom"/>
            <w:shd w:val="clear" w:color="auto" w:fill="D9D9D9"/>
          </w:tcPr>
          <w:p>
            <w:pPr>
              <w:jc w:val="center"/>
              <w:ind w:left="324"/>
              <w:spacing w:after="0"/>
              <w:rPr>
                <w:sz w:val="20"/>
                <w:szCs w:val="20"/>
                <w:color w:val="auto"/>
              </w:rPr>
            </w:pPr>
            <w:r>
              <w:rPr>
                <w:rFonts w:ascii="Arial" w:cs="Arial" w:eastAsia="Arial" w:hAnsi="Arial"/>
                <w:sz w:val="16"/>
                <w:szCs w:val="16"/>
                <w:color w:val="auto"/>
              </w:rPr>
              <w:t>$</w:t>
            </w:r>
          </w:p>
        </w:tc>
        <w:tc>
          <w:tcPr>
            <w:tcW w:w="4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0</w:t>
            </w:r>
          </w:p>
        </w:tc>
        <w:tc>
          <w:tcPr>
            <w:tcW w:w="900" w:type="dxa"/>
            <w:vAlign w:val="bottom"/>
            <w:shd w:val="clear" w:color="auto" w:fill="D9D9D9"/>
          </w:tcPr>
          <w:p>
            <w:pPr>
              <w:jc w:val="right"/>
              <w:ind w:right="64"/>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85,149</w:t>
            </w:r>
          </w:p>
        </w:tc>
      </w:tr>
      <w:tr>
        <w:trPr>
          <w:trHeight w:val="197"/>
        </w:trPr>
        <w:tc>
          <w:tcPr>
            <w:tcW w:w="2080" w:type="dxa"/>
            <w:vAlign w:val="bottom"/>
          </w:tcPr>
          <w:p>
            <w:pPr>
              <w:ind w:left="60"/>
              <w:spacing w:after="0"/>
              <w:rPr>
                <w:sz w:val="20"/>
                <w:szCs w:val="20"/>
                <w:color w:val="auto"/>
              </w:rPr>
            </w:pPr>
            <w:r>
              <w:rPr>
                <w:rFonts w:ascii="Arial" w:cs="Arial" w:eastAsia="Arial" w:hAnsi="Arial"/>
                <w:sz w:val="16"/>
                <w:szCs w:val="16"/>
                <w:color w:val="auto"/>
              </w:rPr>
              <w:t>Mr. Dordell</w:t>
            </w:r>
          </w:p>
        </w:tc>
        <w:tc>
          <w:tcPr>
            <w:tcW w:w="2280" w:type="dxa"/>
            <w:vAlign w:val="bottom"/>
          </w:tcPr>
          <w:p>
            <w:pPr>
              <w:jc w:val="right"/>
              <w:ind w:right="104"/>
              <w:spacing w:after="0"/>
              <w:rPr>
                <w:sz w:val="20"/>
                <w:szCs w:val="20"/>
                <w:color w:val="auto"/>
              </w:rPr>
            </w:pPr>
            <w:r>
              <w:rPr>
                <w:rFonts w:ascii="Arial" w:cs="Arial" w:eastAsia="Arial" w:hAnsi="Arial"/>
                <w:sz w:val="16"/>
                <w:szCs w:val="16"/>
                <w:color w:val="auto"/>
              </w:rPr>
              <w:t>$ 20,762</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30,739</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$ 22,927</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6,761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540" w:type="dxa"/>
            <w:vAlign w:val="bottom"/>
          </w:tcPr>
          <w:p>
            <w:pPr>
              <w:jc w:val="center"/>
              <w:ind w:left="32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$3,000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84,506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6073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1" w:lineRule="exact"/>
        <w:rPr>
          <w:sz w:val="20"/>
          <w:szCs w:val="20"/>
          <w:color w:val="auto"/>
        </w:rPr>
      </w:pPr>
    </w:p>
    <w:p>
      <w:pPr>
        <w:ind w:left="460" w:right="80" w:hanging="452"/>
        <w:spacing w:after="0" w:line="24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(i) matching contributions, (ii) investment savings contributions, and (iii) ESOP contributions to the IS&amp;ESOP.</w:t>
      </w:r>
    </w:p>
    <w:p>
      <w:pPr>
        <w:spacing w:after="0" w:line="223"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Deferred Plan and Supplemental Benefit Plan.</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paid automobile lease plus reportable income for personal use of the automobile.</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financial planning expenses.</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executive physical expenses or co-pays for executive physicals.</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value of Company products received for personal use.</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Grants of Plan-Based Awards for Fiscal 2016</w:t>
      </w:r>
    </w:p>
    <w:p>
      <w:pPr>
        <w:spacing w:after="0" w:line="234" w:lineRule="exact"/>
        <w:rPr>
          <w:sz w:val="20"/>
          <w:szCs w:val="20"/>
          <w:color w:val="auto"/>
        </w:rPr>
      </w:pPr>
    </w:p>
    <w:p>
      <w:pPr>
        <w:jc w:val="both"/>
        <w:ind w:right="100" w:firstLine="456"/>
        <w:spacing w:after="0"/>
        <w:rPr>
          <w:sz w:val="20"/>
          <w:szCs w:val="20"/>
          <w:color w:val="auto"/>
        </w:rPr>
      </w:pPr>
      <w:r>
        <w:rPr>
          <w:rFonts w:ascii="Arial" w:cs="Arial" w:eastAsia="Arial" w:hAnsi="Arial"/>
          <w:sz w:val="18"/>
          <w:szCs w:val="18"/>
          <w:color w:val="auto"/>
        </w:rPr>
        <w:t>We currently grant cash and equity awards under our Amended and Restated 2010 Plan. During fiscal 2016, plan-based awards granted to our named executive officers included annual cash incentive awards, performance share awards, and stock option awards. More details on these grants can be found within the “Compensation Discussion and Analysis.”</w:t>
      </w:r>
    </w:p>
    <w:p>
      <w:pPr>
        <w:spacing w:after="0" w:line="203" w:lineRule="exact"/>
        <w:rPr>
          <w:sz w:val="20"/>
          <w:szCs w:val="20"/>
          <w:color w:val="auto"/>
        </w:rPr>
      </w:pPr>
    </w:p>
    <w:p>
      <w:pPr>
        <w:jc w:val="both"/>
        <w:ind w:right="160" w:firstLine="456"/>
        <w:spacing w:after="0"/>
        <w:rPr>
          <w:sz w:val="20"/>
          <w:szCs w:val="20"/>
          <w:color w:val="auto"/>
        </w:rPr>
      </w:pPr>
      <w:r>
        <w:rPr>
          <w:rFonts w:ascii="Arial" w:cs="Arial" w:eastAsia="Arial" w:hAnsi="Arial"/>
          <w:sz w:val="18"/>
          <w:szCs w:val="18"/>
          <w:color w:val="auto"/>
        </w:rPr>
        <w:t>The following table summarizes all plan-based awards granted to our named executive officers during fiscal 2016. Share and per share data have been adjusted for all periods presented to reflect our two-for-one stock split that was effective September 16, 2016. Specifically, the table includes the following:</w:t>
      </w:r>
    </w:p>
    <w:p>
      <w:pPr>
        <w:spacing w:after="0" w:line="230" w:lineRule="exact"/>
        <w:rPr>
          <w:sz w:val="20"/>
          <w:szCs w:val="20"/>
          <w:color w:val="auto"/>
        </w:rPr>
      </w:pPr>
    </w:p>
    <w:p>
      <w:pPr>
        <w:ind w:left="780" w:right="240" w:hanging="326"/>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Range of annual cash incentive award payouts for annual cash incentive awards granted in fiscal 2016 from threshold to maximum levels of performance;</w:t>
      </w:r>
    </w:p>
    <w:p>
      <w:pPr>
        <w:spacing w:after="0" w:line="223" w:lineRule="exact"/>
        <w:rPr>
          <w:rFonts w:ascii="Arial" w:cs="Arial" w:eastAsia="Arial" w:hAnsi="Arial"/>
          <w:sz w:val="18"/>
          <w:szCs w:val="18"/>
          <w:color w:val="auto"/>
        </w:rPr>
      </w:pPr>
    </w:p>
    <w:p>
      <w:pPr>
        <w:ind w:left="780" w:right="360" w:hanging="326"/>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Range of performance share awards granted in fiscal 2016 for the fiscal 2016 to fiscal 2018 performance period from threshold to maximum levels of performance;</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 options granted in fiscal 2016 and the exercise price of those stock options; and</w:t>
      </w:r>
    </w:p>
    <w:p>
      <w:pPr>
        <w:spacing w:after="0" w:line="238"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 date fair value of all stock and option awards.</w:t>
      </w:r>
    </w:p>
    <w:p>
      <w:pPr>
        <w:sectPr>
          <w:pgSz w:w="11900" w:h="16838" w:orient="portrait"/>
          <w:cols w:equalWidth="0" w:num="1">
            <w:col w:w="11420"/>
          </w:cols>
          <w:pgMar w:left="240" w:top="459" w:right="239" w:bottom="1440" w:gutter="0" w:footer="0" w:header="0"/>
        </w:sectPr>
      </w:pPr>
    </w:p>
    <w:bookmarkStart w:id="60" w:name="page61"/>
    <w:bookmarkEnd w:id="6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728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11"/>
        </w:trPr>
        <w:tc>
          <w:tcPr>
            <w:tcW w:w="2480" w:type="dxa"/>
            <w:vAlign w:val="bottom"/>
            <w:shd w:val="clear" w:color="auto" w:fill="C00000"/>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980" w:type="dxa"/>
            <w:vAlign w:val="bottom"/>
            <w:gridSpan w:val="3"/>
          </w:tcPr>
          <w:p>
            <w:pPr>
              <w:jc w:val="center"/>
              <w:ind w:left="13"/>
              <w:spacing w:after="0"/>
              <w:rPr>
                <w:sz w:val="20"/>
                <w:szCs w:val="20"/>
                <w:color w:val="auto"/>
              </w:rPr>
            </w:pPr>
            <w:r>
              <w:rPr>
                <w:rFonts w:ascii="Arial" w:cs="Arial" w:eastAsia="Arial" w:hAnsi="Arial"/>
                <w:sz w:val="14"/>
                <w:szCs w:val="14"/>
                <w:b w:val="1"/>
                <w:bCs w:val="1"/>
                <w:color w:val="FFFFFF"/>
              </w:rPr>
              <w:t>Estimated Future Payouts</w:t>
            </w:r>
          </w:p>
        </w:tc>
        <w:tc>
          <w:tcPr>
            <w:tcW w:w="0" w:type="dxa"/>
            <w:vAlign w:val="bottom"/>
          </w:tcPr>
          <w:p>
            <w:pPr>
              <w:spacing w:after="0"/>
              <w:rPr>
                <w:sz w:val="1"/>
                <w:szCs w:val="1"/>
                <w:color w:val="auto"/>
              </w:rPr>
            </w:pPr>
          </w:p>
        </w:tc>
      </w:tr>
      <w:tr>
        <w:trPr>
          <w:trHeight w:val="162"/>
        </w:trPr>
        <w:tc>
          <w:tcPr>
            <w:tcW w:w="2480" w:type="dxa"/>
            <w:vAlign w:val="bottom"/>
            <w:shd w:val="clear" w:color="auto" w:fill="C00000"/>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0" w:type="dxa"/>
            <w:vAlign w:val="bottom"/>
          </w:tcPr>
          <w:p>
            <w:pPr>
              <w:spacing w:after="0"/>
              <w:rPr>
                <w:sz w:val="1"/>
                <w:szCs w:val="1"/>
                <w:color w:val="auto"/>
              </w:rPr>
            </w:pPr>
          </w:p>
        </w:tc>
      </w:tr>
      <w:tr>
        <w:trPr>
          <w:trHeight w:val="167"/>
        </w:trPr>
        <w:tc>
          <w:tcPr>
            <w:tcW w:w="2480" w:type="dxa"/>
            <w:vAlign w:val="bottom"/>
            <w:shd w:val="clear" w:color="auto" w:fill="C00000"/>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FFFFFF"/>
              </w:rPr>
              <w:t>Plan Awards(1)</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FFFFFF"/>
              </w:rPr>
              <w:t>Plan Awards(2)</w:t>
            </w:r>
          </w:p>
        </w:tc>
        <w:tc>
          <w:tcPr>
            <w:tcW w:w="0" w:type="dxa"/>
            <w:vAlign w:val="bottom"/>
          </w:tcPr>
          <w:p>
            <w:pPr>
              <w:spacing w:after="0"/>
              <w:rPr>
                <w:sz w:val="1"/>
                <w:szCs w:val="1"/>
                <w:color w:val="auto"/>
              </w:rPr>
            </w:pPr>
          </w:p>
        </w:tc>
      </w:tr>
      <w:tr>
        <w:trPr>
          <w:trHeight w:val="135"/>
        </w:trPr>
        <w:tc>
          <w:tcPr>
            <w:tcW w:w="2480" w:type="dxa"/>
            <w:vAlign w:val="bottom"/>
            <w:vMerge w:val="restart"/>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7"/>
              </w:rPr>
              <w:t>Grant</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5"/>
              </w:rPr>
              <w:t>Approval</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FFFFFF"/>
              </w:rPr>
              <w:t>Threshold</w:t>
            </w:r>
          </w:p>
        </w:tc>
        <w:tc>
          <w:tcPr>
            <w:tcW w:w="820" w:type="dxa"/>
            <w:vAlign w:val="bottom"/>
          </w:tcPr>
          <w:p>
            <w:pPr>
              <w:ind w:left="220"/>
              <w:spacing w:after="0" w:line="135" w:lineRule="exact"/>
              <w:rPr>
                <w:sz w:val="20"/>
                <w:szCs w:val="20"/>
                <w:color w:val="auto"/>
              </w:rPr>
            </w:pPr>
            <w:r>
              <w:rPr>
                <w:rFonts w:ascii="Arial" w:cs="Arial" w:eastAsia="Arial" w:hAnsi="Arial"/>
                <w:sz w:val="13"/>
                <w:szCs w:val="13"/>
                <w:b w:val="1"/>
                <w:bCs w:val="1"/>
                <w:color w:val="FFFFFF"/>
              </w:rPr>
              <w:t>Target</w:t>
            </w:r>
          </w:p>
        </w:tc>
        <w:tc>
          <w:tcPr>
            <w:tcW w:w="780" w:type="dxa"/>
            <w:vAlign w:val="bottom"/>
          </w:tcPr>
          <w:p>
            <w:pPr>
              <w:ind w:left="80"/>
              <w:spacing w:after="0" w:line="135" w:lineRule="exact"/>
              <w:rPr>
                <w:sz w:val="20"/>
                <w:szCs w:val="20"/>
                <w:color w:val="auto"/>
              </w:rPr>
            </w:pPr>
            <w:r>
              <w:rPr>
                <w:rFonts w:ascii="Arial" w:cs="Arial" w:eastAsia="Arial" w:hAnsi="Arial"/>
                <w:sz w:val="13"/>
                <w:szCs w:val="13"/>
                <w:b w:val="1"/>
                <w:bCs w:val="1"/>
                <w:color w:val="FFFFFF"/>
              </w:rPr>
              <w:t>Maximum</w:t>
            </w:r>
          </w:p>
        </w:tc>
        <w:tc>
          <w:tcPr>
            <w:tcW w:w="780" w:type="dxa"/>
            <w:vAlign w:val="bottom"/>
          </w:tcPr>
          <w:p>
            <w:pPr>
              <w:ind w:left="80"/>
              <w:spacing w:after="0" w:line="135" w:lineRule="exact"/>
              <w:rPr>
                <w:sz w:val="20"/>
                <w:szCs w:val="20"/>
                <w:color w:val="auto"/>
              </w:rPr>
            </w:pPr>
            <w:r>
              <w:rPr>
                <w:rFonts w:ascii="Arial" w:cs="Arial" w:eastAsia="Arial" w:hAnsi="Arial"/>
                <w:sz w:val="13"/>
                <w:szCs w:val="13"/>
                <w:b w:val="1"/>
                <w:bCs w:val="1"/>
                <w:color w:val="FFFFFF"/>
              </w:rPr>
              <w:t>Threshold</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0"/>
              </w:rPr>
              <w:t>Target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FFFFFF"/>
              </w:rPr>
              <w:t>Maximum</w:t>
            </w:r>
          </w:p>
        </w:tc>
        <w:tc>
          <w:tcPr>
            <w:tcW w:w="0" w:type="dxa"/>
            <w:vAlign w:val="bottom"/>
          </w:tcPr>
          <w:p>
            <w:pPr>
              <w:spacing w:after="0"/>
              <w:rPr>
                <w:sz w:val="1"/>
                <w:szCs w:val="1"/>
                <w:color w:val="auto"/>
              </w:rPr>
            </w:pPr>
          </w:p>
        </w:tc>
      </w:tr>
      <w:tr>
        <w:trPr>
          <w:trHeight w:val="171"/>
        </w:trPr>
        <w:tc>
          <w:tcPr>
            <w:tcW w:w="2480" w:type="dxa"/>
            <w:vAlign w:val="bottom"/>
            <w:vMerge w:val="continue"/>
            <w:shd w:val="clear" w:color="auto" w:fill="C00000"/>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FFFFFF"/>
                <w:w w:val="99"/>
              </w:rPr>
              <w:t>Date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FFFFF"/>
                <w:w w:val="99"/>
              </w:rPr>
              <w:t>Date</w:t>
            </w:r>
          </w:p>
        </w:tc>
        <w:tc>
          <w:tcPr>
            <w:tcW w:w="740" w:type="dxa"/>
            <w:vAlign w:val="bottom"/>
          </w:tcPr>
          <w:p>
            <w:pPr>
              <w:jc w:val="right"/>
              <w:ind w:right="233"/>
              <w:spacing w:after="0"/>
              <w:rPr>
                <w:sz w:val="20"/>
                <w:szCs w:val="20"/>
                <w:color w:val="auto"/>
              </w:rPr>
            </w:pPr>
            <w:r>
              <w:rPr>
                <w:rFonts w:ascii="Arial" w:cs="Arial" w:eastAsia="Arial" w:hAnsi="Arial"/>
                <w:sz w:val="13"/>
                <w:szCs w:val="13"/>
                <w:b w:val="1"/>
                <w:bCs w:val="1"/>
                <w:color w:val="FFFFFF"/>
              </w:rPr>
              <w:t>($)</w:t>
            </w:r>
          </w:p>
        </w:tc>
        <w:tc>
          <w:tcPr>
            <w:tcW w:w="820" w:type="dxa"/>
            <w:vAlign w:val="bottom"/>
          </w:tcPr>
          <w:p>
            <w:pPr>
              <w:jc w:val="right"/>
              <w:ind w:right="277"/>
              <w:spacing w:after="0"/>
              <w:rPr>
                <w:sz w:val="20"/>
                <w:szCs w:val="20"/>
                <w:color w:val="auto"/>
              </w:rPr>
            </w:pPr>
            <w:r>
              <w:rPr>
                <w:rFonts w:ascii="Arial" w:cs="Arial" w:eastAsia="Arial" w:hAnsi="Arial"/>
                <w:sz w:val="13"/>
                <w:szCs w:val="13"/>
                <w:b w:val="1"/>
                <w:bCs w:val="1"/>
                <w:color w:val="FFFFFF"/>
              </w:rPr>
              <w:t>($)</w:t>
            </w:r>
          </w:p>
        </w:tc>
        <w:tc>
          <w:tcPr>
            <w:tcW w:w="780" w:type="dxa"/>
            <w:vAlign w:val="bottom"/>
          </w:tcPr>
          <w:p>
            <w:pPr>
              <w:jc w:val="right"/>
              <w:ind w:right="257"/>
              <w:spacing w:after="0"/>
              <w:rPr>
                <w:sz w:val="20"/>
                <w:szCs w:val="20"/>
                <w:color w:val="auto"/>
              </w:rPr>
            </w:pPr>
            <w:r>
              <w:rPr>
                <w:rFonts w:ascii="Arial" w:cs="Arial" w:eastAsia="Arial" w:hAnsi="Arial"/>
                <w:sz w:val="13"/>
                <w:szCs w:val="13"/>
                <w:b w:val="1"/>
                <w:bCs w:val="1"/>
                <w:color w:val="FFFFFF"/>
              </w:rPr>
              <w:t>($)</w:t>
            </w:r>
          </w:p>
        </w:tc>
        <w:tc>
          <w:tcPr>
            <w:tcW w:w="780" w:type="dxa"/>
            <w:vAlign w:val="bottom"/>
          </w:tcPr>
          <w:p>
            <w:pPr>
              <w:ind w:left="300"/>
              <w:spacing w:after="0"/>
              <w:rPr>
                <w:sz w:val="20"/>
                <w:szCs w:val="20"/>
                <w:color w:val="auto"/>
              </w:rPr>
            </w:pPr>
            <w:r>
              <w:rPr>
                <w:rFonts w:ascii="Arial" w:cs="Arial" w:eastAsia="Arial" w:hAnsi="Arial"/>
                <w:sz w:val="13"/>
                <w:szCs w:val="13"/>
                <w:b w:val="1"/>
                <w:bCs w:val="1"/>
                <w:color w:val="FFFFFF"/>
              </w:rPr>
              <w: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9"/>
        </w:trPr>
        <w:tc>
          <w:tcPr>
            <w:tcW w:w="2480" w:type="dxa"/>
            <w:vAlign w:val="bottom"/>
          </w:tcPr>
          <w:p>
            <w:pPr>
              <w:spacing w:after="0" w:line="129" w:lineRule="exact"/>
              <w:rPr>
                <w:sz w:val="20"/>
                <w:szCs w:val="20"/>
                <w:color w:val="auto"/>
              </w:rPr>
            </w:pPr>
            <w:r>
              <w:rPr>
                <w:rFonts w:ascii="Arial" w:cs="Arial" w:eastAsia="Arial" w:hAnsi="Arial"/>
                <w:sz w:val="13"/>
                <w:szCs w:val="13"/>
                <w:color w:val="auto"/>
              </w:rPr>
              <w:t>Michael J. Hoffman</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60"/>
              <w:spacing w:after="0" w:line="135" w:lineRule="exact"/>
              <w:rPr>
                <w:sz w:val="20"/>
                <w:szCs w:val="20"/>
                <w:color w:val="auto"/>
              </w:rPr>
            </w:pPr>
            <w:r>
              <w:rPr>
                <w:rFonts w:ascii="Arial" w:cs="Arial" w:eastAsia="Arial" w:hAnsi="Arial"/>
                <w:sz w:val="13"/>
                <w:szCs w:val="13"/>
                <w:color w:val="auto"/>
              </w:rPr>
              <w:t>Annual Cash Incentive Award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$495,000</w:t>
            </w:r>
          </w:p>
        </w:tc>
        <w:tc>
          <w:tcPr>
            <w:tcW w:w="8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$ 1,237,500</w:t>
            </w:r>
          </w:p>
        </w:tc>
        <w:tc>
          <w:tcPr>
            <w:tcW w:w="780" w:type="dxa"/>
            <w:vAlign w:val="bottom"/>
          </w:tcPr>
          <w:p>
            <w:pPr>
              <w:ind w:left="80"/>
              <w:spacing w:after="0" w:line="135" w:lineRule="exact"/>
              <w:rPr>
                <w:sz w:val="20"/>
                <w:szCs w:val="20"/>
                <w:color w:val="auto"/>
              </w:rPr>
            </w:pPr>
            <w:r>
              <w:rPr>
                <w:rFonts w:ascii="Arial" w:cs="Arial" w:eastAsia="Arial" w:hAnsi="Arial"/>
                <w:sz w:val="13"/>
                <w:szCs w:val="13"/>
                <w:color w:val="auto"/>
              </w:rPr>
              <w:t>$2,475,000</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60"/>
              <w:spacing w:after="0" w:line="135" w:lineRule="exact"/>
              <w:rPr>
                <w:sz w:val="20"/>
                <w:szCs w:val="20"/>
                <w:color w:val="auto"/>
              </w:rPr>
            </w:pPr>
            <w:r>
              <w:rPr>
                <w:rFonts w:ascii="Arial" w:cs="Arial" w:eastAsia="Arial" w:hAnsi="Arial"/>
                <w:sz w:val="13"/>
                <w:szCs w:val="13"/>
                <w:color w:val="auto"/>
              </w:rPr>
              <w:t>Performance Share Award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8"/>
              </w:rPr>
              <w:t>12/01/15</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300"/>
              <w:spacing w:after="0" w:line="135" w:lineRule="exact"/>
              <w:rPr>
                <w:sz w:val="20"/>
                <w:szCs w:val="20"/>
                <w:color w:val="auto"/>
              </w:rPr>
            </w:pPr>
            <w:r>
              <w:rPr>
                <w:rFonts w:ascii="Arial" w:cs="Arial" w:eastAsia="Arial" w:hAnsi="Arial"/>
                <w:sz w:val="13"/>
                <w:szCs w:val="13"/>
                <w:color w:val="auto"/>
              </w:rPr>
              <w:t>15,680</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39,200</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78,400</w:t>
            </w:r>
          </w:p>
        </w:tc>
        <w:tc>
          <w:tcPr>
            <w:tcW w:w="0" w:type="dxa"/>
            <w:vAlign w:val="bottom"/>
          </w:tcPr>
          <w:p>
            <w:pPr>
              <w:spacing w:after="0"/>
              <w:rPr>
                <w:sz w:val="1"/>
                <w:szCs w:val="1"/>
                <w:color w:val="auto"/>
              </w:rPr>
            </w:pPr>
          </w:p>
        </w:tc>
      </w:tr>
      <w:tr>
        <w:trPr>
          <w:trHeight w:val="135"/>
        </w:trPr>
        <w:tc>
          <w:tcPr>
            <w:tcW w:w="2480" w:type="dxa"/>
            <w:vAlign w:val="bottom"/>
          </w:tcPr>
          <w:p>
            <w:pPr>
              <w:ind w:left="260"/>
              <w:spacing w:after="0" w:line="135" w:lineRule="exact"/>
              <w:rPr>
                <w:sz w:val="20"/>
                <w:szCs w:val="20"/>
                <w:color w:val="auto"/>
              </w:rPr>
            </w:pPr>
            <w:r>
              <w:rPr>
                <w:rFonts w:ascii="Arial" w:cs="Arial" w:eastAsia="Arial" w:hAnsi="Arial"/>
                <w:sz w:val="13"/>
                <w:szCs w:val="13"/>
                <w:color w:val="auto"/>
              </w:rPr>
              <w:t>Stock Options</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12/04/15</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8"/>
              </w:rPr>
              <w:t>12/01/15</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-527050</wp:posOffset>
            </wp:positionV>
            <wp:extent cx="567690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769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FFFFF"/>
              </w:rPr>
              <w:t>All Other</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FFFFF"/>
              </w:rPr>
              <w:t>Option</w:t>
            </w: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Grant</w:t>
            </w:r>
          </w:p>
        </w:tc>
      </w:tr>
      <w:tr>
        <w:trPr>
          <w:trHeight w:val="162"/>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Number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FFFFF"/>
              </w:rPr>
              <w:t>Awards: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FFFFFF"/>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Date Fair</w:t>
            </w:r>
          </w:p>
        </w:tc>
      </w:tr>
      <w:tr>
        <w:trPr>
          <w:trHeight w:val="162"/>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FFFFF"/>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FFFFFF"/>
              </w:rPr>
              <w:t>or Base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Value of</w:t>
            </w:r>
          </w:p>
        </w:tc>
      </w:tr>
      <w:tr>
        <w:trPr>
          <w:trHeight w:val="162"/>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FFFFF"/>
              </w:rPr>
              <w:t>Securities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FFFFFF"/>
              </w:rPr>
              <w:t>Price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Stock and</w:t>
            </w:r>
          </w:p>
        </w:tc>
      </w:tr>
      <w:tr>
        <w:trPr>
          <w:trHeight w:val="180"/>
        </w:trPr>
        <w:tc>
          <w:tcPr>
            <w:tcW w:w="660" w:type="dxa"/>
            <w:vAlign w:val="bottom"/>
          </w:tcPr>
          <w:p>
            <w:pPr>
              <w:jc w:val="center"/>
              <w:spacing w:after="0"/>
              <w:rPr>
                <w:sz w:val="20"/>
                <w:szCs w:val="20"/>
                <w:color w:val="auto"/>
              </w:rPr>
            </w:pPr>
            <w:r>
              <w:rPr>
                <w:rFonts w:ascii="Arial" w:cs="Arial" w:eastAsia="Arial" w:hAnsi="Arial"/>
                <w:sz w:val="14"/>
                <w:szCs w:val="14"/>
                <w:b w:val="1"/>
                <w:bCs w:val="1"/>
                <w:color w:val="FFFFFF"/>
              </w:rPr>
              <w:t>of 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FFFFF"/>
              </w:rPr>
              <w:t>Underlying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FFFFFF"/>
              </w:rPr>
              <w:t>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r>
              <w:rPr>
                <w:rFonts w:ascii="Arial" w:cs="Arial" w:eastAsia="Arial" w:hAnsi="Arial"/>
                <w:sz w:val="10"/>
                <w:szCs w:val="10"/>
                <w:b w:val="1"/>
                <w:bCs w:val="1"/>
                <w:color w:val="FFFFFF"/>
                <w:w w:val="97"/>
              </w:rPr>
              <w:t>(3)</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0"/>
                <w:szCs w:val="10"/>
                <w:b w:val="1"/>
                <w:bCs w:val="1"/>
                <w:color w:val="FFFFFF"/>
                <w:w w:val="97"/>
              </w:rPr>
              <w:t>(4)</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0"/>
                <w:szCs w:val="10"/>
                <w:b w:val="1"/>
                <w:bCs w:val="1"/>
                <w:color w:val="FFFFFF"/>
              </w:rPr>
              <w:t>(5)(6)</w:t>
            </w:r>
          </w:p>
        </w:tc>
      </w:tr>
      <w:tr>
        <w:trPr>
          <w:trHeight w:val="168"/>
        </w:trPr>
        <w:tc>
          <w:tcPr>
            <w:tcW w:w="66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tcPr>
          <w:p>
            <w:pPr>
              <w:ind w:left="340"/>
              <w:spacing w:after="0"/>
              <w:rPr>
                <w:sz w:val="20"/>
                <w:szCs w:val="20"/>
                <w:color w:val="auto"/>
              </w:rPr>
            </w:pPr>
            <w:r>
              <w:rPr>
                <w:rFonts w:ascii="Arial" w:cs="Arial" w:eastAsia="Arial" w:hAnsi="Arial"/>
                <w:sz w:val="13"/>
                <w:szCs w:val="13"/>
                <w:b w:val="1"/>
                <w:bCs w:val="1"/>
                <w:color w:val="FFFFFF"/>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4"/>
              </w:rPr>
              <w:t>($/Sh)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FFFFFF"/>
              </w:rPr>
              <w:t>($)</w:t>
            </w:r>
          </w:p>
        </w:tc>
      </w:tr>
      <w:tr>
        <w:trPr>
          <w:trHeight w:val="402"/>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$1,524,292</w:t>
            </w:r>
          </w:p>
        </w:tc>
      </w:tr>
      <w:tr>
        <w:trPr>
          <w:trHeight w:val="135"/>
        </w:trPr>
        <w:tc>
          <w:tcPr>
            <w:tcW w:w="660" w:type="dxa"/>
            <w:vAlign w:val="bottom"/>
          </w:tcPr>
          <w:p>
            <w:pPr>
              <w:spacing w:after="0"/>
              <w:rPr>
                <w:sz w:val="11"/>
                <w:szCs w:val="11"/>
                <w:color w:val="auto"/>
              </w:rPr>
            </w:pPr>
          </w:p>
        </w:tc>
        <w:tc>
          <w:tcPr>
            <w:tcW w:w="860" w:type="dxa"/>
            <w:vAlign w:val="bottom"/>
          </w:tcPr>
          <w:p>
            <w:pPr>
              <w:ind w:left="340"/>
              <w:spacing w:after="0" w:line="135" w:lineRule="exact"/>
              <w:rPr>
                <w:sz w:val="20"/>
                <w:szCs w:val="20"/>
                <w:color w:val="auto"/>
              </w:rPr>
            </w:pPr>
            <w:r>
              <w:rPr>
                <w:rFonts w:ascii="Arial" w:cs="Arial" w:eastAsia="Arial" w:hAnsi="Arial"/>
                <w:sz w:val="13"/>
                <w:szCs w:val="13"/>
                <w:color w:val="auto"/>
              </w:rPr>
              <w:t>138,000</w:t>
            </w:r>
          </w:p>
        </w:tc>
        <w:tc>
          <w:tcPr>
            <w:tcW w:w="740" w:type="dxa"/>
            <w:vAlign w:val="bottom"/>
          </w:tcPr>
          <w:p>
            <w:pPr>
              <w:jc w:val="right"/>
              <w:ind w:right="12"/>
              <w:spacing w:after="0" w:line="135" w:lineRule="exact"/>
              <w:rPr>
                <w:sz w:val="20"/>
                <w:szCs w:val="20"/>
                <w:color w:val="auto"/>
              </w:rPr>
            </w:pPr>
            <w:r>
              <w:rPr>
                <w:rFonts w:ascii="Arial" w:cs="Arial" w:eastAsia="Arial" w:hAnsi="Arial"/>
                <w:sz w:val="13"/>
                <w:szCs w:val="13"/>
                <w:color w:val="auto"/>
              </w:rPr>
              <w:t>$38.82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$1,280,640</w:t>
            </w:r>
          </w:p>
        </w:tc>
      </w:tr>
    </w:tbl>
    <w:p>
      <w:pPr>
        <w:spacing w:after="0" w:line="1" w:lineRule="exact"/>
        <w:rPr>
          <w:sz w:val="20"/>
          <w:szCs w:val="20"/>
          <w:color w:val="auto"/>
        </w:rPr>
      </w:pPr>
    </w:p>
    <w:p>
      <w:pPr>
        <w:sectPr>
          <w:pgSz w:w="11900" w:h="16838" w:orient="portrait"/>
          <w:cols w:equalWidth="0" w:num="2">
            <w:col w:w="8160" w:space="140"/>
            <w:col w:w="3120"/>
          </w:cols>
          <w:pgMar w:left="240" w:top="369" w:right="239" w:bottom="1440" w:gutter="0" w:footer="0" w:header="0"/>
        </w:sectPr>
      </w:pPr>
    </w:p>
    <w:tbl>
      <w:tblPr>
        <w:tblLayout w:type="fixed"/>
        <w:tblInd w:w="0" w:type="dxa"/>
        <w:tblCellMar>
          <w:top w:w="0" w:type="dxa"/>
          <w:left w:w="0" w:type="dxa"/>
          <w:bottom w:w="0" w:type="dxa"/>
          <w:right w:w="0" w:type="dxa"/>
        </w:tblCellMar>
      </w:tblPr>
      <w:tr>
        <w:trPr>
          <w:trHeight w:val="135"/>
        </w:trPr>
        <w:tc>
          <w:tcPr>
            <w:tcW w:w="2545" w:type="dxa"/>
            <w:vAlign w:val="bottom"/>
            <w:shd w:val="clear" w:color="auto" w:fill="D9D9D9"/>
          </w:tcPr>
          <w:p>
            <w:pPr>
              <w:spacing w:after="0" w:line="135" w:lineRule="exact"/>
              <w:rPr>
                <w:sz w:val="20"/>
                <w:szCs w:val="20"/>
                <w:color w:val="auto"/>
              </w:rPr>
            </w:pPr>
            <w:r>
              <w:rPr>
                <w:rFonts w:ascii="Arial" w:cs="Arial" w:eastAsia="Arial" w:hAnsi="Arial"/>
                <w:sz w:val="13"/>
                <w:szCs w:val="13"/>
                <w:color w:val="auto"/>
              </w:rPr>
              <w:t>Renee J. Peterson</w:t>
            </w:r>
          </w:p>
        </w:tc>
        <w:tc>
          <w:tcPr>
            <w:tcW w:w="615"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2160" w:type="dxa"/>
            <w:vAlign w:val="bottom"/>
            <w:shd w:val="clear" w:color="auto" w:fill="D9D9D9"/>
          </w:tcPr>
          <w:p>
            <w:pPr>
              <w:spacing w:after="0"/>
              <w:rPr>
                <w:sz w:val="11"/>
                <w:szCs w:val="11"/>
                <w:color w:val="auto"/>
              </w:rPr>
            </w:pPr>
          </w:p>
        </w:tc>
        <w:tc>
          <w:tcPr>
            <w:tcW w:w="234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r>
      <w:tr>
        <w:trPr>
          <w:trHeight w:val="135"/>
        </w:trPr>
        <w:tc>
          <w:tcPr>
            <w:tcW w:w="2545" w:type="dxa"/>
            <w:vAlign w:val="bottom"/>
            <w:shd w:val="clear" w:color="auto" w:fill="D9D9D9"/>
          </w:tcPr>
          <w:p>
            <w:pPr>
              <w:ind w:left="260"/>
              <w:spacing w:after="0" w:line="135" w:lineRule="exact"/>
              <w:rPr>
                <w:sz w:val="20"/>
                <w:szCs w:val="20"/>
                <w:color w:val="auto"/>
              </w:rPr>
            </w:pPr>
            <w:r>
              <w:rPr>
                <w:rFonts w:ascii="Arial" w:cs="Arial" w:eastAsia="Arial" w:hAnsi="Arial"/>
                <w:sz w:val="13"/>
                <w:szCs w:val="13"/>
                <w:color w:val="auto"/>
              </w:rPr>
              <w:t>Annual Cash Incentive Award</w:t>
            </w:r>
          </w:p>
        </w:tc>
        <w:tc>
          <w:tcPr>
            <w:tcW w:w="615" w:type="dxa"/>
            <w:vAlign w:val="bottom"/>
            <w:shd w:val="clear" w:color="auto" w:fill="D9D9D9"/>
          </w:tcPr>
          <w:p>
            <w:pPr>
              <w:jc w:val="center"/>
              <w:ind w:right="2"/>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1"/>
              </w:rPr>
              <w:t>—</w:t>
            </w:r>
          </w:p>
        </w:tc>
        <w:tc>
          <w:tcPr>
            <w:tcW w:w="7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$145,500</w:t>
            </w:r>
          </w:p>
        </w:tc>
        <w:tc>
          <w:tcPr>
            <w:tcW w:w="2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D9D9D9"/>
          </w:tcPr>
          <w:p>
            <w:pPr>
              <w:jc w:val="right"/>
              <w:ind w:right="77"/>
              <w:spacing w:after="0" w:line="135" w:lineRule="exact"/>
              <w:rPr>
                <w:sz w:val="20"/>
                <w:szCs w:val="20"/>
                <w:color w:val="auto"/>
              </w:rPr>
            </w:pPr>
            <w:r>
              <w:rPr>
                <w:rFonts w:ascii="Arial" w:cs="Arial" w:eastAsia="Arial" w:hAnsi="Arial"/>
                <w:sz w:val="13"/>
                <w:szCs w:val="13"/>
                <w:color w:val="auto"/>
              </w:rPr>
              <w:t>363,750</w:t>
            </w:r>
          </w:p>
        </w:tc>
        <w:tc>
          <w:tcPr>
            <w:tcW w:w="2160" w:type="dxa"/>
            <w:vAlign w:val="bottom"/>
            <w:shd w:val="clear" w:color="auto" w:fill="D9D9D9"/>
          </w:tcPr>
          <w:p>
            <w:pPr>
              <w:jc w:val="right"/>
              <w:ind w:right="1417"/>
              <w:spacing w:after="0" w:line="135" w:lineRule="exact"/>
              <w:rPr>
                <w:sz w:val="20"/>
                <w:szCs w:val="20"/>
                <w:color w:val="auto"/>
              </w:rPr>
            </w:pPr>
            <w:r>
              <w:rPr>
                <w:rFonts w:ascii="Arial" w:cs="Arial" w:eastAsia="Arial" w:hAnsi="Arial"/>
                <w:sz w:val="13"/>
                <w:szCs w:val="13"/>
                <w:color w:val="auto"/>
              </w:rPr>
              <w:t>$727,500</w:t>
            </w:r>
          </w:p>
        </w:tc>
        <w:tc>
          <w:tcPr>
            <w:tcW w:w="234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r>
      <w:tr>
        <w:trPr>
          <w:trHeight w:val="135"/>
        </w:trPr>
        <w:tc>
          <w:tcPr>
            <w:tcW w:w="2545" w:type="dxa"/>
            <w:vAlign w:val="bottom"/>
            <w:shd w:val="clear" w:color="auto" w:fill="D9D9D9"/>
          </w:tcPr>
          <w:p>
            <w:pPr>
              <w:ind w:left="260"/>
              <w:spacing w:after="0" w:line="135" w:lineRule="exact"/>
              <w:rPr>
                <w:sz w:val="20"/>
                <w:szCs w:val="20"/>
                <w:color w:val="auto"/>
              </w:rPr>
            </w:pPr>
            <w:r>
              <w:rPr>
                <w:rFonts w:ascii="Arial" w:cs="Arial" w:eastAsia="Arial" w:hAnsi="Arial"/>
                <w:sz w:val="13"/>
                <w:szCs w:val="13"/>
                <w:color w:val="auto"/>
              </w:rPr>
              <w:t>Performance Share Award</w:t>
            </w:r>
          </w:p>
        </w:tc>
        <w:tc>
          <w:tcPr>
            <w:tcW w:w="615" w:type="dxa"/>
            <w:vAlign w:val="bottom"/>
            <w:shd w:val="clear" w:color="auto" w:fill="D9D9D9"/>
          </w:tcPr>
          <w:p>
            <w:pPr>
              <w:jc w:val="center"/>
              <w:ind w:right="2"/>
              <w:spacing w:after="0" w:line="135" w:lineRule="exact"/>
              <w:rPr>
                <w:sz w:val="20"/>
                <w:szCs w:val="20"/>
                <w:color w:val="auto"/>
              </w:rPr>
            </w:pPr>
            <w:r>
              <w:rPr>
                <w:rFonts w:ascii="Arial" w:cs="Arial" w:eastAsia="Arial" w:hAnsi="Arial"/>
                <w:sz w:val="13"/>
                <w:szCs w:val="13"/>
                <w:color w:val="auto"/>
                <w:w w:val="94"/>
              </w:rPr>
              <w:t>12/01/15</w:t>
            </w:r>
          </w:p>
        </w:tc>
        <w:tc>
          <w:tcPr>
            <w:tcW w:w="72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8"/>
              </w:rPr>
              <w:t>12/01/15</w:t>
            </w:r>
          </w:p>
        </w:tc>
        <w:tc>
          <w:tcPr>
            <w:tcW w:w="70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2160" w:type="dxa"/>
            <w:vAlign w:val="bottom"/>
            <w:shd w:val="clear" w:color="auto" w:fill="D9D9D9"/>
          </w:tcPr>
          <w:p>
            <w:pPr>
              <w:jc w:val="right"/>
              <w:ind w:right="97"/>
              <w:spacing w:after="0" w:line="135" w:lineRule="exact"/>
              <w:rPr>
                <w:sz w:val="20"/>
                <w:szCs w:val="20"/>
                <w:color w:val="auto"/>
              </w:rPr>
            </w:pPr>
            <w:r>
              <w:rPr>
                <w:rFonts w:ascii="Arial" w:cs="Arial" w:eastAsia="Arial" w:hAnsi="Arial"/>
                <w:sz w:val="13"/>
                <w:szCs w:val="13"/>
                <w:color w:val="auto"/>
              </w:rPr>
              <w:t>4,480   11,200</w:t>
            </w:r>
          </w:p>
        </w:tc>
        <w:tc>
          <w:tcPr>
            <w:tcW w:w="2340" w:type="dxa"/>
            <w:vAlign w:val="bottom"/>
            <w:shd w:val="clear" w:color="auto" w:fill="D9D9D9"/>
          </w:tcPr>
          <w:p>
            <w:pPr>
              <w:jc w:val="right"/>
              <w:ind w:right="1717"/>
              <w:spacing w:after="0" w:line="135" w:lineRule="exact"/>
              <w:rPr>
                <w:sz w:val="20"/>
                <w:szCs w:val="20"/>
                <w:color w:val="auto"/>
              </w:rPr>
            </w:pPr>
            <w:r>
              <w:rPr>
                <w:rFonts w:ascii="Arial" w:cs="Arial" w:eastAsia="Arial" w:hAnsi="Arial"/>
                <w:sz w:val="13"/>
                <w:szCs w:val="13"/>
                <w:color w:val="auto"/>
              </w:rPr>
              <w:t>22,400</w:t>
            </w:r>
          </w:p>
        </w:tc>
        <w:tc>
          <w:tcPr>
            <w:tcW w:w="720" w:type="dxa"/>
            <w:vAlign w:val="bottom"/>
            <w:shd w:val="clear" w:color="auto" w:fill="D9D9D9"/>
          </w:tcPr>
          <w:p>
            <w:pPr>
              <w:spacing w:after="0"/>
              <w:rPr>
                <w:sz w:val="11"/>
                <w:szCs w:val="11"/>
                <w:color w:val="auto"/>
              </w:rPr>
            </w:pPr>
          </w:p>
        </w:tc>
        <w:tc>
          <w:tcPr>
            <w:tcW w:w="76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$435,512</w:t>
            </w:r>
          </w:p>
        </w:tc>
      </w:tr>
      <w:tr>
        <w:trPr>
          <w:trHeight w:val="141"/>
        </w:trPr>
        <w:tc>
          <w:tcPr>
            <w:tcW w:w="2545" w:type="dxa"/>
            <w:vAlign w:val="bottom"/>
            <w:shd w:val="clear" w:color="auto" w:fill="D9D9D9"/>
          </w:tcPr>
          <w:p>
            <w:pPr>
              <w:ind w:left="260"/>
              <w:spacing w:after="0" w:line="141" w:lineRule="exact"/>
              <w:rPr>
                <w:sz w:val="20"/>
                <w:szCs w:val="20"/>
                <w:color w:val="auto"/>
              </w:rPr>
            </w:pPr>
            <w:r>
              <w:rPr>
                <w:rFonts w:ascii="Arial" w:cs="Arial" w:eastAsia="Arial" w:hAnsi="Arial"/>
                <w:sz w:val="13"/>
                <w:szCs w:val="13"/>
                <w:color w:val="auto"/>
              </w:rPr>
              <w:t>Stock Options</w:t>
            </w:r>
          </w:p>
        </w:tc>
        <w:tc>
          <w:tcPr>
            <w:tcW w:w="615" w:type="dxa"/>
            <w:vAlign w:val="bottom"/>
            <w:shd w:val="clear" w:color="auto" w:fill="D9D9D9"/>
          </w:tcPr>
          <w:p>
            <w:pPr>
              <w:jc w:val="center"/>
              <w:ind w:right="2"/>
              <w:spacing w:after="0" w:line="141" w:lineRule="exact"/>
              <w:rPr>
                <w:sz w:val="20"/>
                <w:szCs w:val="20"/>
                <w:color w:val="auto"/>
              </w:rPr>
            </w:pPr>
            <w:r>
              <w:rPr>
                <w:rFonts w:ascii="Arial" w:cs="Arial" w:eastAsia="Arial" w:hAnsi="Arial"/>
                <w:sz w:val="13"/>
                <w:szCs w:val="13"/>
                <w:color w:val="auto"/>
                <w:w w:val="94"/>
              </w:rPr>
              <w:t>12/04/15</w:t>
            </w:r>
          </w:p>
        </w:tc>
        <w:tc>
          <w:tcPr>
            <w:tcW w:w="720" w:type="dxa"/>
            <w:vAlign w:val="bottom"/>
            <w:shd w:val="clear" w:color="auto" w:fill="D9D9D9"/>
          </w:tcPr>
          <w:p>
            <w:pPr>
              <w:jc w:val="center"/>
              <w:spacing w:after="0" w:line="141" w:lineRule="exact"/>
              <w:rPr>
                <w:sz w:val="20"/>
                <w:szCs w:val="20"/>
                <w:color w:val="auto"/>
              </w:rPr>
            </w:pPr>
            <w:r>
              <w:rPr>
                <w:rFonts w:ascii="Arial" w:cs="Arial" w:eastAsia="Arial" w:hAnsi="Arial"/>
                <w:sz w:val="13"/>
                <w:szCs w:val="13"/>
                <w:color w:val="auto"/>
                <w:w w:val="98"/>
              </w:rPr>
              <w:t>12/01/15</w:t>
            </w:r>
          </w:p>
        </w:tc>
        <w:tc>
          <w:tcPr>
            <w:tcW w:w="7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66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340" w:type="dxa"/>
            <w:vAlign w:val="bottom"/>
            <w:shd w:val="clear" w:color="auto" w:fill="D9D9D9"/>
          </w:tcPr>
          <w:p>
            <w:pPr>
              <w:jc w:val="right"/>
              <w:ind w:right="117"/>
              <w:spacing w:after="0" w:line="141" w:lineRule="exact"/>
              <w:rPr>
                <w:sz w:val="20"/>
                <w:szCs w:val="20"/>
                <w:color w:val="auto"/>
              </w:rPr>
            </w:pPr>
            <w:r>
              <w:rPr>
                <w:rFonts w:ascii="Arial" w:cs="Arial" w:eastAsia="Arial" w:hAnsi="Arial"/>
                <w:sz w:val="13"/>
                <w:szCs w:val="13"/>
                <w:color w:val="auto"/>
              </w:rPr>
              <w:t>39,400</w:t>
            </w:r>
          </w:p>
        </w:tc>
        <w:tc>
          <w:tcPr>
            <w:tcW w:w="720" w:type="dxa"/>
            <w:vAlign w:val="bottom"/>
            <w:shd w:val="clear" w:color="auto" w:fill="D9D9D9"/>
          </w:tcPr>
          <w:p>
            <w:pPr>
              <w:jc w:val="right"/>
              <w:ind w:right="117"/>
              <w:spacing w:after="0" w:line="141" w:lineRule="exact"/>
              <w:rPr>
                <w:sz w:val="20"/>
                <w:szCs w:val="20"/>
                <w:color w:val="auto"/>
              </w:rPr>
            </w:pPr>
            <w:r>
              <w:rPr>
                <w:rFonts w:ascii="Arial" w:cs="Arial" w:eastAsia="Arial" w:hAnsi="Arial"/>
                <w:sz w:val="13"/>
                <w:szCs w:val="13"/>
                <w:color w:val="auto"/>
              </w:rPr>
              <w:t>$38.82</w:t>
            </w:r>
          </w:p>
        </w:tc>
        <w:tc>
          <w:tcPr>
            <w:tcW w:w="76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$365,632</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6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5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All Other</w:t>
            </w:r>
          </w:p>
        </w:tc>
        <w:tc>
          <w:tcPr>
            <w:tcW w:w="8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r>
      <w:tr>
        <w:trPr>
          <w:trHeight w:val="162"/>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6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5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Stock</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All Other</w:t>
            </w:r>
          </w:p>
        </w:tc>
        <w:tc>
          <w:tcPr>
            <w:tcW w:w="80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r>
      <w:tr>
        <w:trPr>
          <w:trHeight w:val="162"/>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6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5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Awards:</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c>
          <w:tcPr>
            <w:tcW w:w="800" w:type="dxa"/>
            <w:vAlign w:val="bottom"/>
            <w:shd w:val="clear" w:color="auto" w:fill="C00000"/>
          </w:tcPr>
          <w:p>
            <w:pPr>
              <w:spacing w:after="0"/>
              <w:rPr>
                <w:sz w:val="14"/>
                <w:szCs w:val="14"/>
                <w:color w:val="auto"/>
              </w:rPr>
            </w:pP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Grant</w:t>
            </w:r>
          </w:p>
        </w:tc>
      </w:tr>
      <w:tr>
        <w:trPr>
          <w:trHeight w:val="162"/>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6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5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Exercise</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Date Fair</w:t>
            </w:r>
          </w:p>
        </w:tc>
      </w:tr>
      <w:tr>
        <w:trPr>
          <w:trHeight w:val="162"/>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234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2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of</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or Base</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Value of</w:t>
            </w:r>
          </w:p>
        </w:tc>
      </w:tr>
      <w:tr>
        <w:trPr>
          <w:trHeight w:val="162"/>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234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2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Price of</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Stock and</w:t>
            </w:r>
          </w:p>
        </w:tc>
      </w:tr>
      <w:tr>
        <w:trPr>
          <w:trHeight w:val="189"/>
        </w:trPr>
        <w:tc>
          <w:tcPr>
            <w:tcW w:w="2080" w:type="dxa"/>
            <w:vAlign w:val="bottom"/>
            <w:shd w:val="clear" w:color="auto" w:fill="C00000"/>
          </w:tcPr>
          <w:p>
            <w:pPr>
              <w:spacing w:after="0"/>
              <w:rPr>
                <w:sz w:val="16"/>
                <w:szCs w:val="16"/>
                <w:color w:val="auto"/>
              </w:rPr>
            </w:pPr>
          </w:p>
        </w:tc>
        <w:tc>
          <w:tcPr>
            <w:tcW w:w="660" w:type="dxa"/>
            <w:vAlign w:val="bottom"/>
            <w:shd w:val="clear" w:color="auto" w:fill="C00000"/>
          </w:tcPr>
          <w:p>
            <w:pPr>
              <w:spacing w:after="0"/>
              <w:rPr>
                <w:sz w:val="16"/>
                <w:szCs w:val="16"/>
                <w:color w:val="auto"/>
              </w:rPr>
            </w:pPr>
          </w:p>
        </w:tc>
        <w:tc>
          <w:tcPr>
            <w:tcW w:w="760" w:type="dxa"/>
            <w:vAlign w:val="bottom"/>
            <w:shd w:val="clear" w:color="auto" w:fill="C00000"/>
          </w:tcPr>
          <w:p>
            <w:pPr>
              <w:spacing w:after="0"/>
              <w:rPr>
                <w:sz w:val="16"/>
                <w:szCs w:val="16"/>
                <w:color w:val="auto"/>
              </w:rPr>
            </w:pPr>
          </w:p>
        </w:tc>
        <w:tc>
          <w:tcPr>
            <w:tcW w:w="234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Plan Awards(1)</w:t>
            </w:r>
          </w:p>
        </w:tc>
        <w:tc>
          <w:tcPr>
            <w:tcW w:w="2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Plan Awards(2)</w:t>
            </w: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of Stock</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62"/>
        </w:trPr>
        <w:tc>
          <w:tcPr>
            <w:tcW w:w="2080" w:type="dxa"/>
            <w:vAlign w:val="bottom"/>
            <w:shd w:val="clear" w:color="auto" w:fill="C00000"/>
          </w:tcPr>
          <w:p>
            <w:pPr>
              <w:spacing w:after="0"/>
              <w:rPr>
                <w:sz w:val="14"/>
                <w:szCs w:val="14"/>
                <w:color w:val="auto"/>
              </w:rPr>
            </w:pPr>
          </w:p>
        </w:tc>
        <w:tc>
          <w:tcPr>
            <w:tcW w:w="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Grant</w:t>
            </w:r>
          </w:p>
        </w:tc>
        <w:tc>
          <w:tcPr>
            <w:tcW w:w="7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Approval</w:t>
            </w:r>
          </w:p>
        </w:tc>
        <w:tc>
          <w:tcPr>
            <w:tcW w:w="8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Threshold</w:t>
            </w:r>
          </w:p>
        </w:tc>
        <w:tc>
          <w:tcPr>
            <w:tcW w:w="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Target</w:t>
            </w:r>
          </w:p>
        </w:tc>
        <w:tc>
          <w:tcPr>
            <w:tcW w:w="820" w:type="dxa"/>
            <w:vAlign w:val="bottom"/>
            <w:shd w:val="clear" w:color="auto" w:fill="C00000"/>
          </w:tcPr>
          <w:p>
            <w:pPr>
              <w:jc w:val="right"/>
              <w:ind w:right="13"/>
              <w:spacing w:after="0"/>
              <w:rPr>
                <w:sz w:val="20"/>
                <w:szCs w:val="20"/>
                <w:color w:val="auto"/>
              </w:rPr>
            </w:pPr>
            <w:r>
              <w:rPr>
                <w:rFonts w:ascii="Arial" w:cs="Arial" w:eastAsia="Arial" w:hAnsi="Arial"/>
                <w:sz w:val="14"/>
                <w:szCs w:val="14"/>
                <w:b w:val="1"/>
                <w:bCs w:val="1"/>
                <w:color w:val="FFFFFF"/>
              </w:rPr>
              <w:t>Maximum</w:t>
            </w:r>
          </w:p>
        </w:tc>
        <w:tc>
          <w:tcPr>
            <w:tcW w:w="82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Threshold</w:t>
            </w:r>
          </w:p>
        </w:tc>
        <w:tc>
          <w:tcPr>
            <w:tcW w:w="5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0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Maximum</w:t>
            </w: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or Units</w:t>
            </w:r>
          </w:p>
        </w:tc>
        <w:tc>
          <w:tcPr>
            <w:tcW w:w="88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Options</w:t>
            </w:r>
            <w:r>
              <w:rPr>
                <w:rFonts w:ascii="Arial" w:cs="Arial" w:eastAsia="Arial" w:hAnsi="Arial"/>
                <w:sz w:val="18"/>
                <w:szCs w:val="18"/>
                <w:b w:val="1"/>
                <w:bCs w:val="1"/>
                <w:color w:val="FFFFFF"/>
                <w:vertAlign w:val="superscript"/>
              </w:rPr>
              <w:t>(3)</w:t>
            </w:r>
          </w:p>
        </w:tc>
        <w:tc>
          <w:tcPr>
            <w:tcW w:w="80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8"/>
                <w:szCs w:val="18"/>
                <w:b w:val="1"/>
                <w:bCs w:val="1"/>
                <w:color w:val="FFFFFF"/>
                <w:vertAlign w:val="superscript"/>
              </w:rPr>
              <w:t>(4)</w:t>
            </w:r>
          </w:p>
        </w:tc>
        <w:tc>
          <w:tcPr>
            <w:tcW w:w="980" w:type="dxa"/>
            <w:vAlign w:val="bottom"/>
            <w:shd w:val="clear" w:color="auto" w:fill="C00000"/>
          </w:tcPr>
          <w:p>
            <w:pPr>
              <w:jc w:val="right"/>
              <w:ind w:right="14"/>
              <w:spacing w:after="0" w:line="163" w:lineRule="exact"/>
              <w:rPr>
                <w:sz w:val="20"/>
                <w:szCs w:val="20"/>
                <w:color w:val="auto"/>
              </w:rPr>
            </w:pPr>
            <w:r>
              <w:rPr>
                <w:rFonts w:ascii="Arial" w:cs="Arial" w:eastAsia="Arial" w:hAnsi="Arial"/>
                <w:sz w:val="18"/>
                <w:szCs w:val="18"/>
                <w:b w:val="1"/>
                <w:bCs w:val="1"/>
                <w:color w:val="FFFFFF"/>
                <w:vertAlign w:val="subscript"/>
              </w:rPr>
              <w:t>Awards</w:t>
            </w:r>
            <w:r>
              <w:rPr>
                <w:rFonts w:ascii="Arial" w:cs="Arial" w:eastAsia="Arial" w:hAnsi="Arial"/>
                <w:sz w:val="9"/>
                <w:szCs w:val="9"/>
                <w:b w:val="1"/>
                <w:bCs w:val="1"/>
                <w:color w:val="FFFFFF"/>
              </w:rPr>
              <w:t>(5)(6)</w:t>
            </w:r>
          </w:p>
        </w:tc>
      </w:tr>
      <w:tr>
        <w:trPr>
          <w:trHeight w:val="189"/>
        </w:trPr>
        <w:tc>
          <w:tcPr>
            <w:tcW w:w="20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Date</w:t>
            </w:r>
          </w:p>
        </w:tc>
        <w:tc>
          <w:tcPr>
            <w:tcW w:w="7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Date</w:t>
            </w:r>
          </w:p>
        </w:tc>
        <w:tc>
          <w:tcPr>
            <w:tcW w:w="840" w:type="dxa"/>
            <w:vAlign w:val="bottom"/>
            <w:shd w:val="clear" w:color="auto" w:fill="C00000"/>
          </w:tcPr>
          <w:p>
            <w:pPr>
              <w:jc w:val="right"/>
              <w:ind w:right="251"/>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820" w:type="dxa"/>
            <w:vAlign w:val="bottom"/>
            <w:shd w:val="clear" w:color="auto" w:fill="C00000"/>
          </w:tcPr>
          <w:p>
            <w:pPr>
              <w:jc w:val="right"/>
              <w:ind w:right="253"/>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C00000"/>
          </w:tcPr>
          <w:p>
            <w:pPr>
              <w:jc w:val="right"/>
              <w:ind w:right="251"/>
              <w:spacing w:after="0"/>
              <w:rPr>
                <w:sz w:val="20"/>
                <w:szCs w:val="20"/>
                <w:color w:val="auto"/>
              </w:rPr>
            </w:pPr>
            <w:r>
              <w:rPr>
                <w:rFonts w:ascii="Arial" w:cs="Arial" w:eastAsia="Arial" w:hAnsi="Arial"/>
                <w:sz w:val="14"/>
                <w:szCs w:val="14"/>
                <w:b w:val="1"/>
                <w:bCs w:val="1"/>
                <w:color w:val="FFFFFF"/>
              </w:rPr>
              <w:t>(#)</w:t>
            </w:r>
          </w:p>
        </w:tc>
        <w:tc>
          <w:tcPr>
            <w:tcW w:w="5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C00000"/>
          </w:tcPr>
          <w:p>
            <w:pPr>
              <w:jc w:val="right"/>
              <w:ind w:right="253"/>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r>
      <w:tr>
        <w:trPr>
          <w:trHeight w:val="129"/>
        </w:trPr>
        <w:tc>
          <w:tcPr>
            <w:tcW w:w="2080" w:type="dxa"/>
            <w:vAlign w:val="bottom"/>
          </w:tcPr>
          <w:p>
            <w:pPr>
              <w:spacing w:after="0" w:line="129" w:lineRule="exact"/>
              <w:rPr>
                <w:sz w:val="20"/>
                <w:szCs w:val="20"/>
                <w:color w:val="auto"/>
              </w:rPr>
            </w:pPr>
            <w:r>
              <w:rPr>
                <w:rFonts w:ascii="Arial" w:cs="Arial" w:eastAsia="Arial" w:hAnsi="Arial"/>
                <w:sz w:val="13"/>
                <w:szCs w:val="13"/>
                <w:color w:val="auto"/>
              </w:rPr>
              <w:t>Richard M. Olson</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80" w:type="dxa"/>
            <w:vAlign w:val="bottom"/>
          </w:tcPr>
          <w:p>
            <w:pPr>
              <w:ind w:left="260"/>
              <w:spacing w:after="0" w:line="135" w:lineRule="exact"/>
              <w:rPr>
                <w:sz w:val="20"/>
                <w:szCs w:val="20"/>
                <w:color w:val="auto"/>
              </w:rPr>
            </w:pPr>
            <w:r>
              <w:rPr>
                <w:rFonts w:ascii="Arial" w:cs="Arial" w:eastAsia="Arial" w:hAnsi="Arial"/>
                <w:sz w:val="13"/>
                <w:szCs w:val="13"/>
                <w:color w:val="auto"/>
              </w:rPr>
              <w:t>Annual Cash Incentive Award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tcPr>
          <w:p>
            <w:pPr>
              <w:jc w:val="center"/>
              <w:ind w:left="131"/>
              <w:spacing w:after="0" w:line="135" w:lineRule="exact"/>
              <w:rPr>
                <w:sz w:val="20"/>
                <w:szCs w:val="20"/>
                <w:color w:val="auto"/>
              </w:rPr>
            </w:pPr>
            <w:r>
              <w:rPr>
                <w:rFonts w:ascii="Arial" w:cs="Arial" w:eastAsia="Arial" w:hAnsi="Arial"/>
                <w:sz w:val="13"/>
                <w:szCs w:val="13"/>
                <w:color w:val="auto"/>
                <w:w w:val="95"/>
              </w:rPr>
              <w:t>$160,000</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$ 400,000</w:t>
            </w:r>
          </w:p>
        </w:tc>
        <w:tc>
          <w:tcPr>
            <w:tcW w:w="820" w:type="dxa"/>
            <w:vAlign w:val="bottom"/>
          </w:tcPr>
          <w:p>
            <w:pPr>
              <w:jc w:val="right"/>
              <w:ind w:right="13"/>
              <w:spacing w:after="0" w:line="135" w:lineRule="exact"/>
              <w:rPr>
                <w:sz w:val="20"/>
                <w:szCs w:val="20"/>
                <w:color w:val="auto"/>
              </w:rPr>
            </w:pPr>
            <w:r>
              <w:rPr>
                <w:rFonts w:ascii="Arial" w:cs="Arial" w:eastAsia="Arial" w:hAnsi="Arial"/>
                <w:sz w:val="13"/>
                <w:szCs w:val="13"/>
                <w:color w:val="auto"/>
              </w:rPr>
              <w:t>$800,000</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80" w:type="dxa"/>
            <w:vAlign w:val="bottom"/>
          </w:tcPr>
          <w:p>
            <w:pPr>
              <w:ind w:left="260"/>
              <w:spacing w:after="0" w:line="135" w:lineRule="exact"/>
              <w:rPr>
                <w:sz w:val="20"/>
                <w:szCs w:val="20"/>
                <w:color w:val="auto"/>
              </w:rPr>
            </w:pPr>
            <w:r>
              <w:rPr>
                <w:rFonts w:ascii="Arial" w:cs="Arial" w:eastAsia="Arial" w:hAnsi="Arial"/>
                <w:sz w:val="13"/>
                <w:szCs w:val="13"/>
                <w:color w:val="auto"/>
              </w:rPr>
              <w:t>Performance Share Award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5,040</w:t>
            </w:r>
          </w:p>
        </w:tc>
        <w:tc>
          <w:tcPr>
            <w:tcW w:w="580" w:type="dxa"/>
            <w:vAlign w:val="bottom"/>
          </w:tcPr>
          <w:p>
            <w:pPr>
              <w:jc w:val="right"/>
              <w:ind w:right="13"/>
              <w:spacing w:after="0" w:line="135" w:lineRule="exact"/>
              <w:rPr>
                <w:sz w:val="20"/>
                <w:szCs w:val="20"/>
                <w:color w:val="auto"/>
              </w:rPr>
            </w:pPr>
            <w:r>
              <w:rPr>
                <w:rFonts w:ascii="Arial" w:cs="Arial" w:eastAsia="Arial" w:hAnsi="Arial"/>
                <w:sz w:val="13"/>
                <w:szCs w:val="13"/>
                <w:color w:val="auto"/>
              </w:rPr>
              <w:t>12,600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25,200</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jc w:val="right"/>
              <w:ind w:right="14"/>
              <w:spacing w:after="0" w:line="135" w:lineRule="exact"/>
              <w:rPr>
                <w:sz w:val="20"/>
                <w:szCs w:val="20"/>
                <w:color w:val="auto"/>
              </w:rPr>
            </w:pPr>
            <w:r>
              <w:rPr>
                <w:rFonts w:ascii="Arial" w:cs="Arial" w:eastAsia="Arial" w:hAnsi="Arial"/>
                <w:sz w:val="13"/>
                <w:szCs w:val="13"/>
                <w:color w:val="auto"/>
              </w:rPr>
              <w:t>$489,951</w:t>
            </w:r>
          </w:p>
        </w:tc>
      </w:tr>
      <w:tr>
        <w:trPr>
          <w:trHeight w:val="141"/>
        </w:trPr>
        <w:tc>
          <w:tcPr>
            <w:tcW w:w="2080" w:type="dxa"/>
            <w:vAlign w:val="bottom"/>
          </w:tcPr>
          <w:p>
            <w:pPr>
              <w:ind w:left="260"/>
              <w:spacing w:after="0" w:line="141" w:lineRule="exact"/>
              <w:rPr>
                <w:sz w:val="20"/>
                <w:szCs w:val="20"/>
                <w:color w:val="auto"/>
              </w:rPr>
            </w:pPr>
            <w:r>
              <w:rPr>
                <w:rFonts w:ascii="Arial" w:cs="Arial" w:eastAsia="Arial" w:hAnsi="Arial"/>
                <w:sz w:val="13"/>
                <w:szCs w:val="13"/>
                <w:color w:val="auto"/>
              </w:rPr>
              <w:t>Stock Options</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auto"/>
                <w:w w:val="94"/>
              </w:rPr>
              <w:t>12/04/15</w:t>
            </w:r>
          </w:p>
        </w:tc>
        <w:tc>
          <w:tcPr>
            <w:tcW w:w="760" w:type="dxa"/>
            <w:vAlign w:val="bottom"/>
          </w:tcPr>
          <w:p>
            <w:pPr>
              <w:jc w:val="center"/>
              <w:spacing w:after="0" w:line="141" w:lineRule="exact"/>
              <w:rPr>
                <w:sz w:val="20"/>
                <w:szCs w:val="20"/>
                <w:color w:val="auto"/>
              </w:rPr>
            </w:pPr>
            <w:r>
              <w:rPr>
                <w:rFonts w:ascii="Arial" w:cs="Arial" w:eastAsia="Arial" w:hAnsi="Arial"/>
                <w:sz w:val="13"/>
                <w:szCs w:val="13"/>
                <w:color w:val="auto"/>
                <w:w w:val="94"/>
              </w:rPr>
              <w:t>12/01/15</w:t>
            </w: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44,400</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$38.82</w:t>
            </w:r>
          </w:p>
        </w:tc>
        <w:tc>
          <w:tcPr>
            <w:tcW w:w="9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$412,032</w:t>
            </w:r>
          </w:p>
        </w:tc>
      </w:tr>
      <w:tr>
        <w:trPr>
          <w:trHeight w:val="129"/>
        </w:trPr>
        <w:tc>
          <w:tcPr>
            <w:tcW w:w="2080" w:type="dxa"/>
            <w:vAlign w:val="bottom"/>
            <w:shd w:val="clear" w:color="auto" w:fill="D9D9D9"/>
          </w:tcPr>
          <w:p>
            <w:pPr>
              <w:spacing w:after="0" w:line="129" w:lineRule="exact"/>
              <w:rPr>
                <w:sz w:val="20"/>
                <w:szCs w:val="20"/>
                <w:color w:val="auto"/>
              </w:rPr>
            </w:pPr>
            <w:r>
              <w:rPr>
                <w:rFonts w:ascii="Arial" w:cs="Arial" w:eastAsia="Arial" w:hAnsi="Arial"/>
                <w:sz w:val="13"/>
                <w:szCs w:val="13"/>
                <w:color w:val="auto"/>
              </w:rPr>
              <w:t>William E. Brown, Jr.</w:t>
            </w:r>
          </w:p>
        </w:tc>
        <w:tc>
          <w:tcPr>
            <w:tcW w:w="6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58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r>
      <w:tr>
        <w:trPr>
          <w:trHeight w:val="135"/>
        </w:trPr>
        <w:tc>
          <w:tcPr>
            <w:tcW w:w="2080" w:type="dxa"/>
            <w:vAlign w:val="bottom"/>
            <w:shd w:val="clear" w:color="auto" w:fill="D9D9D9"/>
          </w:tcPr>
          <w:p>
            <w:pPr>
              <w:ind w:left="260"/>
              <w:spacing w:after="0" w:line="135" w:lineRule="exact"/>
              <w:rPr>
                <w:sz w:val="20"/>
                <w:szCs w:val="20"/>
                <w:color w:val="auto"/>
              </w:rPr>
            </w:pPr>
            <w:r>
              <w:rPr>
                <w:rFonts w:ascii="Arial" w:cs="Arial" w:eastAsia="Arial" w:hAnsi="Arial"/>
                <w:sz w:val="13"/>
                <w:szCs w:val="13"/>
                <w:color w:val="auto"/>
              </w:rPr>
              <w:t>Annual Cash Incentive Award</w:t>
            </w:r>
          </w:p>
        </w:tc>
        <w:tc>
          <w:tcPr>
            <w:tcW w:w="66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1"/>
              </w:rPr>
              <w:t>—</w:t>
            </w:r>
          </w:p>
        </w:tc>
        <w:tc>
          <w:tcPr>
            <w:tcW w:w="76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shd w:val="clear" w:color="auto" w:fill="D9D9D9"/>
          </w:tcPr>
          <w:p>
            <w:pPr>
              <w:jc w:val="center"/>
              <w:ind w:left="131"/>
              <w:spacing w:after="0" w:line="135" w:lineRule="exact"/>
              <w:rPr>
                <w:sz w:val="20"/>
                <w:szCs w:val="20"/>
                <w:color w:val="auto"/>
              </w:rPr>
            </w:pPr>
            <w:r>
              <w:rPr>
                <w:rFonts w:ascii="Arial" w:cs="Arial" w:eastAsia="Arial" w:hAnsi="Arial"/>
                <w:sz w:val="13"/>
                <w:szCs w:val="13"/>
                <w:color w:val="auto"/>
                <w:w w:val="95"/>
              </w:rPr>
              <w:t>$106,600</w:t>
            </w:r>
          </w:p>
        </w:tc>
        <w:tc>
          <w:tcPr>
            <w:tcW w:w="68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3"/>
              </w:rPr>
              <w:t>$ 266,500</w:t>
            </w:r>
          </w:p>
        </w:tc>
        <w:tc>
          <w:tcPr>
            <w:tcW w:w="820" w:type="dxa"/>
            <w:vAlign w:val="bottom"/>
            <w:shd w:val="clear" w:color="auto" w:fill="D9D9D9"/>
          </w:tcPr>
          <w:p>
            <w:pPr>
              <w:jc w:val="right"/>
              <w:ind w:right="13"/>
              <w:spacing w:after="0" w:line="135" w:lineRule="exact"/>
              <w:rPr>
                <w:sz w:val="20"/>
                <w:szCs w:val="20"/>
                <w:color w:val="auto"/>
              </w:rPr>
            </w:pPr>
            <w:r>
              <w:rPr>
                <w:rFonts w:ascii="Arial" w:cs="Arial" w:eastAsia="Arial" w:hAnsi="Arial"/>
                <w:sz w:val="13"/>
                <w:szCs w:val="13"/>
                <w:color w:val="auto"/>
              </w:rPr>
              <w:t>$533,000</w:t>
            </w:r>
          </w:p>
        </w:tc>
        <w:tc>
          <w:tcPr>
            <w:tcW w:w="820" w:type="dxa"/>
            <w:vAlign w:val="bottom"/>
            <w:shd w:val="clear" w:color="auto" w:fill="D9D9D9"/>
          </w:tcPr>
          <w:p>
            <w:pPr>
              <w:spacing w:after="0"/>
              <w:rPr>
                <w:sz w:val="11"/>
                <w:szCs w:val="11"/>
                <w:color w:val="auto"/>
              </w:rPr>
            </w:pPr>
          </w:p>
        </w:tc>
        <w:tc>
          <w:tcPr>
            <w:tcW w:w="58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r>
      <w:tr>
        <w:trPr>
          <w:trHeight w:val="135"/>
        </w:trPr>
        <w:tc>
          <w:tcPr>
            <w:tcW w:w="2080" w:type="dxa"/>
            <w:vAlign w:val="bottom"/>
            <w:shd w:val="clear" w:color="auto" w:fill="D9D9D9"/>
          </w:tcPr>
          <w:p>
            <w:pPr>
              <w:ind w:left="260"/>
              <w:spacing w:after="0" w:line="135" w:lineRule="exact"/>
              <w:rPr>
                <w:sz w:val="20"/>
                <w:szCs w:val="20"/>
                <w:color w:val="auto"/>
              </w:rPr>
            </w:pPr>
            <w:r>
              <w:rPr>
                <w:rFonts w:ascii="Arial" w:cs="Arial" w:eastAsia="Arial" w:hAnsi="Arial"/>
                <w:sz w:val="13"/>
                <w:szCs w:val="13"/>
                <w:color w:val="auto"/>
              </w:rPr>
              <w:t>Performance Share Award</w:t>
            </w:r>
          </w:p>
        </w:tc>
        <w:tc>
          <w:tcPr>
            <w:tcW w:w="66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760" w:type="dxa"/>
            <w:vAlign w:val="bottom"/>
            <w:shd w:val="clear" w:color="auto" w:fill="D9D9D9"/>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84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2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2,800</w:t>
            </w:r>
          </w:p>
        </w:tc>
        <w:tc>
          <w:tcPr>
            <w:tcW w:w="580" w:type="dxa"/>
            <w:vAlign w:val="bottom"/>
            <w:shd w:val="clear" w:color="auto" w:fill="D9D9D9"/>
          </w:tcPr>
          <w:p>
            <w:pPr>
              <w:jc w:val="right"/>
              <w:ind w:right="13"/>
              <w:spacing w:after="0" w:line="135" w:lineRule="exact"/>
              <w:rPr>
                <w:sz w:val="20"/>
                <w:szCs w:val="20"/>
                <w:color w:val="auto"/>
              </w:rPr>
            </w:pPr>
            <w:r>
              <w:rPr>
                <w:rFonts w:ascii="Arial" w:cs="Arial" w:eastAsia="Arial" w:hAnsi="Arial"/>
                <w:sz w:val="13"/>
                <w:szCs w:val="13"/>
                <w:color w:val="auto"/>
              </w:rPr>
              <w:t>7,000</w:t>
            </w:r>
          </w:p>
        </w:tc>
        <w:tc>
          <w:tcPr>
            <w:tcW w:w="80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14,000</w:t>
            </w:r>
          </w:p>
        </w:tc>
        <w:tc>
          <w:tcPr>
            <w:tcW w:w="72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980" w:type="dxa"/>
            <w:vAlign w:val="bottom"/>
            <w:shd w:val="clear" w:color="auto" w:fill="D9D9D9"/>
          </w:tcPr>
          <w:p>
            <w:pPr>
              <w:jc w:val="right"/>
              <w:ind w:right="14"/>
              <w:spacing w:after="0" w:line="135" w:lineRule="exact"/>
              <w:rPr>
                <w:sz w:val="20"/>
                <w:szCs w:val="20"/>
                <w:color w:val="auto"/>
              </w:rPr>
            </w:pPr>
            <w:r>
              <w:rPr>
                <w:rFonts w:ascii="Arial" w:cs="Arial" w:eastAsia="Arial" w:hAnsi="Arial"/>
                <w:sz w:val="13"/>
                <w:szCs w:val="13"/>
                <w:color w:val="auto"/>
              </w:rPr>
              <w:t>$272,195</w:t>
            </w:r>
          </w:p>
        </w:tc>
      </w:tr>
      <w:tr>
        <w:trPr>
          <w:trHeight w:val="141"/>
        </w:trPr>
        <w:tc>
          <w:tcPr>
            <w:tcW w:w="2080" w:type="dxa"/>
            <w:vAlign w:val="bottom"/>
            <w:shd w:val="clear" w:color="auto" w:fill="D9D9D9"/>
          </w:tcPr>
          <w:p>
            <w:pPr>
              <w:ind w:left="260"/>
              <w:spacing w:after="0" w:line="141" w:lineRule="exact"/>
              <w:rPr>
                <w:sz w:val="20"/>
                <w:szCs w:val="20"/>
                <w:color w:val="auto"/>
              </w:rPr>
            </w:pPr>
            <w:r>
              <w:rPr>
                <w:rFonts w:ascii="Arial" w:cs="Arial" w:eastAsia="Arial" w:hAnsi="Arial"/>
                <w:sz w:val="13"/>
                <w:szCs w:val="13"/>
                <w:color w:val="auto"/>
              </w:rPr>
              <w:t>Stock Options</w:t>
            </w:r>
          </w:p>
        </w:tc>
        <w:tc>
          <w:tcPr>
            <w:tcW w:w="660" w:type="dxa"/>
            <w:vAlign w:val="bottom"/>
            <w:shd w:val="clear" w:color="auto" w:fill="D9D9D9"/>
          </w:tcPr>
          <w:p>
            <w:pPr>
              <w:jc w:val="center"/>
              <w:spacing w:after="0" w:line="141" w:lineRule="exact"/>
              <w:rPr>
                <w:sz w:val="20"/>
                <w:szCs w:val="20"/>
                <w:color w:val="auto"/>
              </w:rPr>
            </w:pPr>
            <w:r>
              <w:rPr>
                <w:rFonts w:ascii="Arial" w:cs="Arial" w:eastAsia="Arial" w:hAnsi="Arial"/>
                <w:sz w:val="13"/>
                <w:szCs w:val="13"/>
                <w:color w:val="auto"/>
                <w:w w:val="94"/>
              </w:rPr>
              <w:t>12/04/15</w:t>
            </w:r>
          </w:p>
        </w:tc>
        <w:tc>
          <w:tcPr>
            <w:tcW w:w="760" w:type="dxa"/>
            <w:vAlign w:val="bottom"/>
            <w:shd w:val="clear" w:color="auto" w:fill="D9D9D9"/>
          </w:tcPr>
          <w:p>
            <w:pPr>
              <w:jc w:val="center"/>
              <w:spacing w:after="0" w:line="141" w:lineRule="exact"/>
              <w:rPr>
                <w:sz w:val="20"/>
                <w:szCs w:val="20"/>
                <w:color w:val="auto"/>
              </w:rPr>
            </w:pPr>
            <w:r>
              <w:rPr>
                <w:rFonts w:ascii="Arial" w:cs="Arial" w:eastAsia="Arial" w:hAnsi="Arial"/>
                <w:sz w:val="13"/>
                <w:szCs w:val="13"/>
                <w:color w:val="auto"/>
                <w:w w:val="94"/>
              </w:rPr>
              <w:t>12/01/15</w:t>
            </w:r>
          </w:p>
        </w:tc>
        <w:tc>
          <w:tcPr>
            <w:tcW w:w="8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8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24,600</w:t>
            </w:r>
          </w:p>
        </w:tc>
        <w:tc>
          <w:tcPr>
            <w:tcW w:w="80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$38.82</w:t>
            </w:r>
          </w:p>
        </w:tc>
        <w:tc>
          <w:tcPr>
            <w:tcW w:w="980" w:type="dxa"/>
            <w:vAlign w:val="bottom"/>
            <w:shd w:val="clear" w:color="auto" w:fill="D9D9D9"/>
          </w:tcPr>
          <w:p>
            <w:pPr>
              <w:jc w:val="right"/>
              <w:ind w:right="14"/>
              <w:spacing w:after="0" w:line="141" w:lineRule="exact"/>
              <w:rPr>
                <w:sz w:val="20"/>
                <w:szCs w:val="20"/>
                <w:color w:val="auto"/>
              </w:rPr>
            </w:pPr>
            <w:r>
              <w:rPr>
                <w:rFonts w:ascii="Arial" w:cs="Arial" w:eastAsia="Arial" w:hAnsi="Arial"/>
                <w:sz w:val="13"/>
                <w:szCs w:val="13"/>
                <w:color w:val="auto"/>
              </w:rPr>
              <w:t>$228,288</w:t>
            </w:r>
          </w:p>
        </w:tc>
      </w:tr>
      <w:tr>
        <w:trPr>
          <w:trHeight w:val="129"/>
        </w:trPr>
        <w:tc>
          <w:tcPr>
            <w:tcW w:w="2080" w:type="dxa"/>
            <w:vAlign w:val="bottom"/>
          </w:tcPr>
          <w:p>
            <w:pPr>
              <w:spacing w:after="0" w:line="129" w:lineRule="exact"/>
              <w:rPr>
                <w:sz w:val="20"/>
                <w:szCs w:val="20"/>
                <w:color w:val="auto"/>
              </w:rPr>
            </w:pPr>
            <w:r>
              <w:rPr>
                <w:rFonts w:ascii="Arial" w:cs="Arial" w:eastAsia="Arial" w:hAnsi="Arial"/>
                <w:sz w:val="13"/>
                <w:szCs w:val="13"/>
                <w:color w:val="auto"/>
              </w:rPr>
              <w:t>Timothy P. Dordell</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80" w:type="dxa"/>
            <w:vAlign w:val="bottom"/>
          </w:tcPr>
          <w:p>
            <w:pPr>
              <w:ind w:left="260"/>
              <w:spacing w:after="0" w:line="135" w:lineRule="exact"/>
              <w:rPr>
                <w:sz w:val="20"/>
                <w:szCs w:val="20"/>
                <w:color w:val="auto"/>
              </w:rPr>
            </w:pPr>
            <w:r>
              <w:rPr>
                <w:rFonts w:ascii="Arial" w:cs="Arial" w:eastAsia="Arial" w:hAnsi="Arial"/>
                <w:sz w:val="13"/>
                <w:szCs w:val="13"/>
                <w:color w:val="auto"/>
              </w:rPr>
              <w:t>Annual Cash Incentive Award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tcPr>
          <w:p>
            <w:pPr>
              <w:jc w:val="center"/>
              <w:ind w:left="111"/>
              <w:spacing w:after="0" w:line="135" w:lineRule="exact"/>
              <w:rPr>
                <w:sz w:val="20"/>
                <w:szCs w:val="20"/>
                <w:color w:val="auto"/>
              </w:rPr>
            </w:pPr>
            <w:r>
              <w:rPr>
                <w:rFonts w:ascii="Arial" w:cs="Arial" w:eastAsia="Arial" w:hAnsi="Arial"/>
                <w:sz w:val="13"/>
                <w:szCs w:val="13"/>
                <w:color w:val="auto"/>
                <w:w w:val="97"/>
              </w:rPr>
              <w:t>$90,200</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$ 225,500</w:t>
            </w:r>
          </w:p>
        </w:tc>
        <w:tc>
          <w:tcPr>
            <w:tcW w:w="820" w:type="dxa"/>
            <w:vAlign w:val="bottom"/>
          </w:tcPr>
          <w:p>
            <w:pPr>
              <w:jc w:val="right"/>
              <w:ind w:right="13"/>
              <w:spacing w:after="0" w:line="135" w:lineRule="exact"/>
              <w:rPr>
                <w:sz w:val="20"/>
                <w:szCs w:val="20"/>
                <w:color w:val="auto"/>
              </w:rPr>
            </w:pPr>
            <w:r>
              <w:rPr>
                <w:rFonts w:ascii="Arial" w:cs="Arial" w:eastAsia="Arial" w:hAnsi="Arial"/>
                <w:sz w:val="13"/>
                <w:szCs w:val="13"/>
                <w:color w:val="auto"/>
              </w:rPr>
              <w:t>$451,000</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080" w:type="dxa"/>
            <w:vAlign w:val="bottom"/>
          </w:tcPr>
          <w:p>
            <w:pPr>
              <w:ind w:left="260"/>
              <w:spacing w:after="0" w:line="135" w:lineRule="exact"/>
              <w:rPr>
                <w:sz w:val="20"/>
                <w:szCs w:val="20"/>
                <w:color w:val="auto"/>
              </w:rPr>
            </w:pPr>
            <w:r>
              <w:rPr>
                <w:rFonts w:ascii="Arial" w:cs="Arial" w:eastAsia="Arial" w:hAnsi="Arial"/>
                <w:sz w:val="13"/>
                <w:szCs w:val="13"/>
                <w:color w:val="auto"/>
              </w:rPr>
              <w:t>Performance Share Award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4"/>
              </w:rPr>
              <w:t>12/01/15</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2,640</w:t>
            </w:r>
          </w:p>
        </w:tc>
        <w:tc>
          <w:tcPr>
            <w:tcW w:w="580" w:type="dxa"/>
            <w:vAlign w:val="bottom"/>
          </w:tcPr>
          <w:p>
            <w:pPr>
              <w:jc w:val="right"/>
              <w:ind w:right="13"/>
              <w:spacing w:after="0" w:line="135" w:lineRule="exact"/>
              <w:rPr>
                <w:sz w:val="20"/>
                <w:szCs w:val="20"/>
                <w:color w:val="auto"/>
              </w:rPr>
            </w:pPr>
            <w:r>
              <w:rPr>
                <w:rFonts w:ascii="Arial" w:cs="Arial" w:eastAsia="Arial" w:hAnsi="Arial"/>
                <w:sz w:val="13"/>
                <w:szCs w:val="13"/>
                <w:color w:val="auto"/>
              </w:rPr>
              <w:t>6,600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13,200</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jc w:val="right"/>
              <w:ind w:right="14"/>
              <w:spacing w:after="0" w:line="135" w:lineRule="exact"/>
              <w:rPr>
                <w:sz w:val="20"/>
                <w:szCs w:val="20"/>
                <w:color w:val="auto"/>
              </w:rPr>
            </w:pPr>
            <w:r>
              <w:rPr>
                <w:rFonts w:ascii="Arial" w:cs="Arial" w:eastAsia="Arial" w:hAnsi="Arial"/>
                <w:sz w:val="13"/>
                <w:szCs w:val="13"/>
                <w:color w:val="auto"/>
              </w:rPr>
              <w:t>$256,641</w:t>
            </w:r>
          </w:p>
        </w:tc>
      </w:tr>
      <w:tr>
        <w:trPr>
          <w:trHeight w:val="152"/>
        </w:trPr>
        <w:tc>
          <w:tcPr>
            <w:tcW w:w="2080" w:type="dxa"/>
            <w:vAlign w:val="bottom"/>
          </w:tcPr>
          <w:p>
            <w:pPr>
              <w:ind w:left="260"/>
              <w:spacing w:after="0"/>
              <w:rPr>
                <w:sz w:val="20"/>
                <w:szCs w:val="20"/>
                <w:color w:val="auto"/>
              </w:rPr>
            </w:pPr>
            <w:r>
              <w:rPr>
                <w:rFonts w:ascii="Arial" w:cs="Arial" w:eastAsia="Arial" w:hAnsi="Arial"/>
                <w:sz w:val="13"/>
                <w:szCs w:val="13"/>
                <w:color w:val="auto"/>
              </w:rPr>
              <w:t>Stock Options</w:t>
            </w:r>
          </w:p>
        </w:tc>
        <w:tc>
          <w:tcPr>
            <w:tcW w:w="660" w:type="dxa"/>
            <w:vAlign w:val="bottom"/>
          </w:tcPr>
          <w:p>
            <w:pPr>
              <w:jc w:val="center"/>
              <w:spacing w:after="0"/>
              <w:rPr>
                <w:sz w:val="20"/>
                <w:szCs w:val="20"/>
                <w:color w:val="auto"/>
              </w:rPr>
            </w:pPr>
            <w:r>
              <w:rPr>
                <w:rFonts w:ascii="Arial" w:cs="Arial" w:eastAsia="Arial" w:hAnsi="Arial"/>
                <w:sz w:val="13"/>
                <w:szCs w:val="13"/>
                <w:color w:val="auto"/>
                <w:w w:val="94"/>
              </w:rPr>
              <w:t>12/04/15</w:t>
            </w:r>
          </w:p>
        </w:tc>
        <w:tc>
          <w:tcPr>
            <w:tcW w:w="760" w:type="dxa"/>
            <w:vAlign w:val="bottom"/>
          </w:tcPr>
          <w:p>
            <w:pPr>
              <w:jc w:val="center"/>
              <w:spacing w:after="0"/>
              <w:rPr>
                <w:sz w:val="20"/>
                <w:szCs w:val="20"/>
                <w:color w:val="auto"/>
              </w:rPr>
            </w:pPr>
            <w:r>
              <w:rPr>
                <w:rFonts w:ascii="Arial" w:cs="Arial" w:eastAsia="Arial" w:hAnsi="Arial"/>
                <w:sz w:val="13"/>
                <w:szCs w:val="13"/>
                <w:color w:val="auto"/>
                <w:w w:val="94"/>
              </w:rPr>
              <w:t>12/01/15</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23,400</w:t>
            </w:r>
          </w:p>
        </w:tc>
        <w:tc>
          <w:tcPr>
            <w:tcW w:w="800" w:type="dxa"/>
            <w:vAlign w:val="bottom"/>
          </w:tcPr>
          <w:p>
            <w:pPr>
              <w:jc w:val="right"/>
              <w:spacing w:after="0"/>
              <w:rPr>
                <w:sz w:val="20"/>
                <w:szCs w:val="20"/>
                <w:color w:val="auto"/>
              </w:rPr>
            </w:pPr>
            <w:r>
              <w:rPr>
                <w:rFonts w:ascii="Arial" w:cs="Arial" w:eastAsia="Arial" w:hAnsi="Arial"/>
                <w:sz w:val="13"/>
                <w:szCs w:val="13"/>
                <w:color w:val="auto"/>
              </w:rPr>
              <w:t>$38.82</w:t>
            </w: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$217,152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-1258570</wp:posOffset>
            </wp:positionV>
            <wp:extent cx="27959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26073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7" w:lineRule="exact"/>
        <w:rPr>
          <w:sz w:val="20"/>
          <w:szCs w:val="20"/>
          <w:color w:val="auto"/>
        </w:rPr>
      </w:pPr>
    </w:p>
    <w:p>
      <w:pPr>
        <w:ind w:left="460" w:right="500" w:hanging="452"/>
        <w:spacing w:after="0" w:line="275"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reported represent the range of payouts of annual cash incentive awards for fiscal 2016. Actual payouts for fiscal 2016 are included in the “Summary Compensation Table” beginning on page 49 in the “Non-Equity Incentive Plan Compensation” column.</w:t>
      </w:r>
    </w:p>
    <w:p>
      <w:pPr>
        <w:spacing w:after="0" w:line="200" w:lineRule="exact"/>
        <w:rPr>
          <w:rFonts w:ascii="Arial" w:cs="Arial" w:eastAsia="Arial" w:hAnsi="Arial"/>
          <w:sz w:val="17"/>
          <w:szCs w:val="17"/>
          <w:color w:val="auto"/>
        </w:rPr>
      </w:pPr>
    </w:p>
    <w:p>
      <w:pPr>
        <w:ind w:left="460" w:right="28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2016 to fiscal 2018 performance period. Information regarding the performance share awards is set forth within the “Compensation Discussion and Analysis” under “Long-Term Incentives—Performance Share Awards” beginning on page 44.</w:t>
      </w:r>
    </w:p>
    <w:p>
      <w:pPr>
        <w:spacing w:after="0" w:line="229" w:lineRule="exact"/>
        <w:rPr>
          <w:rFonts w:ascii="Arial" w:cs="Arial" w:eastAsia="Arial" w:hAnsi="Arial"/>
          <w:sz w:val="18"/>
          <w:szCs w:val="18"/>
          <w:color w:val="auto"/>
        </w:rPr>
      </w:pPr>
    </w:p>
    <w:p>
      <w:pPr>
        <w:ind w:left="460" w:right="380" w:hanging="452"/>
        <w:spacing w:after="0" w:line="23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2016, which grant date was the second business day following the issuance of our fiscal 2015 earnings release. Options have a ten-year term and vest ratably in three equal installments on each of the first, second and third year anniversaries of the date of grant. Additional information regarding stock options is set forth within the “Compensation Discussion and Analysis” under “Long-Term Incentives—Stock Options” on page 44.</w:t>
      </w:r>
    </w:p>
    <w:p>
      <w:pPr>
        <w:spacing w:after="0" w:line="228"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the closing price of our common stock, as reported on the NYSE, on December 4, 2015, the date of grant.</w:t>
      </w:r>
    </w:p>
    <w:p>
      <w:pPr>
        <w:spacing w:after="0" w:line="238"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reported represent the grant date fair value of performance share awards at target granted for the fiscal 2016 to fiscal 2018 performance period based on the closing price of our common stock, as reported on the NYSE, on December 1, 2015, the date of grant, of $38.885. These amounts are also set forth in the “Summary Compensation Table” beginning on page 49 in the “Stock Awards” column.</w:t>
      </w:r>
    </w:p>
    <w:p>
      <w:pPr>
        <w:spacing w:after="0" w:line="213" w:lineRule="exact"/>
        <w:rPr>
          <w:rFonts w:ascii="Arial" w:cs="Arial" w:eastAsia="Arial" w:hAnsi="Arial"/>
          <w:sz w:val="17"/>
          <w:szCs w:val="17"/>
          <w:color w:val="auto"/>
        </w:rPr>
      </w:pPr>
    </w:p>
    <w:p>
      <w:pPr>
        <w:ind w:left="460" w:right="20" w:hanging="452"/>
        <w:spacing w:after="0" w:line="23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for option awards represent the grant date fair value of $9.28 per share, computed in accordance with FASB ASC Topic 718, of option awards made for fiscal 2016. These amounts are also set forth in the “Summary Compensation Table” beginning on page 49 in the “Option Awards” column. The specific assumptions used in the valuation of the options are included in footnote 3 to the “Summary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Outstanding Equity Awards at Fiscal Year-End for 2016</w:t>
      </w:r>
    </w:p>
    <w:p>
      <w:pPr>
        <w:spacing w:after="0" w:line="23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2016, the last day of fiscal 2016. Specifically, it reflects exercisable and unexercisable stock options, unvested restricted stock unit awards and unvested performance share awards. Share and per share data have been adjusted for all periods presented to reflect our two-for-one stock split that was effective September 16,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960" w:type="dxa"/>
            <w:vAlign w:val="bottom"/>
            <w:gridSpan w:val="2"/>
            <w:shd w:val="clear" w:color="auto" w:fill="C00000"/>
          </w:tcPr>
          <w:p>
            <w:pPr>
              <w:jc w:val="right"/>
              <w:ind w:right="556"/>
              <w:spacing w:after="0"/>
              <w:rPr>
                <w:sz w:val="20"/>
                <w:szCs w:val="20"/>
                <w:color w:val="auto"/>
              </w:rPr>
            </w:pPr>
            <w:r>
              <w:rPr>
                <w:rFonts w:ascii="Arial" w:cs="Arial" w:eastAsia="Arial" w:hAnsi="Arial"/>
                <w:sz w:val="14"/>
                <w:szCs w:val="14"/>
                <w:b w:val="1"/>
                <w:bCs w:val="1"/>
                <w:color w:val="FFFFFF"/>
              </w:rPr>
              <w:t>Option Awards</w:t>
            </w: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2100" w:type="dxa"/>
            <w:vAlign w:val="bottom"/>
            <w:gridSpan w:val="2"/>
            <w:shd w:val="clear" w:color="auto" w:fill="C00000"/>
          </w:tcPr>
          <w:p>
            <w:pPr>
              <w:jc w:val="right"/>
              <w:ind w:right="333"/>
              <w:spacing w:after="0"/>
              <w:rPr>
                <w:sz w:val="20"/>
                <w:szCs w:val="20"/>
                <w:color w:val="auto"/>
              </w:rPr>
            </w:pPr>
            <w:r>
              <w:rPr>
                <w:rFonts w:ascii="Arial" w:cs="Arial" w:eastAsia="Arial" w:hAnsi="Arial"/>
                <w:sz w:val="14"/>
                <w:szCs w:val="14"/>
                <w:b w:val="1"/>
                <w:bCs w:val="1"/>
                <w:color w:val="FFFFFF"/>
              </w:rPr>
              <w:t>Stock Awards</w:t>
            </w:r>
          </w:p>
        </w:tc>
        <w:tc>
          <w:tcPr>
            <w:tcW w:w="1260" w:type="dxa"/>
            <w:vAlign w:val="bottom"/>
            <w:shd w:val="clear" w:color="auto" w:fill="C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Equity</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Incentive</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Plan Awards:</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vMerge w:val="restart"/>
            <w:shd w:val="clear" w:color="auto" w:fill="C00000"/>
          </w:tcPr>
          <w:p>
            <w:pPr>
              <w:jc w:val="center"/>
              <w:ind w:right="71"/>
              <w:spacing w:after="0"/>
              <w:rPr>
                <w:sz w:val="20"/>
                <w:szCs w:val="20"/>
                <w:color w:val="auto"/>
              </w:rPr>
            </w:pPr>
            <w:r>
              <w:rPr>
                <w:rFonts w:ascii="Arial" w:cs="Arial" w:eastAsia="Arial" w:hAnsi="Arial"/>
                <w:sz w:val="14"/>
                <w:szCs w:val="14"/>
                <w:b w:val="1"/>
                <w:bCs w:val="1"/>
                <w:color w:val="FFFFFF"/>
              </w:rPr>
              <w:t>Number of</w:t>
            </w:r>
          </w:p>
        </w:tc>
        <w:tc>
          <w:tcPr>
            <w:tcW w:w="82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Market</w:t>
            </w: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49"/>
        </w:trPr>
        <w:tc>
          <w:tcPr>
            <w:tcW w:w="2920" w:type="dxa"/>
            <w:vAlign w:val="bottom"/>
            <w:shd w:val="clear" w:color="auto" w:fill="C00000"/>
          </w:tcPr>
          <w:p>
            <w:pPr>
              <w:spacing w:after="0"/>
              <w:rPr>
                <w:sz w:val="12"/>
                <w:szCs w:val="12"/>
                <w:color w:val="auto"/>
              </w:rPr>
            </w:pPr>
          </w:p>
        </w:tc>
        <w:tc>
          <w:tcPr>
            <w:tcW w:w="1080" w:type="dxa"/>
            <w:vAlign w:val="bottom"/>
            <w:shd w:val="clear" w:color="auto" w:fill="C00000"/>
          </w:tcPr>
          <w:p>
            <w:pPr>
              <w:jc w:val="center"/>
              <w:spacing w:after="0" w:line="149" w:lineRule="exact"/>
              <w:rPr>
                <w:sz w:val="20"/>
                <w:szCs w:val="20"/>
                <w:color w:val="auto"/>
              </w:rPr>
            </w:pPr>
            <w:r>
              <w:rPr>
                <w:rFonts w:ascii="Arial" w:cs="Arial" w:eastAsia="Arial" w:hAnsi="Arial"/>
                <w:sz w:val="14"/>
                <w:szCs w:val="14"/>
                <w:b w:val="1"/>
                <w:bCs w:val="1"/>
                <w:color w:val="FFFFFF"/>
              </w:rPr>
              <w:t>Number of</w:t>
            </w:r>
          </w:p>
        </w:tc>
        <w:tc>
          <w:tcPr>
            <w:tcW w:w="120" w:type="dxa"/>
            <w:vAlign w:val="bottom"/>
            <w:shd w:val="clear" w:color="auto" w:fill="C00000"/>
          </w:tcPr>
          <w:p>
            <w:pPr>
              <w:spacing w:after="0"/>
              <w:rPr>
                <w:sz w:val="12"/>
                <w:szCs w:val="12"/>
                <w:color w:val="auto"/>
              </w:rPr>
            </w:pPr>
          </w:p>
        </w:tc>
        <w:tc>
          <w:tcPr>
            <w:tcW w:w="80" w:type="dxa"/>
            <w:vAlign w:val="bottom"/>
            <w:shd w:val="clear" w:color="auto" w:fill="C00000"/>
          </w:tcPr>
          <w:p>
            <w:pPr>
              <w:spacing w:after="0"/>
              <w:rPr>
                <w:sz w:val="12"/>
                <w:szCs w:val="12"/>
                <w:color w:val="auto"/>
              </w:rPr>
            </w:pPr>
          </w:p>
        </w:tc>
        <w:tc>
          <w:tcPr>
            <w:tcW w:w="1140" w:type="dxa"/>
            <w:vAlign w:val="bottom"/>
            <w:vMerge w:val="continue"/>
            <w:shd w:val="clear" w:color="auto" w:fill="C00000"/>
          </w:tcPr>
          <w:p>
            <w:pPr>
              <w:spacing w:after="0"/>
              <w:rPr>
                <w:sz w:val="12"/>
                <w:szCs w:val="12"/>
                <w:color w:val="auto"/>
              </w:rPr>
            </w:pPr>
          </w:p>
        </w:tc>
        <w:tc>
          <w:tcPr>
            <w:tcW w:w="820" w:type="dxa"/>
            <w:vAlign w:val="bottom"/>
            <w:shd w:val="clear" w:color="auto" w:fill="C00000"/>
          </w:tcPr>
          <w:p>
            <w:pPr>
              <w:spacing w:after="0"/>
              <w:rPr>
                <w:sz w:val="12"/>
                <w:szCs w:val="12"/>
                <w:color w:val="auto"/>
              </w:rPr>
            </w:pPr>
          </w:p>
        </w:tc>
        <w:tc>
          <w:tcPr>
            <w:tcW w:w="960" w:type="dxa"/>
            <w:vAlign w:val="bottom"/>
            <w:shd w:val="clear" w:color="auto" w:fill="C00000"/>
          </w:tcPr>
          <w:p>
            <w:pPr>
              <w:spacing w:after="0"/>
              <w:rPr>
                <w:sz w:val="12"/>
                <w:szCs w:val="12"/>
                <w:color w:val="auto"/>
              </w:rPr>
            </w:pPr>
          </w:p>
        </w:tc>
        <w:tc>
          <w:tcPr>
            <w:tcW w:w="940" w:type="dxa"/>
            <w:vAlign w:val="bottom"/>
            <w:shd w:val="clear" w:color="auto" w:fill="C00000"/>
          </w:tcPr>
          <w:p>
            <w:pPr>
              <w:spacing w:after="0"/>
              <w:rPr>
                <w:sz w:val="12"/>
                <w:szCs w:val="12"/>
                <w:color w:val="auto"/>
              </w:rPr>
            </w:pPr>
          </w:p>
        </w:tc>
        <w:tc>
          <w:tcPr>
            <w:tcW w:w="920" w:type="dxa"/>
            <w:vAlign w:val="bottom"/>
            <w:shd w:val="clear" w:color="auto" w:fill="C00000"/>
          </w:tcPr>
          <w:p>
            <w:pPr>
              <w:jc w:val="center"/>
              <w:spacing w:after="0" w:line="149" w:lineRule="exact"/>
              <w:rPr>
                <w:sz w:val="20"/>
                <w:szCs w:val="20"/>
                <w:color w:val="auto"/>
              </w:rPr>
            </w:pPr>
            <w:r>
              <w:rPr>
                <w:rFonts w:ascii="Arial" w:cs="Arial" w:eastAsia="Arial" w:hAnsi="Arial"/>
                <w:sz w:val="14"/>
                <w:szCs w:val="14"/>
                <w:b w:val="1"/>
                <w:bCs w:val="1"/>
                <w:color w:val="FFFFFF"/>
              </w:rPr>
              <w:t>Value of</w:t>
            </w:r>
          </w:p>
        </w:tc>
        <w:tc>
          <w:tcPr>
            <w:tcW w:w="1180" w:type="dxa"/>
            <w:vAlign w:val="bottom"/>
            <w:shd w:val="clear" w:color="auto" w:fill="C00000"/>
          </w:tcPr>
          <w:p>
            <w:pPr>
              <w:jc w:val="center"/>
              <w:spacing w:after="0" w:line="149" w:lineRule="exact"/>
              <w:rPr>
                <w:sz w:val="20"/>
                <w:szCs w:val="20"/>
                <w:color w:val="auto"/>
              </w:rPr>
            </w:pPr>
            <w:r>
              <w:rPr>
                <w:rFonts w:ascii="Arial" w:cs="Arial" w:eastAsia="Arial" w:hAnsi="Arial"/>
                <w:sz w:val="14"/>
                <w:szCs w:val="14"/>
                <w:b w:val="1"/>
                <w:bCs w:val="1"/>
                <w:color w:val="FFFFFF"/>
              </w:rPr>
              <w:t>Unearned</w:t>
            </w:r>
          </w:p>
        </w:tc>
        <w:tc>
          <w:tcPr>
            <w:tcW w:w="1260" w:type="dxa"/>
            <w:vAlign w:val="bottom"/>
            <w:shd w:val="clear" w:color="auto" w:fill="C00000"/>
          </w:tcPr>
          <w:p>
            <w:pPr>
              <w:jc w:val="center"/>
              <w:spacing w:after="0" w:line="149" w:lineRule="exact"/>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Securities</w:t>
            </w: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jc w:val="center"/>
              <w:ind w:right="71"/>
              <w:spacing w:after="0"/>
              <w:rPr>
                <w:sz w:val="20"/>
                <w:szCs w:val="20"/>
                <w:color w:val="auto"/>
              </w:rPr>
            </w:pPr>
            <w:r>
              <w:rPr>
                <w:rFonts w:ascii="Arial" w:cs="Arial" w:eastAsia="Arial" w:hAnsi="Arial"/>
                <w:sz w:val="14"/>
                <w:szCs w:val="14"/>
                <w:b w:val="1"/>
                <w:bCs w:val="1"/>
                <w:color w:val="FFFFFF"/>
              </w:rPr>
              <w:t>Securities</w:t>
            </w:r>
          </w:p>
        </w:tc>
        <w:tc>
          <w:tcPr>
            <w:tcW w:w="82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 or</w:t>
            </w: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Underlying</w:t>
            </w: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jc w:val="center"/>
              <w:ind w:right="71"/>
              <w:spacing w:after="0"/>
              <w:rPr>
                <w:sz w:val="20"/>
                <w:szCs w:val="20"/>
                <w:color w:val="auto"/>
              </w:rPr>
            </w:pPr>
            <w:r>
              <w:rPr>
                <w:rFonts w:ascii="Arial" w:cs="Arial" w:eastAsia="Arial" w:hAnsi="Arial"/>
                <w:sz w:val="14"/>
                <w:szCs w:val="14"/>
                <w:b w:val="1"/>
                <w:bCs w:val="1"/>
                <w:color w:val="FFFFFF"/>
              </w:rPr>
              <w:t>Underlying</w:t>
            </w:r>
          </w:p>
        </w:tc>
        <w:tc>
          <w:tcPr>
            <w:tcW w:w="82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 or</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of</w:t>
            </w: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or Other</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Unexercised</w:t>
            </w: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jc w:val="center"/>
              <w:ind w:right="91"/>
              <w:spacing w:after="0"/>
              <w:rPr>
                <w:sz w:val="20"/>
                <w:szCs w:val="20"/>
                <w:color w:val="auto"/>
              </w:rPr>
            </w:pPr>
            <w:r>
              <w:rPr>
                <w:rFonts w:ascii="Arial" w:cs="Arial" w:eastAsia="Arial" w:hAnsi="Arial"/>
                <w:sz w:val="14"/>
                <w:szCs w:val="14"/>
                <w:b w:val="1"/>
                <w:bCs w:val="1"/>
                <w:color w:val="FFFFFF"/>
              </w:rPr>
              <w:t>Unexercised</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c>
          <w:tcPr>
            <w:tcW w:w="960" w:type="dxa"/>
            <w:vAlign w:val="bottom"/>
            <w:shd w:val="clear" w:color="auto" w:fill="C00000"/>
          </w:tcPr>
          <w:p>
            <w:pPr>
              <w:spacing w:after="0"/>
              <w:rPr>
                <w:sz w:val="14"/>
                <w:szCs w:val="14"/>
                <w:color w:val="auto"/>
              </w:rPr>
            </w:pPr>
          </w:p>
        </w:tc>
        <w:tc>
          <w:tcPr>
            <w:tcW w:w="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that</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Stock that</w:t>
            </w: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Rights</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or Other Rights</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Options</w:t>
            </w:r>
          </w:p>
        </w:tc>
        <w:tc>
          <w:tcPr>
            <w:tcW w:w="120" w:type="dxa"/>
            <w:vAlign w:val="bottom"/>
            <w:shd w:val="clear" w:color="auto" w:fill="C00000"/>
          </w:tcPr>
          <w:p>
            <w:pPr>
              <w:spacing w:after="0"/>
              <w:rPr>
                <w:sz w:val="14"/>
                <w:szCs w:val="14"/>
                <w:color w:val="auto"/>
              </w:rPr>
            </w:pPr>
          </w:p>
        </w:tc>
        <w:tc>
          <w:tcPr>
            <w:tcW w:w="80" w:type="dxa"/>
            <w:vAlign w:val="bottom"/>
            <w:shd w:val="clear" w:color="auto" w:fill="C00000"/>
          </w:tcPr>
          <w:p>
            <w:pPr>
              <w:spacing w:after="0"/>
              <w:rPr>
                <w:sz w:val="14"/>
                <w:szCs w:val="14"/>
                <w:color w:val="auto"/>
              </w:rPr>
            </w:pPr>
          </w:p>
        </w:tc>
        <w:tc>
          <w:tcPr>
            <w:tcW w:w="1140" w:type="dxa"/>
            <w:vAlign w:val="bottom"/>
            <w:shd w:val="clear" w:color="auto" w:fill="C00000"/>
          </w:tcPr>
          <w:p>
            <w:pPr>
              <w:jc w:val="center"/>
              <w:ind w:right="91"/>
              <w:spacing w:after="0"/>
              <w:rPr>
                <w:sz w:val="20"/>
                <w:szCs w:val="20"/>
                <w:color w:val="auto"/>
              </w:rPr>
            </w:pPr>
            <w:r>
              <w:rPr>
                <w:rFonts w:ascii="Arial" w:cs="Arial" w:eastAsia="Arial" w:hAnsi="Arial"/>
                <w:sz w:val="14"/>
                <w:szCs w:val="14"/>
                <w:b w:val="1"/>
                <w:bCs w:val="1"/>
                <w:color w:val="FFFFFF"/>
              </w:rPr>
              <w:t>Options</w:t>
            </w:r>
          </w:p>
        </w:tc>
        <w:tc>
          <w:tcPr>
            <w:tcW w:w="820" w:type="dxa"/>
            <w:vAlign w:val="bottom"/>
            <w:shd w:val="clear" w:color="auto" w:fill="C00000"/>
          </w:tcPr>
          <w:p>
            <w:pPr>
              <w:jc w:val="right"/>
              <w:ind w:right="16"/>
              <w:spacing w:after="0"/>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C00000"/>
          </w:tcPr>
          <w:p>
            <w:pPr>
              <w:jc w:val="right"/>
              <w:ind w:right="176"/>
              <w:spacing w:after="0"/>
              <w:rPr>
                <w:sz w:val="20"/>
                <w:szCs w:val="20"/>
                <w:color w:val="auto"/>
              </w:rPr>
            </w:pPr>
            <w:r>
              <w:rPr>
                <w:rFonts w:ascii="Arial" w:cs="Arial" w:eastAsia="Arial" w:hAnsi="Arial"/>
                <w:sz w:val="14"/>
                <w:szCs w:val="14"/>
                <w:b w:val="1"/>
                <w:bCs w:val="1"/>
                <w:color w:val="FFFFFF"/>
              </w:rPr>
              <w:t>Option</w:t>
            </w:r>
          </w:p>
        </w:tc>
        <w:tc>
          <w:tcPr>
            <w:tcW w:w="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Have Not</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Have Not</w:t>
            </w: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That Have</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That Have</w:t>
            </w:r>
          </w:p>
        </w:tc>
        <w:tc>
          <w:tcPr>
            <w:tcW w:w="0" w:type="dxa"/>
            <w:vAlign w:val="bottom"/>
          </w:tcPr>
          <w:p>
            <w:pPr>
              <w:spacing w:after="0"/>
              <w:rPr>
                <w:sz w:val="1"/>
                <w:szCs w:val="1"/>
                <w:color w:val="auto"/>
              </w:rPr>
            </w:pPr>
          </w:p>
        </w:tc>
      </w:tr>
      <w:tr>
        <w:trPr>
          <w:trHeight w:val="162"/>
        </w:trPr>
        <w:tc>
          <w:tcPr>
            <w:tcW w:w="292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Exercisable</w:t>
            </w:r>
          </w:p>
        </w:tc>
        <w:tc>
          <w:tcPr>
            <w:tcW w:w="120" w:type="dxa"/>
            <w:vAlign w:val="bottom"/>
            <w:shd w:val="clear" w:color="auto" w:fill="C00000"/>
          </w:tcPr>
          <w:p>
            <w:pPr>
              <w:spacing w:after="0"/>
              <w:rPr>
                <w:sz w:val="14"/>
                <w:szCs w:val="14"/>
                <w:color w:val="auto"/>
              </w:rPr>
            </w:pPr>
          </w:p>
        </w:tc>
        <w:tc>
          <w:tcPr>
            <w:tcW w:w="1220" w:type="dxa"/>
            <w:vAlign w:val="bottom"/>
            <w:gridSpan w:val="2"/>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Unexercisable</w:t>
            </w:r>
            <w:r>
              <w:rPr>
                <w:rFonts w:ascii="Arial" w:cs="Arial" w:eastAsia="Arial" w:hAnsi="Arial"/>
                <w:sz w:val="18"/>
                <w:szCs w:val="18"/>
                <w:b w:val="1"/>
                <w:bCs w:val="1"/>
                <w:color w:val="FFFFFF"/>
                <w:vertAlign w:val="superscript"/>
              </w:rPr>
              <w:t>(1)</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Price</w:t>
            </w:r>
          </w:p>
        </w:tc>
        <w:tc>
          <w:tcPr>
            <w:tcW w:w="960" w:type="dxa"/>
            <w:vAlign w:val="bottom"/>
            <w:shd w:val="clear" w:color="auto" w:fill="C00000"/>
          </w:tcPr>
          <w:p>
            <w:pPr>
              <w:jc w:val="right"/>
              <w:ind w:right="56"/>
              <w:spacing w:after="0"/>
              <w:rPr>
                <w:sz w:val="20"/>
                <w:szCs w:val="20"/>
                <w:color w:val="auto"/>
              </w:rPr>
            </w:pPr>
            <w:r>
              <w:rPr>
                <w:rFonts w:ascii="Arial" w:cs="Arial" w:eastAsia="Arial" w:hAnsi="Arial"/>
                <w:sz w:val="14"/>
                <w:szCs w:val="14"/>
                <w:b w:val="1"/>
                <w:bCs w:val="1"/>
                <w:color w:val="FFFFFF"/>
              </w:rPr>
              <w:t>Expiration</w:t>
            </w:r>
          </w:p>
        </w:tc>
        <w:tc>
          <w:tcPr>
            <w:tcW w:w="94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Vested</w:t>
            </w:r>
            <w:r>
              <w:rPr>
                <w:rFonts w:ascii="Arial" w:cs="Arial" w:eastAsia="Arial" w:hAnsi="Arial"/>
                <w:sz w:val="18"/>
                <w:szCs w:val="18"/>
                <w:b w:val="1"/>
                <w:bCs w:val="1"/>
                <w:color w:val="FFFFFF"/>
                <w:vertAlign w:val="superscript"/>
              </w:rPr>
              <w:t>(2)</w:t>
            </w:r>
          </w:p>
        </w:tc>
        <w:tc>
          <w:tcPr>
            <w:tcW w:w="92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Vested</w:t>
            </w:r>
            <w:r>
              <w:rPr>
                <w:rFonts w:ascii="Arial" w:cs="Arial" w:eastAsia="Arial" w:hAnsi="Arial"/>
                <w:sz w:val="18"/>
                <w:szCs w:val="18"/>
                <w:b w:val="1"/>
                <w:bCs w:val="1"/>
                <w:color w:val="FFFFFF"/>
                <w:vertAlign w:val="superscript"/>
              </w:rPr>
              <w:t>(3)</w:t>
            </w:r>
          </w:p>
        </w:tc>
        <w:tc>
          <w:tcPr>
            <w:tcW w:w="118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Not Vested</w:t>
            </w:r>
            <w:r>
              <w:rPr>
                <w:rFonts w:ascii="Arial" w:cs="Arial" w:eastAsia="Arial" w:hAnsi="Arial"/>
                <w:sz w:val="18"/>
                <w:szCs w:val="18"/>
                <w:b w:val="1"/>
                <w:bCs w:val="1"/>
                <w:color w:val="FFFFFF"/>
                <w:vertAlign w:val="superscript"/>
              </w:rPr>
              <w:t>(4)</w:t>
            </w:r>
          </w:p>
        </w:tc>
        <w:tc>
          <w:tcPr>
            <w:tcW w:w="126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Not Vested</w:t>
            </w:r>
            <w:r>
              <w:rPr>
                <w:rFonts w:ascii="Arial" w:cs="Arial" w:eastAsia="Arial" w:hAnsi="Arial"/>
                <w:sz w:val="18"/>
                <w:szCs w:val="18"/>
                <w:b w:val="1"/>
                <w:bCs w:val="1"/>
                <w:color w:val="FFFFFF"/>
                <w:vertAlign w:val="superscript"/>
              </w:rPr>
              <w:t>(5)</w:t>
            </w:r>
          </w:p>
        </w:tc>
        <w:tc>
          <w:tcPr>
            <w:tcW w:w="0" w:type="dxa"/>
            <w:vAlign w:val="bottom"/>
          </w:tcPr>
          <w:p>
            <w:pPr>
              <w:spacing w:after="0"/>
              <w:rPr>
                <w:sz w:val="1"/>
                <w:szCs w:val="1"/>
                <w:color w:val="auto"/>
              </w:rPr>
            </w:pPr>
          </w:p>
        </w:tc>
      </w:tr>
      <w:tr>
        <w:trPr>
          <w:trHeight w:val="189"/>
        </w:trPr>
        <w:tc>
          <w:tcPr>
            <w:tcW w:w="292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34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C00000"/>
          </w:tcPr>
          <w:p>
            <w:pPr>
              <w:jc w:val="right"/>
              <w:ind w:right="256"/>
              <w:spacing w:after="0"/>
              <w:rPr>
                <w:sz w:val="20"/>
                <w:szCs w:val="20"/>
                <w:color w:val="auto"/>
              </w:rPr>
            </w:pPr>
            <w:r>
              <w:rPr>
                <w:rFonts w:ascii="Arial" w:cs="Arial" w:eastAsia="Arial" w:hAnsi="Arial"/>
                <w:sz w:val="14"/>
                <w:szCs w:val="14"/>
                <w:b w:val="1"/>
                <w:bCs w:val="1"/>
                <w:color w:val="FFFFFF"/>
              </w:rPr>
              <w:t>Date</w:t>
            </w:r>
          </w:p>
        </w:tc>
        <w:tc>
          <w:tcPr>
            <w:tcW w:w="9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3"/>
                <w:szCs w:val="13"/>
                <w:color w:val="auto"/>
              </w:rPr>
              <w:t>Michael J. Hoffman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40"/>
              <w:spacing w:after="0" w:line="135" w:lineRule="exact"/>
              <w:rPr>
                <w:sz w:val="20"/>
                <w:szCs w:val="20"/>
                <w:color w:val="auto"/>
              </w:rPr>
            </w:pPr>
            <w:r>
              <w:rPr>
                <w:rFonts w:ascii="Arial" w:cs="Arial" w:eastAsia="Arial" w:hAnsi="Arial"/>
                <w:sz w:val="13"/>
                <w:szCs w:val="13"/>
                <w:color w:val="auto"/>
              </w:rPr>
              <w:t>Stock Options</w:t>
            </w: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368,800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$ 7.1550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12/03/2018</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340,000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$10.1825</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12/01/2019</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253,200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$15.8800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12/08/2020</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265,200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$14.1125</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12/07/2021</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193,200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$21.0300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12/11/2022</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100,400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50,200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$29.7500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12/06/2023</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46,932</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93,868</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$31.3750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12/05/2024</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140"/>
              <w:spacing w:after="0"/>
              <w:rPr>
                <w:sz w:val="20"/>
                <w:szCs w:val="20"/>
                <w:color w:val="auto"/>
              </w:rPr>
            </w:pPr>
            <w:r>
              <w:rPr>
                <w:rFonts w:ascii="Arial" w:cs="Arial" w:eastAsia="Arial" w:hAnsi="Arial"/>
                <w:sz w:val="13"/>
                <w:szCs w:val="13"/>
                <w:color w:val="auto"/>
              </w:rPr>
              <w:t>F’15-F’17 Performance Shares</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0</w:t>
            </w:r>
          </w:p>
        </w:tc>
        <w:tc>
          <w:tcPr>
            <w:tcW w:w="1340" w:type="dxa"/>
            <w:vAlign w:val="bottom"/>
            <w:gridSpan w:val="3"/>
          </w:tcPr>
          <w:p>
            <w:pPr>
              <w:jc w:val="right"/>
              <w:ind w:right="11"/>
              <w:spacing w:after="0"/>
              <w:rPr>
                <w:sz w:val="20"/>
                <w:szCs w:val="20"/>
                <w:color w:val="auto"/>
              </w:rPr>
            </w:pPr>
            <w:r>
              <w:rPr>
                <w:rFonts w:ascii="Arial" w:cs="Arial" w:eastAsia="Arial" w:hAnsi="Arial"/>
                <w:sz w:val="13"/>
                <w:szCs w:val="13"/>
                <w:color w:val="auto"/>
              </w:rPr>
              <w:t>138,000</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$38.8200</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12/04/2025</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vMerge w:val="restart"/>
          </w:tcPr>
          <w:p>
            <w:pPr>
              <w:jc w:val="right"/>
              <w:ind w:right="33"/>
              <w:spacing w:after="0"/>
              <w:rPr>
                <w:sz w:val="20"/>
                <w:szCs w:val="20"/>
                <w:color w:val="auto"/>
              </w:rPr>
            </w:pPr>
            <w:r>
              <w:rPr>
                <w:rFonts w:ascii="Arial" w:cs="Arial" w:eastAsia="Arial" w:hAnsi="Arial"/>
                <w:sz w:val="13"/>
                <w:szCs w:val="13"/>
                <w:color w:val="auto"/>
              </w:rPr>
              <w:t>53,040</w:t>
            </w:r>
          </w:p>
        </w:tc>
        <w:tc>
          <w:tcPr>
            <w:tcW w:w="1260" w:type="dxa"/>
            <w:vAlign w:val="bottom"/>
            <w:vMerge w:val="restart"/>
          </w:tcPr>
          <w:p>
            <w:pPr>
              <w:jc w:val="right"/>
              <w:ind w:right="13"/>
              <w:spacing w:after="0"/>
              <w:rPr>
                <w:sz w:val="20"/>
                <w:szCs w:val="20"/>
                <w:color w:val="auto"/>
              </w:rPr>
            </w:pPr>
            <w:r>
              <w:rPr>
                <w:rFonts w:ascii="Arial" w:cs="Arial" w:eastAsia="Arial" w:hAnsi="Arial"/>
                <w:sz w:val="13"/>
                <w:szCs w:val="13"/>
                <w:color w:val="auto"/>
              </w:rPr>
              <w:t>$2,539,555</w:t>
            </w:r>
          </w:p>
        </w:tc>
        <w:tc>
          <w:tcPr>
            <w:tcW w:w="0" w:type="dxa"/>
            <w:vAlign w:val="bottom"/>
          </w:tcPr>
          <w:p>
            <w:pPr>
              <w:spacing w:after="0"/>
              <w:rPr>
                <w:sz w:val="1"/>
                <w:szCs w:val="1"/>
                <w:color w:val="auto"/>
              </w:rPr>
            </w:pPr>
          </w:p>
        </w:tc>
      </w:tr>
      <w:tr>
        <w:trPr>
          <w:trHeight w:val="118"/>
        </w:trPr>
        <w:tc>
          <w:tcPr>
            <w:tcW w:w="29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920" w:type="dxa"/>
            <w:vAlign w:val="bottom"/>
          </w:tcPr>
          <w:p>
            <w:pPr>
              <w:ind w:left="140"/>
              <w:spacing w:after="0" w:line="141" w:lineRule="exact"/>
              <w:rPr>
                <w:sz w:val="20"/>
                <w:szCs w:val="20"/>
                <w:color w:val="auto"/>
              </w:rPr>
            </w:pPr>
            <w:r>
              <w:rPr>
                <w:rFonts w:ascii="Arial" w:cs="Arial" w:eastAsia="Arial" w:hAnsi="Arial"/>
                <w:sz w:val="13"/>
                <w:szCs w:val="13"/>
                <w:color w:val="auto"/>
              </w:rPr>
              <w:t>F’16-F’18 Performance Shares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43,120</w:t>
            </w:r>
          </w:p>
        </w:tc>
        <w:tc>
          <w:tcPr>
            <w:tcW w:w="1260" w:type="dxa"/>
            <w:vAlign w:val="bottom"/>
          </w:tcPr>
          <w:p>
            <w:pPr>
              <w:jc w:val="right"/>
              <w:ind w:right="13"/>
              <w:spacing w:after="0" w:line="141" w:lineRule="exact"/>
              <w:rPr>
                <w:sz w:val="20"/>
                <w:szCs w:val="20"/>
                <w:color w:val="auto"/>
              </w:rPr>
            </w:pPr>
            <w:r>
              <w:rPr>
                <w:rFonts w:ascii="Arial" w:cs="Arial" w:eastAsia="Arial" w:hAnsi="Arial"/>
                <w:sz w:val="13"/>
                <w:szCs w:val="13"/>
                <w:color w:val="auto"/>
              </w:rPr>
              <w:t>$2,064,586</w:t>
            </w:r>
          </w:p>
        </w:tc>
        <w:tc>
          <w:tcPr>
            <w:tcW w:w="0" w:type="dxa"/>
            <w:vAlign w:val="bottom"/>
          </w:tcPr>
          <w:p>
            <w:pPr>
              <w:spacing w:after="0"/>
              <w:rPr>
                <w:sz w:val="1"/>
                <w:szCs w:val="1"/>
                <w:color w:val="auto"/>
              </w:rPr>
            </w:pPr>
          </w:p>
        </w:tc>
      </w:tr>
      <w:tr>
        <w:trPr>
          <w:trHeight w:val="129"/>
        </w:trPr>
        <w:tc>
          <w:tcPr>
            <w:tcW w:w="2920" w:type="dxa"/>
            <w:vAlign w:val="bottom"/>
            <w:shd w:val="clear" w:color="auto" w:fill="D9D9D9"/>
          </w:tcPr>
          <w:p>
            <w:pPr>
              <w:spacing w:after="0" w:line="129" w:lineRule="exact"/>
              <w:rPr>
                <w:sz w:val="20"/>
                <w:szCs w:val="20"/>
                <w:color w:val="auto"/>
              </w:rPr>
            </w:pPr>
            <w:r>
              <w:rPr>
                <w:rFonts w:ascii="Arial" w:cs="Arial" w:eastAsia="Arial" w:hAnsi="Arial"/>
                <w:sz w:val="13"/>
                <w:szCs w:val="13"/>
                <w:color w:val="auto"/>
              </w:rPr>
              <w:t>Renee J. Peterson</w:t>
            </w:r>
          </w:p>
        </w:tc>
        <w:tc>
          <w:tcPr>
            <w:tcW w:w="10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1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ind w:left="140"/>
              <w:spacing w:after="0" w:line="135" w:lineRule="exact"/>
              <w:rPr>
                <w:sz w:val="20"/>
                <w:szCs w:val="20"/>
                <w:color w:val="auto"/>
              </w:rPr>
            </w:pPr>
            <w:r>
              <w:rPr>
                <w:rFonts w:ascii="Arial" w:cs="Arial" w:eastAsia="Arial" w:hAnsi="Arial"/>
                <w:sz w:val="13"/>
                <w:szCs w:val="13"/>
                <w:color w:val="auto"/>
              </w:rPr>
              <w:t>Stock Options</w:t>
            </w: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46,400</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$14.1125</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12/07/2021</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51,600</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$21.0300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12/11/2022</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25,866</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12,934</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$29.7500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12/06/2023</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12,666</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25,334</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$31.3750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12/05/2024</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vMerge w:val="restart"/>
            <w:shd w:val="clear" w:color="auto" w:fill="D9D9D9"/>
          </w:tcPr>
          <w:p>
            <w:pPr>
              <w:ind w:left="140"/>
              <w:spacing w:after="0"/>
              <w:rPr>
                <w:sz w:val="20"/>
                <w:szCs w:val="20"/>
                <w:color w:val="auto"/>
              </w:rPr>
            </w:pPr>
            <w:r>
              <w:rPr>
                <w:rFonts w:ascii="Arial" w:cs="Arial" w:eastAsia="Arial" w:hAnsi="Arial"/>
                <w:sz w:val="13"/>
                <w:szCs w:val="13"/>
                <w:color w:val="auto"/>
              </w:rPr>
              <w:t>F’15-F’17 Performance Shares</w:t>
            </w:r>
          </w:p>
        </w:tc>
        <w:tc>
          <w:tcPr>
            <w:tcW w:w="1080" w:type="dxa"/>
            <w:vAlign w:val="bottom"/>
            <w:shd w:val="clear" w:color="auto" w:fill="D9D9D9"/>
          </w:tcPr>
          <w:p>
            <w:pPr>
              <w:jc w:val="right"/>
              <w:ind w:right="16"/>
              <w:spacing w:after="0" w:line="141" w:lineRule="exact"/>
              <w:rPr>
                <w:sz w:val="20"/>
                <w:szCs w:val="20"/>
                <w:color w:val="auto"/>
              </w:rPr>
            </w:pPr>
            <w:r>
              <w:rPr>
                <w:rFonts w:ascii="Arial" w:cs="Arial" w:eastAsia="Arial" w:hAnsi="Arial"/>
                <w:sz w:val="13"/>
                <w:szCs w:val="13"/>
                <w:color w:val="auto"/>
              </w:rPr>
              <w:t>0</w:t>
            </w:r>
          </w:p>
        </w:tc>
        <w:tc>
          <w:tcPr>
            <w:tcW w:w="120" w:type="dxa"/>
            <w:vAlign w:val="bottom"/>
            <w:shd w:val="clear" w:color="auto" w:fill="D9D9D9"/>
          </w:tcPr>
          <w:p>
            <w:pPr>
              <w:spacing w:after="0"/>
              <w:rPr>
                <w:sz w:val="12"/>
                <w:szCs w:val="12"/>
                <w:color w:val="auto"/>
              </w:rPr>
            </w:pPr>
          </w:p>
        </w:tc>
        <w:tc>
          <w:tcPr>
            <w:tcW w:w="1220" w:type="dxa"/>
            <w:vAlign w:val="bottom"/>
            <w:gridSpan w:val="2"/>
            <w:shd w:val="clear" w:color="auto" w:fill="D9D9D9"/>
          </w:tcPr>
          <w:p>
            <w:pPr>
              <w:jc w:val="right"/>
              <w:ind w:right="11"/>
              <w:spacing w:after="0" w:line="141" w:lineRule="exact"/>
              <w:rPr>
                <w:sz w:val="20"/>
                <w:szCs w:val="20"/>
                <w:color w:val="auto"/>
              </w:rPr>
            </w:pPr>
            <w:r>
              <w:rPr>
                <w:rFonts w:ascii="Arial" w:cs="Arial" w:eastAsia="Arial" w:hAnsi="Arial"/>
                <w:sz w:val="13"/>
                <w:szCs w:val="13"/>
                <w:color w:val="auto"/>
              </w:rPr>
              <w:t>39,400</w:t>
            </w:r>
          </w:p>
        </w:tc>
        <w:tc>
          <w:tcPr>
            <w:tcW w:w="820" w:type="dxa"/>
            <w:vAlign w:val="bottom"/>
            <w:shd w:val="clear" w:color="auto" w:fill="D9D9D9"/>
          </w:tcPr>
          <w:p>
            <w:pPr>
              <w:jc w:val="right"/>
              <w:ind w:right="16"/>
              <w:spacing w:after="0" w:line="141" w:lineRule="exact"/>
              <w:rPr>
                <w:sz w:val="20"/>
                <w:szCs w:val="20"/>
                <w:color w:val="auto"/>
              </w:rPr>
            </w:pPr>
            <w:r>
              <w:rPr>
                <w:rFonts w:ascii="Arial" w:cs="Arial" w:eastAsia="Arial" w:hAnsi="Arial"/>
                <w:sz w:val="13"/>
                <w:szCs w:val="13"/>
                <w:color w:val="auto"/>
              </w:rPr>
              <w:t>$38.8200</w:t>
            </w:r>
          </w:p>
        </w:tc>
        <w:tc>
          <w:tcPr>
            <w:tcW w:w="960" w:type="dxa"/>
            <w:vAlign w:val="bottom"/>
            <w:shd w:val="clear" w:color="auto" w:fill="D9D9D9"/>
          </w:tcPr>
          <w:p>
            <w:pPr>
              <w:jc w:val="right"/>
              <w:ind w:right="56"/>
              <w:spacing w:after="0" w:line="141" w:lineRule="exact"/>
              <w:rPr>
                <w:sz w:val="20"/>
                <w:szCs w:val="20"/>
                <w:color w:val="auto"/>
              </w:rPr>
            </w:pPr>
            <w:r>
              <w:rPr>
                <w:rFonts w:ascii="Arial" w:cs="Arial" w:eastAsia="Arial" w:hAnsi="Arial"/>
                <w:sz w:val="13"/>
                <w:szCs w:val="13"/>
                <w:color w:val="auto"/>
              </w:rPr>
              <w:t>12/04/2025</w:t>
            </w:r>
          </w:p>
        </w:tc>
        <w:tc>
          <w:tcPr>
            <w:tcW w:w="9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1180" w:type="dxa"/>
            <w:vAlign w:val="bottom"/>
            <w:vMerge w:val="restart"/>
            <w:shd w:val="clear" w:color="auto" w:fill="D9D9D9"/>
          </w:tcPr>
          <w:p>
            <w:pPr>
              <w:jc w:val="right"/>
              <w:ind w:right="33"/>
              <w:spacing w:after="0"/>
              <w:rPr>
                <w:sz w:val="20"/>
                <w:szCs w:val="20"/>
                <w:color w:val="auto"/>
              </w:rPr>
            </w:pPr>
            <w:r>
              <w:rPr>
                <w:rFonts w:ascii="Arial" w:cs="Arial" w:eastAsia="Arial" w:hAnsi="Arial"/>
                <w:sz w:val="13"/>
                <w:szCs w:val="13"/>
                <w:color w:val="auto"/>
              </w:rPr>
              <w:t>14,400</w:t>
            </w:r>
          </w:p>
        </w:tc>
        <w:tc>
          <w:tcPr>
            <w:tcW w:w="1260" w:type="dxa"/>
            <w:vAlign w:val="bottom"/>
            <w:vMerge w:val="restart"/>
            <w:shd w:val="clear" w:color="auto" w:fill="D9D9D9"/>
          </w:tcPr>
          <w:p>
            <w:pPr>
              <w:jc w:val="right"/>
              <w:ind w:right="13"/>
              <w:spacing w:after="0"/>
              <w:rPr>
                <w:sz w:val="20"/>
                <w:szCs w:val="20"/>
                <w:color w:val="auto"/>
              </w:rPr>
            </w:pPr>
            <w:r>
              <w:rPr>
                <w:rFonts w:ascii="Arial" w:cs="Arial" w:eastAsia="Arial" w:hAnsi="Arial"/>
                <w:sz w:val="13"/>
                <w:szCs w:val="13"/>
                <w:color w:val="auto"/>
              </w:rPr>
              <w:t>$689,472</w:t>
            </w:r>
          </w:p>
        </w:tc>
        <w:tc>
          <w:tcPr>
            <w:tcW w:w="0" w:type="dxa"/>
            <w:vAlign w:val="bottom"/>
          </w:tcPr>
          <w:p>
            <w:pPr>
              <w:spacing w:after="0"/>
              <w:rPr>
                <w:sz w:val="1"/>
                <w:szCs w:val="1"/>
                <w:color w:val="auto"/>
              </w:rPr>
            </w:pPr>
          </w:p>
        </w:tc>
      </w:tr>
      <w:tr>
        <w:trPr>
          <w:trHeight w:val="129"/>
        </w:trPr>
        <w:tc>
          <w:tcPr>
            <w:tcW w:w="2920" w:type="dxa"/>
            <w:vAlign w:val="bottom"/>
            <w:vMerge w:val="continue"/>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1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vMerge w:val="continue"/>
            <w:shd w:val="clear" w:color="auto" w:fill="D9D9D9"/>
          </w:tcPr>
          <w:p>
            <w:pPr>
              <w:spacing w:after="0"/>
              <w:rPr>
                <w:sz w:val="11"/>
                <w:szCs w:val="11"/>
                <w:color w:val="auto"/>
              </w:rPr>
            </w:pPr>
          </w:p>
        </w:tc>
        <w:tc>
          <w:tcPr>
            <w:tcW w:w="126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shd w:val="clear" w:color="auto" w:fill="D9D9D9"/>
          </w:tcPr>
          <w:p>
            <w:pPr>
              <w:ind w:left="140"/>
              <w:spacing w:after="0" w:line="141" w:lineRule="exact"/>
              <w:rPr>
                <w:sz w:val="20"/>
                <w:szCs w:val="20"/>
                <w:color w:val="auto"/>
              </w:rPr>
            </w:pPr>
            <w:r>
              <w:rPr>
                <w:rFonts w:ascii="Arial" w:cs="Arial" w:eastAsia="Arial" w:hAnsi="Arial"/>
                <w:sz w:val="13"/>
                <w:szCs w:val="13"/>
                <w:color w:val="auto"/>
              </w:rPr>
              <w:t>F’16-F’18 Performance Shares</w:t>
            </w:r>
          </w:p>
        </w:tc>
        <w:tc>
          <w:tcPr>
            <w:tcW w:w="10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14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1180" w:type="dxa"/>
            <w:vAlign w:val="bottom"/>
            <w:shd w:val="clear" w:color="auto" w:fill="D9D9D9"/>
          </w:tcPr>
          <w:p>
            <w:pPr>
              <w:jc w:val="right"/>
              <w:ind w:right="33"/>
              <w:spacing w:after="0" w:line="141" w:lineRule="exact"/>
              <w:rPr>
                <w:sz w:val="20"/>
                <w:szCs w:val="20"/>
                <w:color w:val="auto"/>
              </w:rPr>
            </w:pPr>
            <w:r>
              <w:rPr>
                <w:rFonts w:ascii="Arial" w:cs="Arial" w:eastAsia="Arial" w:hAnsi="Arial"/>
                <w:sz w:val="13"/>
                <w:szCs w:val="13"/>
                <w:color w:val="auto"/>
              </w:rPr>
              <w:t>12,320</w:t>
            </w:r>
          </w:p>
        </w:tc>
        <w:tc>
          <w:tcPr>
            <w:tcW w:w="1260" w:type="dxa"/>
            <w:vAlign w:val="bottom"/>
            <w:shd w:val="clear" w:color="auto" w:fill="D9D9D9"/>
          </w:tcPr>
          <w:p>
            <w:pPr>
              <w:jc w:val="right"/>
              <w:ind w:right="13"/>
              <w:spacing w:after="0" w:line="141" w:lineRule="exact"/>
              <w:rPr>
                <w:sz w:val="20"/>
                <w:szCs w:val="20"/>
                <w:color w:val="auto"/>
              </w:rPr>
            </w:pPr>
            <w:r>
              <w:rPr>
                <w:rFonts w:ascii="Arial" w:cs="Arial" w:eastAsia="Arial" w:hAnsi="Arial"/>
                <w:sz w:val="13"/>
                <w:szCs w:val="13"/>
                <w:color w:val="auto"/>
              </w:rPr>
              <w:t>$589,882</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3"/>
                <w:szCs w:val="13"/>
                <w:color w:val="auto"/>
              </w:rPr>
              <w:t>Richard M. Olson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40"/>
              <w:spacing w:after="0" w:line="135" w:lineRule="exact"/>
              <w:rPr>
                <w:sz w:val="20"/>
                <w:szCs w:val="20"/>
                <w:color w:val="auto"/>
              </w:rPr>
            </w:pPr>
            <w:r>
              <w:rPr>
                <w:rFonts w:ascii="Arial" w:cs="Arial" w:eastAsia="Arial" w:hAnsi="Arial"/>
                <w:sz w:val="13"/>
                <w:szCs w:val="13"/>
                <w:color w:val="auto"/>
              </w:rPr>
              <w:t>Stock Options</w:t>
            </w: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7,780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$10.1825</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12/01/2019</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13,200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$15.8800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12/08/2020</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14,000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$14.1125</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12/07/2021</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12,600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$21.0300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12/11/2022</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8,000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4,000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$29.7500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12/06/2023</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6,666</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13,334</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$31.3750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12/05/2024</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140"/>
              <w:spacing w:after="0"/>
              <w:rPr>
                <w:sz w:val="20"/>
                <w:szCs w:val="20"/>
                <w:color w:val="auto"/>
              </w:rPr>
            </w:pPr>
            <w:r>
              <w:rPr>
                <w:rFonts w:ascii="Arial" w:cs="Arial" w:eastAsia="Arial" w:hAnsi="Arial"/>
                <w:sz w:val="13"/>
                <w:szCs w:val="13"/>
                <w:color w:val="auto"/>
              </w:rPr>
              <w:t>Restricted Stock Units</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0</w:t>
            </w:r>
          </w:p>
        </w:tc>
        <w:tc>
          <w:tcPr>
            <w:tcW w:w="1340" w:type="dxa"/>
            <w:vAlign w:val="bottom"/>
            <w:gridSpan w:val="3"/>
          </w:tcPr>
          <w:p>
            <w:pPr>
              <w:jc w:val="right"/>
              <w:ind w:right="11"/>
              <w:spacing w:after="0"/>
              <w:rPr>
                <w:sz w:val="20"/>
                <w:szCs w:val="20"/>
                <w:color w:val="auto"/>
              </w:rPr>
            </w:pPr>
            <w:r>
              <w:rPr>
                <w:rFonts w:ascii="Arial" w:cs="Arial" w:eastAsia="Arial" w:hAnsi="Arial"/>
                <w:sz w:val="13"/>
                <w:szCs w:val="13"/>
                <w:color w:val="auto"/>
              </w:rPr>
              <w:t>44,400</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$38.8200</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12/04/2025</w:t>
            </w:r>
          </w:p>
        </w:tc>
        <w:tc>
          <w:tcPr>
            <w:tcW w:w="940" w:type="dxa"/>
            <w:vAlign w:val="bottom"/>
            <w:vMerge w:val="restart"/>
          </w:tcPr>
          <w:p>
            <w:pPr>
              <w:jc w:val="right"/>
              <w:ind w:right="52"/>
              <w:spacing w:after="0"/>
              <w:rPr>
                <w:sz w:val="20"/>
                <w:szCs w:val="20"/>
                <w:color w:val="auto"/>
              </w:rPr>
            </w:pPr>
            <w:r>
              <w:rPr>
                <w:rFonts w:ascii="Arial" w:cs="Arial" w:eastAsia="Arial" w:hAnsi="Arial"/>
                <w:sz w:val="13"/>
                <w:szCs w:val="13"/>
                <w:color w:val="auto"/>
              </w:rPr>
              <w:t>4,974</w:t>
            </w:r>
          </w:p>
        </w:tc>
        <w:tc>
          <w:tcPr>
            <w:tcW w:w="920" w:type="dxa"/>
            <w:vAlign w:val="bottom"/>
            <w:vMerge w:val="restart"/>
          </w:tcPr>
          <w:p>
            <w:pPr>
              <w:jc w:val="right"/>
              <w:ind w:right="51"/>
              <w:spacing w:after="0"/>
              <w:rPr>
                <w:sz w:val="20"/>
                <w:szCs w:val="20"/>
                <w:color w:val="auto"/>
              </w:rPr>
            </w:pPr>
            <w:r>
              <w:rPr>
                <w:rFonts w:ascii="Arial" w:cs="Arial" w:eastAsia="Arial" w:hAnsi="Arial"/>
                <w:sz w:val="13"/>
                <w:szCs w:val="13"/>
                <w:color w:val="auto"/>
              </w:rPr>
              <w:t>$238,155</w:t>
            </w: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920" w:type="dxa"/>
            <w:vAlign w:val="bottom"/>
          </w:tcPr>
          <w:p>
            <w:pPr>
              <w:ind w:left="140"/>
              <w:spacing w:after="0"/>
              <w:rPr>
                <w:sz w:val="20"/>
                <w:szCs w:val="20"/>
                <w:color w:val="auto"/>
              </w:rPr>
            </w:pPr>
            <w:r>
              <w:rPr>
                <w:rFonts w:ascii="Arial" w:cs="Arial" w:eastAsia="Arial" w:hAnsi="Arial"/>
                <w:sz w:val="13"/>
                <w:szCs w:val="13"/>
                <w:color w:val="auto"/>
              </w:rPr>
              <w:t>F’15-F’17 Performance Shares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7,440</w:t>
            </w:r>
          </w:p>
        </w:tc>
        <w:tc>
          <w:tcPr>
            <w:tcW w:w="1260" w:type="dxa"/>
            <w:vAlign w:val="bottom"/>
          </w:tcPr>
          <w:p>
            <w:pPr>
              <w:jc w:val="right"/>
              <w:ind w:right="13"/>
              <w:spacing w:after="0"/>
              <w:rPr>
                <w:sz w:val="20"/>
                <w:szCs w:val="20"/>
                <w:color w:val="auto"/>
              </w:rPr>
            </w:pPr>
            <w:r>
              <w:rPr>
                <w:rFonts w:ascii="Arial" w:cs="Arial" w:eastAsia="Arial" w:hAnsi="Arial"/>
                <w:sz w:val="13"/>
                <w:szCs w:val="13"/>
                <w:color w:val="auto"/>
              </w:rPr>
              <w:t>$356,227</w:t>
            </w:r>
          </w:p>
        </w:tc>
        <w:tc>
          <w:tcPr>
            <w:tcW w:w="0" w:type="dxa"/>
            <w:vAlign w:val="bottom"/>
          </w:tcPr>
          <w:p>
            <w:pPr>
              <w:spacing w:after="0"/>
              <w:rPr>
                <w:sz w:val="1"/>
                <w:szCs w:val="1"/>
                <w:color w:val="auto"/>
              </w:rPr>
            </w:pPr>
          </w:p>
        </w:tc>
      </w:tr>
      <w:tr>
        <w:trPr>
          <w:trHeight w:val="141"/>
        </w:trPr>
        <w:tc>
          <w:tcPr>
            <w:tcW w:w="2920" w:type="dxa"/>
            <w:vAlign w:val="bottom"/>
          </w:tcPr>
          <w:p>
            <w:pPr>
              <w:ind w:left="140"/>
              <w:spacing w:after="0" w:line="141" w:lineRule="exact"/>
              <w:rPr>
                <w:sz w:val="20"/>
                <w:szCs w:val="20"/>
                <w:color w:val="auto"/>
              </w:rPr>
            </w:pPr>
            <w:r>
              <w:rPr>
                <w:rFonts w:ascii="Arial" w:cs="Arial" w:eastAsia="Arial" w:hAnsi="Arial"/>
                <w:sz w:val="13"/>
                <w:szCs w:val="13"/>
                <w:color w:val="auto"/>
              </w:rPr>
              <w:t>F’16-F’18 Performance Shares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13,860</w:t>
            </w:r>
          </w:p>
        </w:tc>
        <w:tc>
          <w:tcPr>
            <w:tcW w:w="1260" w:type="dxa"/>
            <w:vAlign w:val="bottom"/>
          </w:tcPr>
          <w:p>
            <w:pPr>
              <w:jc w:val="right"/>
              <w:ind w:right="13"/>
              <w:spacing w:after="0" w:line="141" w:lineRule="exact"/>
              <w:rPr>
                <w:sz w:val="20"/>
                <w:szCs w:val="20"/>
                <w:color w:val="auto"/>
              </w:rPr>
            </w:pPr>
            <w:r>
              <w:rPr>
                <w:rFonts w:ascii="Arial" w:cs="Arial" w:eastAsia="Arial" w:hAnsi="Arial"/>
                <w:sz w:val="13"/>
                <w:szCs w:val="13"/>
                <w:color w:val="auto"/>
              </w:rPr>
              <w:t>$663,617</w:t>
            </w:r>
          </w:p>
        </w:tc>
        <w:tc>
          <w:tcPr>
            <w:tcW w:w="0" w:type="dxa"/>
            <w:vAlign w:val="bottom"/>
          </w:tcPr>
          <w:p>
            <w:pPr>
              <w:spacing w:after="0"/>
              <w:rPr>
                <w:sz w:val="1"/>
                <w:szCs w:val="1"/>
                <w:color w:val="auto"/>
              </w:rPr>
            </w:pPr>
          </w:p>
        </w:tc>
      </w:tr>
      <w:tr>
        <w:trPr>
          <w:trHeight w:val="129"/>
        </w:trPr>
        <w:tc>
          <w:tcPr>
            <w:tcW w:w="2920" w:type="dxa"/>
            <w:vAlign w:val="bottom"/>
            <w:shd w:val="clear" w:color="auto" w:fill="D9D9D9"/>
          </w:tcPr>
          <w:p>
            <w:pPr>
              <w:spacing w:after="0" w:line="129" w:lineRule="exact"/>
              <w:rPr>
                <w:sz w:val="20"/>
                <w:szCs w:val="20"/>
                <w:color w:val="auto"/>
              </w:rPr>
            </w:pPr>
            <w:r>
              <w:rPr>
                <w:rFonts w:ascii="Arial" w:cs="Arial" w:eastAsia="Arial" w:hAnsi="Arial"/>
                <w:sz w:val="13"/>
                <w:szCs w:val="13"/>
                <w:color w:val="auto"/>
              </w:rPr>
              <w:t>William E. Brown, Jr.</w:t>
            </w:r>
          </w:p>
        </w:tc>
        <w:tc>
          <w:tcPr>
            <w:tcW w:w="10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1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ind w:left="140"/>
              <w:spacing w:after="0" w:line="135" w:lineRule="exact"/>
              <w:rPr>
                <w:sz w:val="20"/>
                <w:szCs w:val="20"/>
                <w:color w:val="auto"/>
              </w:rPr>
            </w:pPr>
            <w:r>
              <w:rPr>
                <w:rFonts w:ascii="Arial" w:cs="Arial" w:eastAsia="Arial" w:hAnsi="Arial"/>
                <w:sz w:val="13"/>
                <w:szCs w:val="13"/>
                <w:color w:val="auto"/>
              </w:rPr>
              <w:t>Stock Options</w:t>
            </w: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10,136</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$ 7.1550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12/03/2018</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38,000</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$10.1825</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12/01/2019</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24,800</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$15.8800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12/08/2020</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23,600</w:t>
            </w:r>
          </w:p>
        </w:tc>
        <w:tc>
          <w:tcPr>
            <w:tcW w:w="1340" w:type="dxa"/>
            <w:vAlign w:val="bottom"/>
            <w:gridSpan w:val="3"/>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$14.1125</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12/07/2021</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33,600</w:t>
            </w:r>
          </w:p>
        </w:tc>
        <w:tc>
          <w:tcPr>
            <w:tcW w:w="120" w:type="dxa"/>
            <w:vAlign w:val="bottom"/>
            <w:shd w:val="clear" w:color="auto" w:fill="D9D9D9"/>
          </w:tcPr>
          <w:p>
            <w:pPr>
              <w:spacing w:after="0"/>
              <w:rPr>
                <w:sz w:val="11"/>
                <w:szCs w:val="11"/>
                <w:color w:val="auto"/>
              </w:rPr>
            </w:pPr>
          </w:p>
        </w:tc>
        <w:tc>
          <w:tcPr>
            <w:tcW w:w="1220" w:type="dxa"/>
            <w:vAlign w:val="bottom"/>
            <w:gridSpan w:val="2"/>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$21.0300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12/11/2022</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16,000</w:t>
            </w: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140" w:type="dxa"/>
            <w:vAlign w:val="bottom"/>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8,000</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$29.7500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12/06/2023</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D9D9D9"/>
          </w:tcPr>
          <w:p>
            <w:pPr>
              <w:spacing w:after="0"/>
              <w:rPr>
                <w:sz w:val="11"/>
                <w:szCs w:val="11"/>
                <w:color w:val="auto"/>
              </w:rPr>
            </w:pPr>
          </w:p>
        </w:tc>
        <w:tc>
          <w:tcPr>
            <w:tcW w:w="108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7,532</w:t>
            </w: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140" w:type="dxa"/>
            <w:vAlign w:val="bottom"/>
            <w:shd w:val="clear" w:color="auto" w:fill="D9D9D9"/>
          </w:tcPr>
          <w:p>
            <w:pPr>
              <w:jc w:val="right"/>
              <w:ind w:right="11"/>
              <w:spacing w:after="0" w:line="135" w:lineRule="exact"/>
              <w:rPr>
                <w:sz w:val="20"/>
                <w:szCs w:val="20"/>
                <w:color w:val="auto"/>
              </w:rPr>
            </w:pPr>
            <w:r>
              <w:rPr>
                <w:rFonts w:ascii="Arial" w:cs="Arial" w:eastAsia="Arial" w:hAnsi="Arial"/>
                <w:sz w:val="13"/>
                <w:szCs w:val="13"/>
                <w:color w:val="auto"/>
              </w:rPr>
              <w:t>15,068</w:t>
            </w:r>
          </w:p>
        </w:tc>
        <w:tc>
          <w:tcPr>
            <w:tcW w:w="820" w:type="dxa"/>
            <w:vAlign w:val="bottom"/>
            <w:shd w:val="clear" w:color="auto" w:fill="D9D9D9"/>
          </w:tcPr>
          <w:p>
            <w:pPr>
              <w:jc w:val="right"/>
              <w:ind w:right="16"/>
              <w:spacing w:after="0" w:line="135" w:lineRule="exact"/>
              <w:rPr>
                <w:sz w:val="20"/>
                <w:szCs w:val="20"/>
                <w:color w:val="auto"/>
              </w:rPr>
            </w:pPr>
            <w:r>
              <w:rPr>
                <w:rFonts w:ascii="Arial" w:cs="Arial" w:eastAsia="Arial" w:hAnsi="Arial"/>
                <w:sz w:val="13"/>
                <w:szCs w:val="13"/>
                <w:color w:val="auto"/>
              </w:rPr>
              <w:t>$31.3750</w:t>
            </w:r>
          </w:p>
        </w:tc>
        <w:tc>
          <w:tcPr>
            <w:tcW w:w="960" w:type="dxa"/>
            <w:vAlign w:val="bottom"/>
            <w:shd w:val="clear" w:color="auto" w:fill="D9D9D9"/>
          </w:tcPr>
          <w:p>
            <w:pPr>
              <w:jc w:val="right"/>
              <w:ind w:right="56"/>
              <w:spacing w:after="0" w:line="135" w:lineRule="exact"/>
              <w:rPr>
                <w:sz w:val="20"/>
                <w:szCs w:val="20"/>
                <w:color w:val="auto"/>
              </w:rPr>
            </w:pPr>
            <w:r>
              <w:rPr>
                <w:rFonts w:ascii="Arial" w:cs="Arial" w:eastAsia="Arial" w:hAnsi="Arial"/>
                <w:sz w:val="13"/>
                <w:szCs w:val="13"/>
                <w:color w:val="auto"/>
              </w:rPr>
              <w:t>12/05/2024</w:t>
            </w:r>
          </w:p>
        </w:tc>
        <w:tc>
          <w:tcPr>
            <w:tcW w:w="94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vMerge w:val="restart"/>
            <w:shd w:val="clear" w:color="auto" w:fill="D9D9D9"/>
          </w:tcPr>
          <w:p>
            <w:pPr>
              <w:ind w:left="140"/>
              <w:spacing w:after="0"/>
              <w:rPr>
                <w:sz w:val="20"/>
                <w:szCs w:val="20"/>
                <w:color w:val="auto"/>
              </w:rPr>
            </w:pPr>
            <w:r>
              <w:rPr>
                <w:rFonts w:ascii="Arial" w:cs="Arial" w:eastAsia="Arial" w:hAnsi="Arial"/>
                <w:sz w:val="13"/>
                <w:szCs w:val="13"/>
                <w:color w:val="auto"/>
              </w:rPr>
              <w:t>Restricted Stock Units</w:t>
            </w:r>
          </w:p>
        </w:tc>
        <w:tc>
          <w:tcPr>
            <w:tcW w:w="1080" w:type="dxa"/>
            <w:vAlign w:val="bottom"/>
            <w:shd w:val="clear" w:color="auto" w:fill="D9D9D9"/>
          </w:tcPr>
          <w:p>
            <w:pPr>
              <w:jc w:val="right"/>
              <w:ind w:right="16"/>
              <w:spacing w:after="0" w:line="141" w:lineRule="exact"/>
              <w:rPr>
                <w:sz w:val="20"/>
                <w:szCs w:val="20"/>
                <w:color w:val="auto"/>
              </w:rPr>
            </w:pPr>
            <w:r>
              <w:rPr>
                <w:rFonts w:ascii="Arial" w:cs="Arial" w:eastAsia="Arial" w:hAnsi="Arial"/>
                <w:sz w:val="13"/>
                <w:szCs w:val="13"/>
                <w:color w:val="auto"/>
              </w:rPr>
              <w:t>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140" w:type="dxa"/>
            <w:vAlign w:val="bottom"/>
            <w:shd w:val="clear" w:color="auto" w:fill="D9D9D9"/>
          </w:tcPr>
          <w:p>
            <w:pPr>
              <w:jc w:val="right"/>
              <w:ind w:right="11"/>
              <w:spacing w:after="0" w:line="141" w:lineRule="exact"/>
              <w:rPr>
                <w:sz w:val="20"/>
                <w:szCs w:val="20"/>
                <w:color w:val="auto"/>
              </w:rPr>
            </w:pPr>
            <w:r>
              <w:rPr>
                <w:rFonts w:ascii="Arial" w:cs="Arial" w:eastAsia="Arial" w:hAnsi="Arial"/>
                <w:sz w:val="13"/>
                <w:szCs w:val="13"/>
                <w:color w:val="auto"/>
              </w:rPr>
              <w:t>24,600</w:t>
            </w:r>
          </w:p>
        </w:tc>
        <w:tc>
          <w:tcPr>
            <w:tcW w:w="820" w:type="dxa"/>
            <w:vAlign w:val="bottom"/>
            <w:shd w:val="clear" w:color="auto" w:fill="D9D9D9"/>
          </w:tcPr>
          <w:p>
            <w:pPr>
              <w:jc w:val="right"/>
              <w:ind w:right="16"/>
              <w:spacing w:after="0" w:line="141" w:lineRule="exact"/>
              <w:rPr>
                <w:sz w:val="20"/>
                <w:szCs w:val="20"/>
                <w:color w:val="auto"/>
              </w:rPr>
            </w:pPr>
            <w:r>
              <w:rPr>
                <w:rFonts w:ascii="Arial" w:cs="Arial" w:eastAsia="Arial" w:hAnsi="Arial"/>
                <w:sz w:val="13"/>
                <w:szCs w:val="13"/>
                <w:color w:val="auto"/>
              </w:rPr>
              <w:t>$38.8200</w:t>
            </w:r>
          </w:p>
        </w:tc>
        <w:tc>
          <w:tcPr>
            <w:tcW w:w="960" w:type="dxa"/>
            <w:vAlign w:val="bottom"/>
            <w:shd w:val="clear" w:color="auto" w:fill="D9D9D9"/>
          </w:tcPr>
          <w:p>
            <w:pPr>
              <w:jc w:val="right"/>
              <w:ind w:right="56"/>
              <w:spacing w:after="0" w:line="141" w:lineRule="exact"/>
              <w:rPr>
                <w:sz w:val="20"/>
                <w:szCs w:val="20"/>
                <w:color w:val="auto"/>
              </w:rPr>
            </w:pPr>
            <w:r>
              <w:rPr>
                <w:rFonts w:ascii="Arial" w:cs="Arial" w:eastAsia="Arial" w:hAnsi="Arial"/>
                <w:sz w:val="13"/>
                <w:szCs w:val="13"/>
                <w:color w:val="auto"/>
              </w:rPr>
              <w:t>12/04/2025</w:t>
            </w:r>
          </w:p>
        </w:tc>
        <w:tc>
          <w:tcPr>
            <w:tcW w:w="940" w:type="dxa"/>
            <w:vAlign w:val="bottom"/>
            <w:vMerge w:val="restart"/>
            <w:shd w:val="clear" w:color="auto" w:fill="D9D9D9"/>
          </w:tcPr>
          <w:p>
            <w:pPr>
              <w:jc w:val="right"/>
              <w:ind w:right="52"/>
              <w:spacing w:after="0"/>
              <w:rPr>
                <w:sz w:val="20"/>
                <w:szCs w:val="20"/>
                <w:color w:val="auto"/>
              </w:rPr>
            </w:pPr>
            <w:r>
              <w:rPr>
                <w:rFonts w:ascii="Arial" w:cs="Arial" w:eastAsia="Arial" w:hAnsi="Arial"/>
                <w:sz w:val="13"/>
                <w:szCs w:val="13"/>
                <w:color w:val="auto"/>
              </w:rPr>
              <w:t>8,142</w:t>
            </w:r>
          </w:p>
        </w:tc>
        <w:tc>
          <w:tcPr>
            <w:tcW w:w="920" w:type="dxa"/>
            <w:vAlign w:val="bottom"/>
            <w:vMerge w:val="restart"/>
            <w:shd w:val="clear" w:color="auto" w:fill="D9D9D9"/>
          </w:tcPr>
          <w:p>
            <w:pPr>
              <w:jc w:val="right"/>
              <w:ind w:right="51"/>
              <w:spacing w:after="0"/>
              <w:rPr>
                <w:sz w:val="20"/>
                <w:szCs w:val="20"/>
                <w:color w:val="auto"/>
              </w:rPr>
            </w:pPr>
            <w:r>
              <w:rPr>
                <w:rFonts w:ascii="Arial" w:cs="Arial" w:eastAsia="Arial" w:hAnsi="Arial"/>
                <w:sz w:val="13"/>
                <w:szCs w:val="13"/>
                <w:color w:val="auto"/>
              </w:rPr>
              <w:t>$389,839</w:t>
            </w:r>
          </w:p>
        </w:tc>
        <w:tc>
          <w:tcPr>
            <w:tcW w:w="1180" w:type="dxa"/>
            <w:vAlign w:val="bottom"/>
            <w:shd w:val="clear" w:color="auto" w:fill="D9D9D9"/>
          </w:tcPr>
          <w:p>
            <w:pPr>
              <w:spacing w:after="0"/>
              <w:rPr>
                <w:sz w:val="12"/>
                <w:szCs w:val="12"/>
                <w:color w:val="auto"/>
              </w:rPr>
            </w:pPr>
          </w:p>
        </w:tc>
        <w:tc>
          <w:tcPr>
            <w:tcW w:w="12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vMerge w:val="continue"/>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1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940" w:type="dxa"/>
            <w:vAlign w:val="bottom"/>
            <w:vMerge w:val="continue"/>
            <w:shd w:val="clear" w:color="auto" w:fill="D9D9D9"/>
          </w:tcPr>
          <w:p>
            <w:pPr>
              <w:spacing w:after="0"/>
              <w:rPr>
                <w:sz w:val="11"/>
                <w:szCs w:val="11"/>
                <w:color w:val="auto"/>
              </w:rPr>
            </w:pPr>
          </w:p>
        </w:tc>
        <w:tc>
          <w:tcPr>
            <w:tcW w:w="920" w:type="dxa"/>
            <w:vAlign w:val="bottom"/>
            <w:vMerge w:val="continue"/>
            <w:shd w:val="clear" w:color="auto" w:fill="D9D9D9"/>
          </w:tcPr>
          <w:p>
            <w:pPr>
              <w:spacing w:after="0"/>
              <w:rPr>
                <w:sz w:val="11"/>
                <w:szCs w:val="11"/>
                <w:color w:val="auto"/>
              </w:rPr>
            </w:pPr>
          </w:p>
        </w:tc>
        <w:tc>
          <w:tcPr>
            <w:tcW w:w="1180" w:type="dxa"/>
            <w:vAlign w:val="bottom"/>
            <w:shd w:val="clear" w:color="auto" w:fill="D9D9D9"/>
          </w:tcPr>
          <w:p>
            <w:pPr>
              <w:spacing w:after="0"/>
              <w:rPr>
                <w:sz w:val="11"/>
                <w:szCs w:val="11"/>
                <w:color w:val="auto"/>
              </w:rPr>
            </w:pPr>
          </w:p>
        </w:tc>
        <w:tc>
          <w:tcPr>
            <w:tcW w:w="12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2920" w:type="dxa"/>
            <w:vAlign w:val="bottom"/>
            <w:shd w:val="clear" w:color="auto" w:fill="D9D9D9"/>
          </w:tcPr>
          <w:p>
            <w:pPr>
              <w:ind w:left="140"/>
              <w:spacing w:after="0"/>
              <w:rPr>
                <w:sz w:val="20"/>
                <w:szCs w:val="20"/>
                <w:color w:val="auto"/>
              </w:rPr>
            </w:pPr>
            <w:r>
              <w:rPr>
                <w:rFonts w:ascii="Arial" w:cs="Arial" w:eastAsia="Arial" w:hAnsi="Arial"/>
                <w:sz w:val="13"/>
                <w:szCs w:val="13"/>
                <w:color w:val="auto"/>
              </w:rPr>
              <w:t>F’15-F’17 Performance Shares</w:t>
            </w:r>
          </w:p>
        </w:tc>
        <w:tc>
          <w:tcPr>
            <w:tcW w:w="10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18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8,400</w:t>
            </w:r>
          </w:p>
        </w:tc>
        <w:tc>
          <w:tcPr>
            <w:tcW w:w="1260" w:type="dxa"/>
            <w:vAlign w:val="bottom"/>
            <w:shd w:val="clear" w:color="auto" w:fill="D9D9D9"/>
          </w:tcPr>
          <w:p>
            <w:pPr>
              <w:jc w:val="right"/>
              <w:ind w:right="13"/>
              <w:spacing w:after="0"/>
              <w:rPr>
                <w:sz w:val="20"/>
                <w:szCs w:val="20"/>
                <w:color w:val="auto"/>
              </w:rPr>
            </w:pPr>
            <w:r>
              <w:rPr>
                <w:rFonts w:ascii="Arial" w:cs="Arial" w:eastAsia="Arial" w:hAnsi="Arial"/>
                <w:sz w:val="13"/>
                <w:szCs w:val="13"/>
                <w:color w:val="auto"/>
              </w:rPr>
              <w:t>$402,192</w:t>
            </w:r>
          </w:p>
        </w:tc>
        <w:tc>
          <w:tcPr>
            <w:tcW w:w="0" w:type="dxa"/>
            <w:vAlign w:val="bottom"/>
          </w:tcPr>
          <w:p>
            <w:pPr>
              <w:spacing w:after="0"/>
              <w:rPr>
                <w:sz w:val="1"/>
                <w:szCs w:val="1"/>
                <w:color w:val="auto"/>
              </w:rPr>
            </w:pPr>
          </w:p>
        </w:tc>
      </w:tr>
      <w:tr>
        <w:trPr>
          <w:trHeight w:val="141"/>
        </w:trPr>
        <w:tc>
          <w:tcPr>
            <w:tcW w:w="2920" w:type="dxa"/>
            <w:vAlign w:val="bottom"/>
            <w:shd w:val="clear" w:color="auto" w:fill="D9D9D9"/>
          </w:tcPr>
          <w:p>
            <w:pPr>
              <w:ind w:left="140"/>
              <w:spacing w:after="0" w:line="141" w:lineRule="exact"/>
              <w:rPr>
                <w:sz w:val="20"/>
                <w:szCs w:val="20"/>
                <w:color w:val="auto"/>
              </w:rPr>
            </w:pPr>
            <w:r>
              <w:rPr>
                <w:rFonts w:ascii="Arial" w:cs="Arial" w:eastAsia="Arial" w:hAnsi="Arial"/>
                <w:sz w:val="13"/>
                <w:szCs w:val="13"/>
                <w:color w:val="auto"/>
              </w:rPr>
              <w:t>F’16-F’18 Performance Shares</w:t>
            </w:r>
          </w:p>
        </w:tc>
        <w:tc>
          <w:tcPr>
            <w:tcW w:w="10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14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1180" w:type="dxa"/>
            <w:vAlign w:val="bottom"/>
            <w:shd w:val="clear" w:color="auto" w:fill="D9D9D9"/>
          </w:tcPr>
          <w:p>
            <w:pPr>
              <w:jc w:val="right"/>
              <w:ind w:right="33"/>
              <w:spacing w:after="0" w:line="141" w:lineRule="exact"/>
              <w:rPr>
                <w:sz w:val="20"/>
                <w:szCs w:val="20"/>
                <w:color w:val="auto"/>
              </w:rPr>
            </w:pPr>
            <w:r>
              <w:rPr>
                <w:rFonts w:ascii="Arial" w:cs="Arial" w:eastAsia="Arial" w:hAnsi="Arial"/>
                <w:sz w:val="13"/>
                <w:szCs w:val="13"/>
                <w:color w:val="auto"/>
              </w:rPr>
              <w:t>7,700</w:t>
            </w:r>
          </w:p>
        </w:tc>
        <w:tc>
          <w:tcPr>
            <w:tcW w:w="1260" w:type="dxa"/>
            <w:vAlign w:val="bottom"/>
            <w:shd w:val="clear" w:color="auto" w:fill="D9D9D9"/>
          </w:tcPr>
          <w:p>
            <w:pPr>
              <w:jc w:val="right"/>
              <w:ind w:right="13"/>
              <w:spacing w:after="0" w:line="141" w:lineRule="exact"/>
              <w:rPr>
                <w:sz w:val="20"/>
                <w:szCs w:val="20"/>
                <w:color w:val="auto"/>
              </w:rPr>
            </w:pPr>
            <w:r>
              <w:rPr>
                <w:rFonts w:ascii="Arial" w:cs="Arial" w:eastAsia="Arial" w:hAnsi="Arial"/>
                <w:sz w:val="13"/>
                <w:szCs w:val="13"/>
                <w:color w:val="auto"/>
              </w:rPr>
              <w:t>$368,676</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3"/>
                <w:szCs w:val="13"/>
                <w:color w:val="auto"/>
              </w:rPr>
              <w:t>Timothy P. Dordell</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40"/>
              <w:spacing w:after="0" w:line="135" w:lineRule="exact"/>
              <w:rPr>
                <w:sz w:val="20"/>
                <w:szCs w:val="20"/>
                <w:color w:val="auto"/>
              </w:rPr>
            </w:pPr>
            <w:r>
              <w:rPr>
                <w:rFonts w:ascii="Arial" w:cs="Arial" w:eastAsia="Arial" w:hAnsi="Arial"/>
                <w:sz w:val="13"/>
                <w:szCs w:val="13"/>
                <w:color w:val="auto"/>
              </w:rPr>
              <w:t>Stock Options</w:t>
            </w: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64,000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$10.1825</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12/01/2019</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46,000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$15.8800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12/08/2020</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44,800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$14.1125</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12/07/2021</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31,000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$21.0300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12/11/2022</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16,000</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8,000</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$29.7500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12/06/2023</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tcPr>
          <w:p>
            <w:pPr>
              <w:jc w:val="right"/>
              <w:ind w:right="16"/>
              <w:spacing w:after="0" w:line="135" w:lineRule="exact"/>
              <w:rPr>
                <w:sz w:val="20"/>
                <w:szCs w:val="20"/>
                <w:color w:val="auto"/>
              </w:rPr>
            </w:pPr>
            <w:r>
              <w:rPr>
                <w:rFonts w:ascii="Arial" w:cs="Arial" w:eastAsia="Arial" w:hAnsi="Arial"/>
                <w:sz w:val="13"/>
                <w:szCs w:val="13"/>
                <w:color w:val="auto"/>
              </w:rPr>
              <w:t>7,932</w:t>
            </w:r>
          </w:p>
        </w:tc>
        <w:tc>
          <w:tcPr>
            <w:tcW w:w="1340" w:type="dxa"/>
            <w:vAlign w:val="bottom"/>
            <w:gridSpan w:val="3"/>
          </w:tcPr>
          <w:p>
            <w:pPr>
              <w:jc w:val="right"/>
              <w:ind w:right="11"/>
              <w:spacing w:after="0" w:line="135" w:lineRule="exact"/>
              <w:rPr>
                <w:sz w:val="20"/>
                <w:szCs w:val="20"/>
                <w:color w:val="auto"/>
              </w:rPr>
            </w:pPr>
            <w:r>
              <w:rPr>
                <w:rFonts w:ascii="Arial" w:cs="Arial" w:eastAsia="Arial" w:hAnsi="Arial"/>
                <w:sz w:val="13"/>
                <w:szCs w:val="13"/>
                <w:color w:val="auto"/>
              </w:rPr>
              <w:t>15,868</w:t>
            </w:r>
          </w:p>
        </w:tc>
        <w:tc>
          <w:tcPr>
            <w:tcW w:w="820" w:type="dxa"/>
            <w:vAlign w:val="bottom"/>
          </w:tcPr>
          <w:p>
            <w:pPr>
              <w:jc w:val="right"/>
              <w:ind w:right="16"/>
              <w:spacing w:after="0" w:line="135" w:lineRule="exact"/>
              <w:rPr>
                <w:sz w:val="20"/>
                <w:szCs w:val="20"/>
                <w:color w:val="auto"/>
              </w:rPr>
            </w:pPr>
            <w:r>
              <w:rPr>
                <w:rFonts w:ascii="Arial" w:cs="Arial" w:eastAsia="Arial" w:hAnsi="Arial"/>
                <w:sz w:val="13"/>
                <w:szCs w:val="13"/>
                <w:color w:val="auto"/>
              </w:rPr>
              <w:t>$31.3750</w:t>
            </w:r>
          </w:p>
        </w:tc>
        <w:tc>
          <w:tcPr>
            <w:tcW w:w="96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12/05/2024</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140"/>
              <w:spacing w:after="0"/>
              <w:rPr>
                <w:sz w:val="20"/>
                <w:szCs w:val="20"/>
                <w:color w:val="auto"/>
              </w:rPr>
            </w:pPr>
            <w:r>
              <w:rPr>
                <w:rFonts w:ascii="Arial" w:cs="Arial" w:eastAsia="Arial" w:hAnsi="Arial"/>
                <w:sz w:val="13"/>
                <w:szCs w:val="13"/>
                <w:color w:val="auto"/>
              </w:rPr>
              <w:t>F’15-F’17 Performance Shares</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0</w:t>
            </w:r>
          </w:p>
        </w:tc>
        <w:tc>
          <w:tcPr>
            <w:tcW w:w="1340" w:type="dxa"/>
            <w:vAlign w:val="bottom"/>
            <w:gridSpan w:val="3"/>
          </w:tcPr>
          <w:p>
            <w:pPr>
              <w:jc w:val="right"/>
              <w:ind w:right="11"/>
              <w:spacing w:after="0"/>
              <w:rPr>
                <w:sz w:val="20"/>
                <w:szCs w:val="20"/>
                <w:color w:val="auto"/>
              </w:rPr>
            </w:pPr>
            <w:r>
              <w:rPr>
                <w:rFonts w:ascii="Arial" w:cs="Arial" w:eastAsia="Arial" w:hAnsi="Arial"/>
                <w:sz w:val="13"/>
                <w:szCs w:val="13"/>
                <w:color w:val="auto"/>
              </w:rPr>
              <w:t>23,400</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$38.8200</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12/04/2025</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vMerge w:val="restart"/>
          </w:tcPr>
          <w:p>
            <w:pPr>
              <w:jc w:val="right"/>
              <w:ind w:right="33"/>
              <w:spacing w:after="0"/>
              <w:rPr>
                <w:sz w:val="20"/>
                <w:szCs w:val="20"/>
                <w:color w:val="auto"/>
              </w:rPr>
            </w:pPr>
            <w:r>
              <w:rPr>
                <w:rFonts w:ascii="Arial" w:cs="Arial" w:eastAsia="Arial" w:hAnsi="Arial"/>
                <w:sz w:val="13"/>
                <w:szCs w:val="13"/>
                <w:color w:val="auto"/>
              </w:rPr>
              <w:t>9,120</w:t>
            </w:r>
          </w:p>
        </w:tc>
        <w:tc>
          <w:tcPr>
            <w:tcW w:w="1260" w:type="dxa"/>
            <w:vAlign w:val="bottom"/>
            <w:vMerge w:val="restart"/>
          </w:tcPr>
          <w:p>
            <w:pPr>
              <w:jc w:val="right"/>
              <w:ind w:right="13"/>
              <w:spacing w:after="0"/>
              <w:rPr>
                <w:sz w:val="20"/>
                <w:szCs w:val="20"/>
                <w:color w:val="auto"/>
              </w:rPr>
            </w:pPr>
            <w:r>
              <w:rPr>
                <w:rFonts w:ascii="Arial" w:cs="Arial" w:eastAsia="Arial" w:hAnsi="Arial"/>
                <w:sz w:val="13"/>
                <w:szCs w:val="13"/>
                <w:color w:val="auto"/>
              </w:rPr>
              <w:t>$436,666</w:t>
            </w:r>
          </w:p>
        </w:tc>
        <w:tc>
          <w:tcPr>
            <w:tcW w:w="0" w:type="dxa"/>
            <w:vAlign w:val="bottom"/>
          </w:tcPr>
          <w:p>
            <w:pPr>
              <w:spacing w:after="0"/>
              <w:rPr>
                <w:sz w:val="1"/>
                <w:szCs w:val="1"/>
                <w:color w:val="auto"/>
              </w:rPr>
            </w:pPr>
          </w:p>
        </w:tc>
      </w:tr>
      <w:tr>
        <w:trPr>
          <w:trHeight w:val="118"/>
        </w:trPr>
        <w:tc>
          <w:tcPr>
            <w:tcW w:w="29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140"/>
              <w:spacing w:after="0"/>
              <w:rPr>
                <w:sz w:val="20"/>
                <w:szCs w:val="20"/>
                <w:color w:val="auto"/>
              </w:rPr>
            </w:pPr>
            <w:r>
              <w:rPr>
                <w:rFonts w:ascii="Arial" w:cs="Arial" w:eastAsia="Arial" w:hAnsi="Arial"/>
                <w:sz w:val="13"/>
                <w:szCs w:val="13"/>
                <w:color w:val="auto"/>
              </w:rPr>
              <w:t>F’16-F’18 Performance Shares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7,260</w:t>
            </w:r>
          </w:p>
        </w:tc>
        <w:tc>
          <w:tcPr>
            <w:tcW w:w="1260" w:type="dxa"/>
            <w:vAlign w:val="bottom"/>
          </w:tcPr>
          <w:p>
            <w:pPr>
              <w:jc w:val="right"/>
              <w:ind w:right="13"/>
              <w:spacing w:after="0"/>
              <w:rPr>
                <w:sz w:val="20"/>
                <w:szCs w:val="20"/>
                <w:color w:val="auto"/>
              </w:rPr>
            </w:pPr>
            <w:r>
              <w:rPr>
                <w:rFonts w:ascii="Arial" w:cs="Arial" w:eastAsia="Arial" w:hAnsi="Arial"/>
                <w:sz w:val="13"/>
                <w:szCs w:val="13"/>
                <w:color w:val="auto"/>
              </w:rPr>
              <w:t>$347,609</w:t>
            </w:r>
          </w:p>
        </w:tc>
        <w:tc>
          <w:tcPr>
            <w:tcW w:w="0" w:type="dxa"/>
            <w:vAlign w:val="bottom"/>
          </w:tcPr>
          <w:p>
            <w:pPr>
              <w:spacing w:after="0"/>
              <w:rPr>
                <w:sz w:val="1"/>
                <w:szCs w:val="1"/>
                <w:color w:val="auto"/>
              </w:rPr>
            </w:pPr>
          </w:p>
        </w:tc>
      </w:tr>
      <w:tr>
        <w:trPr>
          <w:trHeight w:val="138"/>
        </w:trPr>
        <w:tc>
          <w:tcPr>
            <w:tcW w:w="2920" w:type="dxa"/>
            <w:vAlign w:val="bottom"/>
            <w:tcBorders>
              <w:bottom w:val="single" w:sz="8" w:color="C00000"/>
            </w:tcBorders>
          </w:tcPr>
          <w:p>
            <w:pPr>
              <w:spacing w:after="0"/>
              <w:rPr>
                <w:sz w:val="11"/>
                <w:szCs w:val="11"/>
                <w:color w:val="auto"/>
              </w:rPr>
            </w:pPr>
          </w:p>
        </w:tc>
        <w:tc>
          <w:tcPr>
            <w:tcW w:w="1080" w:type="dxa"/>
            <w:vAlign w:val="bottom"/>
            <w:tcBorders>
              <w:bottom w:val="single" w:sz="8" w:color="C00000"/>
            </w:tcBorders>
          </w:tcPr>
          <w:p>
            <w:pPr>
              <w:spacing w:after="0"/>
              <w:rPr>
                <w:sz w:val="11"/>
                <w:szCs w:val="11"/>
                <w:color w:val="auto"/>
              </w:rPr>
            </w:pPr>
          </w:p>
        </w:tc>
        <w:tc>
          <w:tcPr>
            <w:tcW w:w="120" w:type="dxa"/>
            <w:vAlign w:val="bottom"/>
            <w:tcBorders>
              <w:bottom w:val="single" w:sz="8" w:color="C00000"/>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-5925185</wp:posOffset>
            </wp:positionV>
            <wp:extent cx="52654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4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Stock options have a ten-year term and vest ratably in three equal installments on each of the first, second and third year anniversaries of the date of grant. The vesting schedule for options unexercisable as of October 31, 2016 is as follows:</w:t>
      </w:r>
    </w:p>
    <w:p>
      <w:pPr>
        <w:spacing w:after="0" w:line="21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8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2720" w:type="dxa"/>
            <w:vAlign w:val="bottom"/>
            <w:shd w:val="clear" w:color="auto" w:fill="C00000"/>
          </w:tcPr>
          <w:p>
            <w:pPr>
              <w:spacing w:after="0"/>
              <w:rPr>
                <w:sz w:val="14"/>
                <w:szCs w:val="14"/>
                <w:color w:val="auto"/>
              </w:rPr>
            </w:pPr>
          </w:p>
        </w:tc>
        <w:tc>
          <w:tcPr>
            <w:tcW w:w="180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62"/>
        </w:trPr>
        <w:tc>
          <w:tcPr>
            <w:tcW w:w="2980" w:type="dxa"/>
            <w:vAlign w:val="bottom"/>
            <w:shd w:val="clear" w:color="auto" w:fill="C00000"/>
          </w:tcPr>
          <w:p>
            <w:pPr>
              <w:spacing w:after="0"/>
              <w:rPr>
                <w:sz w:val="14"/>
                <w:szCs w:val="14"/>
                <w:color w:val="auto"/>
              </w:rPr>
            </w:pPr>
          </w:p>
        </w:tc>
        <w:tc>
          <w:tcPr>
            <w:tcW w:w="1080" w:type="dxa"/>
            <w:vAlign w:val="bottom"/>
            <w:shd w:val="clear" w:color="auto" w:fill="C00000"/>
          </w:tcPr>
          <w:p>
            <w:pPr>
              <w:spacing w:after="0"/>
              <w:rPr>
                <w:sz w:val="14"/>
                <w:szCs w:val="14"/>
                <w:color w:val="auto"/>
              </w:rPr>
            </w:pPr>
          </w:p>
        </w:tc>
        <w:tc>
          <w:tcPr>
            <w:tcW w:w="2720" w:type="dxa"/>
            <w:vAlign w:val="bottom"/>
            <w:shd w:val="clear" w:color="auto" w:fill="C00000"/>
          </w:tcPr>
          <w:p>
            <w:pPr>
              <w:spacing w:after="0"/>
              <w:rPr>
                <w:sz w:val="14"/>
                <w:szCs w:val="14"/>
                <w:color w:val="auto"/>
              </w:rPr>
            </w:pPr>
          </w:p>
        </w:tc>
        <w:tc>
          <w:tcPr>
            <w:tcW w:w="180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Expiration</w:t>
            </w:r>
          </w:p>
        </w:tc>
      </w:tr>
      <w:tr>
        <w:trPr>
          <w:trHeight w:val="189"/>
        </w:trPr>
        <w:tc>
          <w:tcPr>
            <w:tcW w:w="2980" w:type="dxa"/>
            <w:vAlign w:val="bottom"/>
            <w:shd w:val="clear" w:color="auto" w:fill="C00000"/>
          </w:tcPr>
          <w:p>
            <w:pPr>
              <w:ind w:left="10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C00000"/>
          </w:tcPr>
          <w:p>
            <w:pPr>
              <w:jc w:val="right"/>
              <w:ind w:right="95"/>
              <w:spacing w:after="0"/>
              <w:rPr>
                <w:sz w:val="20"/>
                <w:szCs w:val="20"/>
                <w:color w:val="auto"/>
              </w:rPr>
            </w:pPr>
            <w:r>
              <w:rPr>
                <w:rFonts w:ascii="Arial" w:cs="Arial" w:eastAsia="Arial" w:hAnsi="Arial"/>
                <w:sz w:val="14"/>
                <w:szCs w:val="14"/>
                <w:b w:val="1"/>
                <w:bCs w:val="1"/>
                <w:color w:val="FFFFFF"/>
              </w:rPr>
              <w:t>Grant Date</w:t>
            </w:r>
          </w:p>
        </w:tc>
        <w:tc>
          <w:tcPr>
            <w:tcW w:w="2720" w:type="dxa"/>
            <w:vAlign w:val="bottom"/>
            <w:shd w:val="clear" w:color="auto" w:fill="C00000"/>
          </w:tcPr>
          <w:p>
            <w:pPr>
              <w:jc w:val="right"/>
              <w:ind w:right="15"/>
              <w:spacing w:after="0"/>
              <w:rPr>
                <w:sz w:val="20"/>
                <w:szCs w:val="20"/>
                <w:color w:val="auto"/>
              </w:rPr>
            </w:pPr>
            <w:r>
              <w:rPr>
                <w:rFonts w:ascii="Arial" w:cs="Arial" w:eastAsia="Arial" w:hAnsi="Arial"/>
                <w:sz w:val="14"/>
                <w:szCs w:val="14"/>
                <w:b w:val="1"/>
                <w:bCs w:val="1"/>
                <w:color w:val="FFFFFF"/>
              </w:rPr>
              <w:t>12/04/2016  12/05/2016  12/06/2016</w:t>
            </w:r>
          </w:p>
        </w:tc>
        <w:tc>
          <w:tcPr>
            <w:tcW w:w="1800" w:type="dxa"/>
            <w:vAlign w:val="bottom"/>
            <w:shd w:val="clear" w:color="auto" w:fill="C00000"/>
          </w:tcPr>
          <w:p>
            <w:pPr>
              <w:jc w:val="right"/>
              <w:ind w:right="16"/>
              <w:spacing w:after="0"/>
              <w:rPr>
                <w:sz w:val="20"/>
                <w:szCs w:val="20"/>
                <w:color w:val="auto"/>
              </w:rPr>
            </w:pPr>
            <w:r>
              <w:rPr>
                <w:rFonts w:ascii="Arial" w:cs="Arial" w:eastAsia="Arial" w:hAnsi="Arial"/>
                <w:sz w:val="14"/>
                <w:szCs w:val="14"/>
                <w:b w:val="1"/>
                <w:bCs w:val="1"/>
                <w:color w:val="FFFFFF"/>
              </w:rPr>
              <w:t>12/04/2017  12/05/2017</w:t>
            </w:r>
          </w:p>
        </w:tc>
        <w:tc>
          <w:tcPr>
            <w:tcW w:w="940" w:type="dxa"/>
            <w:vAlign w:val="bottom"/>
            <w:shd w:val="clear" w:color="auto" w:fill="C00000"/>
          </w:tcPr>
          <w:p>
            <w:pPr>
              <w:jc w:val="right"/>
              <w:ind w:right="37"/>
              <w:spacing w:after="0"/>
              <w:rPr>
                <w:sz w:val="20"/>
                <w:szCs w:val="20"/>
                <w:color w:val="auto"/>
              </w:rPr>
            </w:pPr>
            <w:r>
              <w:rPr>
                <w:rFonts w:ascii="Arial" w:cs="Arial" w:eastAsia="Arial" w:hAnsi="Arial"/>
                <w:sz w:val="14"/>
                <w:szCs w:val="14"/>
                <w:b w:val="1"/>
                <w:bCs w:val="1"/>
                <w:color w:val="FFFFFF"/>
              </w:rPr>
              <w:t>12/04/2018</w:t>
            </w: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Date</w:t>
            </w:r>
          </w:p>
        </w:tc>
      </w:tr>
      <w:tr>
        <w:trPr>
          <w:trHeight w:val="196"/>
        </w:trPr>
        <w:tc>
          <w:tcPr>
            <w:tcW w:w="2980" w:type="dxa"/>
            <w:vAlign w:val="bottom"/>
          </w:tcPr>
          <w:p>
            <w:pPr>
              <w:ind w:left="100"/>
              <w:spacing w:after="0"/>
              <w:rPr>
                <w:sz w:val="20"/>
                <w:szCs w:val="20"/>
                <w:color w:val="auto"/>
              </w:rPr>
            </w:pPr>
            <w:r>
              <w:rPr>
                <w:rFonts w:ascii="Arial" w:cs="Arial" w:eastAsia="Arial" w:hAnsi="Arial"/>
                <w:sz w:val="17"/>
                <w:szCs w:val="17"/>
                <w:color w:val="auto"/>
              </w:rPr>
              <w:t>Mr. Hoffman</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12/06/2013</w:t>
            </w:r>
          </w:p>
        </w:tc>
        <w:tc>
          <w:tcPr>
            <w:tcW w:w="2720" w:type="dxa"/>
            <w:vAlign w:val="bottom"/>
          </w:tcPr>
          <w:p>
            <w:pPr>
              <w:jc w:val="right"/>
              <w:ind w:right="15"/>
              <w:spacing w:after="0"/>
              <w:rPr>
                <w:sz w:val="20"/>
                <w:szCs w:val="20"/>
                <w:color w:val="auto"/>
              </w:rPr>
            </w:pPr>
            <w:r>
              <w:rPr>
                <w:rFonts w:ascii="Arial" w:cs="Arial" w:eastAsia="Arial" w:hAnsi="Arial"/>
                <w:sz w:val="17"/>
                <w:szCs w:val="17"/>
                <w:color w:val="auto"/>
              </w:rPr>
              <w:t>50,200</w:t>
            </w: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12/06/2023</w:t>
            </w:r>
          </w:p>
        </w:tc>
      </w:tr>
      <w:tr>
        <w:trPr>
          <w:trHeight w:val="189"/>
        </w:trPr>
        <w:tc>
          <w:tcPr>
            <w:tcW w:w="2980" w:type="dxa"/>
            <w:vAlign w:val="bottom"/>
          </w:tcPr>
          <w:p>
            <w:pPr>
              <w:spacing w:after="0"/>
              <w:rPr>
                <w:sz w:val="16"/>
                <w:szCs w:val="16"/>
                <w:color w:val="auto"/>
              </w:rPr>
            </w:pPr>
          </w:p>
        </w:tc>
        <w:tc>
          <w:tcPr>
            <w:tcW w:w="10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12/05/2014</w:t>
            </w:r>
          </w:p>
        </w:tc>
        <w:tc>
          <w:tcPr>
            <w:tcW w:w="2720" w:type="dxa"/>
            <w:vAlign w:val="bottom"/>
          </w:tcPr>
          <w:p>
            <w:pPr>
              <w:jc w:val="right"/>
              <w:ind w:right="915"/>
              <w:spacing w:after="0" w:line="189" w:lineRule="exact"/>
              <w:rPr>
                <w:sz w:val="20"/>
                <w:szCs w:val="20"/>
                <w:color w:val="auto"/>
              </w:rPr>
            </w:pPr>
            <w:r>
              <w:rPr>
                <w:rFonts w:ascii="Arial" w:cs="Arial" w:eastAsia="Arial" w:hAnsi="Arial"/>
                <w:sz w:val="17"/>
                <w:szCs w:val="17"/>
                <w:color w:val="auto"/>
              </w:rPr>
              <w:t>46,934</w:t>
            </w:r>
          </w:p>
        </w:tc>
        <w:tc>
          <w:tcPr>
            <w:tcW w:w="1800" w:type="dxa"/>
            <w:vAlign w:val="bottom"/>
          </w:tcPr>
          <w:p>
            <w:pPr>
              <w:jc w:val="right"/>
              <w:spacing w:after="0" w:line="189" w:lineRule="exact"/>
              <w:rPr>
                <w:sz w:val="20"/>
                <w:szCs w:val="20"/>
                <w:color w:val="auto"/>
              </w:rPr>
            </w:pPr>
            <w:r>
              <w:rPr>
                <w:rFonts w:ascii="Arial" w:cs="Arial" w:eastAsia="Arial" w:hAnsi="Arial"/>
                <w:sz w:val="17"/>
                <w:szCs w:val="17"/>
                <w:color w:val="auto"/>
              </w:rPr>
              <w:t>46,934</w:t>
            </w:r>
          </w:p>
        </w:tc>
        <w:tc>
          <w:tcPr>
            <w:tcW w:w="940" w:type="dxa"/>
            <w:vAlign w:val="bottom"/>
          </w:tcPr>
          <w:p>
            <w:pPr>
              <w:spacing w:after="0"/>
              <w:rPr>
                <w:sz w:val="16"/>
                <w:szCs w:val="16"/>
                <w:color w:val="auto"/>
              </w:rPr>
            </w:pPr>
          </w:p>
        </w:tc>
        <w:tc>
          <w:tcPr>
            <w:tcW w:w="1080" w:type="dxa"/>
            <w:vAlign w:val="bottom"/>
          </w:tcPr>
          <w:p>
            <w:pPr>
              <w:jc w:val="right"/>
              <w:ind w:right="17"/>
              <w:spacing w:after="0" w:line="189" w:lineRule="exact"/>
              <w:rPr>
                <w:sz w:val="20"/>
                <w:szCs w:val="20"/>
                <w:color w:val="auto"/>
              </w:rPr>
            </w:pPr>
            <w:r>
              <w:rPr>
                <w:rFonts w:ascii="Arial" w:cs="Arial" w:eastAsia="Arial" w:hAnsi="Arial"/>
                <w:sz w:val="17"/>
                <w:szCs w:val="17"/>
                <w:color w:val="auto"/>
              </w:rPr>
              <w:t>12/05/2024</w:t>
            </w:r>
          </w:p>
        </w:tc>
      </w:tr>
      <w:tr>
        <w:trPr>
          <w:trHeight w:val="195"/>
        </w:trPr>
        <w:tc>
          <w:tcPr>
            <w:tcW w:w="298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12/04/2015</w:t>
            </w:r>
          </w:p>
        </w:tc>
        <w:tc>
          <w:tcPr>
            <w:tcW w:w="2720" w:type="dxa"/>
            <w:vAlign w:val="bottom"/>
          </w:tcPr>
          <w:p>
            <w:pPr>
              <w:jc w:val="right"/>
              <w:ind w:right="1815"/>
              <w:spacing w:after="0"/>
              <w:rPr>
                <w:sz w:val="20"/>
                <w:szCs w:val="20"/>
                <w:color w:val="auto"/>
              </w:rPr>
            </w:pPr>
            <w:r>
              <w:rPr>
                <w:rFonts w:ascii="Arial" w:cs="Arial" w:eastAsia="Arial" w:hAnsi="Arial"/>
                <w:sz w:val="17"/>
                <w:szCs w:val="17"/>
                <w:color w:val="auto"/>
              </w:rPr>
              <w:t>46,000</w:t>
            </w:r>
          </w:p>
        </w:tc>
        <w:tc>
          <w:tcPr>
            <w:tcW w:w="1800" w:type="dxa"/>
            <w:vAlign w:val="bottom"/>
          </w:tcPr>
          <w:p>
            <w:pPr>
              <w:jc w:val="right"/>
              <w:ind w:right="916"/>
              <w:spacing w:after="0"/>
              <w:rPr>
                <w:sz w:val="20"/>
                <w:szCs w:val="20"/>
                <w:color w:val="auto"/>
              </w:rPr>
            </w:pPr>
            <w:r>
              <w:rPr>
                <w:rFonts w:ascii="Arial" w:cs="Arial" w:eastAsia="Arial" w:hAnsi="Arial"/>
                <w:sz w:val="17"/>
                <w:szCs w:val="17"/>
                <w:color w:val="auto"/>
              </w:rPr>
              <w:t>46,000</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46,000</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12/04/2025</w:t>
            </w:r>
          </w:p>
        </w:tc>
      </w:tr>
      <w:tr>
        <w:trPr>
          <w:trHeight w:val="183"/>
        </w:trPr>
        <w:tc>
          <w:tcPr>
            <w:tcW w:w="2980" w:type="dxa"/>
            <w:vAlign w:val="bottom"/>
            <w:shd w:val="clear" w:color="auto" w:fill="D9D9D9"/>
          </w:tcPr>
          <w:p>
            <w:pPr>
              <w:ind w:left="100"/>
              <w:spacing w:after="0" w:line="183" w:lineRule="exact"/>
              <w:rPr>
                <w:sz w:val="20"/>
                <w:szCs w:val="20"/>
                <w:color w:val="auto"/>
              </w:rPr>
            </w:pPr>
            <w:r>
              <w:rPr>
                <w:rFonts w:ascii="Arial" w:cs="Arial" w:eastAsia="Arial" w:hAnsi="Arial"/>
                <w:sz w:val="17"/>
                <w:szCs w:val="17"/>
                <w:color w:val="auto"/>
              </w:rPr>
              <w:t>Ms. Peterson</w:t>
            </w:r>
          </w:p>
        </w:tc>
        <w:tc>
          <w:tcPr>
            <w:tcW w:w="1080" w:type="dxa"/>
            <w:vAlign w:val="bottom"/>
            <w:shd w:val="clear" w:color="auto" w:fill="D9D9D9"/>
          </w:tcPr>
          <w:p>
            <w:pPr>
              <w:jc w:val="right"/>
              <w:ind w:right="15"/>
              <w:spacing w:after="0" w:line="183" w:lineRule="exact"/>
              <w:rPr>
                <w:sz w:val="20"/>
                <w:szCs w:val="20"/>
                <w:color w:val="auto"/>
              </w:rPr>
            </w:pPr>
            <w:r>
              <w:rPr>
                <w:rFonts w:ascii="Arial" w:cs="Arial" w:eastAsia="Arial" w:hAnsi="Arial"/>
                <w:sz w:val="17"/>
                <w:szCs w:val="17"/>
                <w:color w:val="auto"/>
              </w:rPr>
              <w:t>12/06/2013</w:t>
            </w:r>
          </w:p>
        </w:tc>
        <w:tc>
          <w:tcPr>
            <w:tcW w:w="2720" w:type="dxa"/>
            <w:vAlign w:val="bottom"/>
            <w:shd w:val="clear" w:color="auto" w:fill="D9D9D9"/>
          </w:tcPr>
          <w:p>
            <w:pPr>
              <w:jc w:val="right"/>
              <w:ind w:right="15"/>
              <w:spacing w:after="0" w:line="183" w:lineRule="exact"/>
              <w:rPr>
                <w:sz w:val="20"/>
                <w:szCs w:val="20"/>
                <w:color w:val="auto"/>
              </w:rPr>
            </w:pPr>
            <w:r>
              <w:rPr>
                <w:rFonts w:ascii="Arial" w:cs="Arial" w:eastAsia="Arial" w:hAnsi="Arial"/>
                <w:sz w:val="17"/>
                <w:szCs w:val="17"/>
                <w:color w:val="auto"/>
              </w:rPr>
              <w:t>12,934</w:t>
            </w:r>
          </w:p>
        </w:tc>
        <w:tc>
          <w:tcPr>
            <w:tcW w:w="1800" w:type="dxa"/>
            <w:vAlign w:val="bottom"/>
            <w:shd w:val="clear" w:color="auto" w:fill="D9D9D9"/>
          </w:tcPr>
          <w:p>
            <w:pPr>
              <w:spacing w:after="0"/>
              <w:rPr>
                <w:sz w:val="15"/>
                <w:szCs w:val="15"/>
                <w:color w:val="auto"/>
              </w:rPr>
            </w:pPr>
          </w:p>
        </w:tc>
        <w:tc>
          <w:tcPr>
            <w:tcW w:w="940" w:type="dxa"/>
            <w:vAlign w:val="bottom"/>
            <w:shd w:val="clear" w:color="auto" w:fill="D9D9D9"/>
          </w:tcPr>
          <w:p>
            <w:pPr>
              <w:spacing w:after="0"/>
              <w:rPr>
                <w:sz w:val="15"/>
                <w:szCs w:val="15"/>
                <w:color w:val="auto"/>
              </w:rPr>
            </w:pPr>
          </w:p>
        </w:tc>
        <w:tc>
          <w:tcPr>
            <w:tcW w:w="1080" w:type="dxa"/>
            <w:vAlign w:val="bottom"/>
            <w:shd w:val="clear" w:color="auto" w:fill="D9D9D9"/>
          </w:tcPr>
          <w:p>
            <w:pPr>
              <w:jc w:val="right"/>
              <w:ind w:right="17"/>
              <w:spacing w:after="0" w:line="183" w:lineRule="exact"/>
              <w:rPr>
                <w:sz w:val="20"/>
                <w:szCs w:val="20"/>
                <w:color w:val="auto"/>
              </w:rPr>
            </w:pPr>
            <w:r>
              <w:rPr>
                <w:rFonts w:ascii="Arial" w:cs="Arial" w:eastAsia="Arial" w:hAnsi="Arial"/>
                <w:sz w:val="17"/>
                <w:szCs w:val="17"/>
                <w:color w:val="auto"/>
              </w:rPr>
              <w:t>12/06/2023</w:t>
            </w:r>
          </w:p>
        </w:tc>
      </w:tr>
      <w:tr>
        <w:trPr>
          <w:trHeight w:val="189"/>
        </w:trPr>
        <w:tc>
          <w:tcPr>
            <w:tcW w:w="2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5"/>
              <w:spacing w:after="0" w:line="189" w:lineRule="exact"/>
              <w:rPr>
                <w:sz w:val="20"/>
                <w:szCs w:val="20"/>
                <w:color w:val="auto"/>
              </w:rPr>
            </w:pPr>
            <w:r>
              <w:rPr>
                <w:rFonts w:ascii="Arial" w:cs="Arial" w:eastAsia="Arial" w:hAnsi="Arial"/>
                <w:sz w:val="17"/>
                <w:szCs w:val="17"/>
                <w:color w:val="auto"/>
              </w:rPr>
              <w:t>12/05/2014</w:t>
            </w:r>
          </w:p>
        </w:tc>
        <w:tc>
          <w:tcPr>
            <w:tcW w:w="2720" w:type="dxa"/>
            <w:vAlign w:val="bottom"/>
            <w:shd w:val="clear" w:color="auto" w:fill="D9D9D9"/>
          </w:tcPr>
          <w:p>
            <w:pPr>
              <w:jc w:val="right"/>
              <w:ind w:right="915"/>
              <w:spacing w:after="0" w:line="189" w:lineRule="exact"/>
              <w:rPr>
                <w:sz w:val="20"/>
                <w:szCs w:val="20"/>
                <w:color w:val="auto"/>
              </w:rPr>
            </w:pPr>
            <w:r>
              <w:rPr>
                <w:rFonts w:ascii="Arial" w:cs="Arial" w:eastAsia="Arial" w:hAnsi="Arial"/>
                <w:sz w:val="17"/>
                <w:szCs w:val="17"/>
                <w:color w:val="auto"/>
              </w:rPr>
              <w:t>12,666</w:t>
            </w:r>
          </w:p>
        </w:tc>
        <w:tc>
          <w:tcPr>
            <w:tcW w:w="1800" w:type="dxa"/>
            <w:vAlign w:val="bottom"/>
            <w:shd w:val="clear" w:color="auto" w:fill="D9D9D9"/>
          </w:tcPr>
          <w:p>
            <w:pPr>
              <w:jc w:val="right"/>
              <w:spacing w:after="0" w:line="189" w:lineRule="exact"/>
              <w:rPr>
                <w:sz w:val="20"/>
                <w:szCs w:val="20"/>
                <w:color w:val="auto"/>
              </w:rPr>
            </w:pPr>
            <w:r>
              <w:rPr>
                <w:rFonts w:ascii="Arial" w:cs="Arial" w:eastAsia="Arial" w:hAnsi="Arial"/>
                <w:sz w:val="17"/>
                <w:szCs w:val="17"/>
                <w:color w:val="auto"/>
              </w:rPr>
              <w:t>12,668</w:t>
            </w:r>
          </w:p>
        </w:tc>
        <w:tc>
          <w:tcPr>
            <w:tcW w:w="94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7"/>
              <w:spacing w:after="0" w:line="189" w:lineRule="exact"/>
              <w:rPr>
                <w:sz w:val="20"/>
                <w:szCs w:val="20"/>
                <w:color w:val="auto"/>
              </w:rPr>
            </w:pPr>
            <w:r>
              <w:rPr>
                <w:rFonts w:ascii="Arial" w:cs="Arial" w:eastAsia="Arial" w:hAnsi="Arial"/>
                <w:sz w:val="17"/>
                <w:szCs w:val="17"/>
                <w:color w:val="auto"/>
              </w:rPr>
              <w:t>12/05/2024</w:t>
            </w:r>
          </w:p>
        </w:tc>
      </w:tr>
      <w:tr>
        <w:trPr>
          <w:trHeight w:val="195"/>
        </w:trPr>
        <w:tc>
          <w:tcPr>
            <w:tcW w:w="2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5"/>
              <w:spacing w:after="0"/>
              <w:rPr>
                <w:sz w:val="20"/>
                <w:szCs w:val="20"/>
                <w:color w:val="auto"/>
              </w:rPr>
            </w:pPr>
            <w:r>
              <w:rPr>
                <w:rFonts w:ascii="Arial" w:cs="Arial" w:eastAsia="Arial" w:hAnsi="Arial"/>
                <w:sz w:val="17"/>
                <w:szCs w:val="17"/>
                <w:color w:val="auto"/>
              </w:rPr>
              <w:t>12/04/2015</w:t>
            </w:r>
          </w:p>
        </w:tc>
        <w:tc>
          <w:tcPr>
            <w:tcW w:w="2720" w:type="dxa"/>
            <w:vAlign w:val="bottom"/>
            <w:shd w:val="clear" w:color="auto" w:fill="D9D9D9"/>
          </w:tcPr>
          <w:p>
            <w:pPr>
              <w:jc w:val="right"/>
              <w:ind w:right="1815"/>
              <w:spacing w:after="0"/>
              <w:rPr>
                <w:sz w:val="20"/>
                <w:szCs w:val="20"/>
                <w:color w:val="auto"/>
              </w:rPr>
            </w:pPr>
            <w:r>
              <w:rPr>
                <w:rFonts w:ascii="Arial" w:cs="Arial" w:eastAsia="Arial" w:hAnsi="Arial"/>
                <w:sz w:val="17"/>
                <w:szCs w:val="17"/>
                <w:color w:val="auto"/>
              </w:rPr>
              <w:t>13,132</w:t>
            </w:r>
          </w:p>
        </w:tc>
        <w:tc>
          <w:tcPr>
            <w:tcW w:w="1800" w:type="dxa"/>
            <w:vAlign w:val="bottom"/>
            <w:shd w:val="clear" w:color="auto" w:fill="D9D9D9"/>
          </w:tcPr>
          <w:p>
            <w:pPr>
              <w:jc w:val="right"/>
              <w:ind w:right="916"/>
              <w:spacing w:after="0"/>
              <w:rPr>
                <w:sz w:val="20"/>
                <w:szCs w:val="20"/>
                <w:color w:val="auto"/>
              </w:rPr>
            </w:pPr>
            <w:r>
              <w:rPr>
                <w:rFonts w:ascii="Arial" w:cs="Arial" w:eastAsia="Arial" w:hAnsi="Arial"/>
                <w:sz w:val="17"/>
                <w:szCs w:val="17"/>
                <w:color w:val="auto"/>
              </w:rPr>
              <w:t>13,134</w:t>
            </w:r>
          </w:p>
        </w:tc>
        <w:tc>
          <w:tcPr>
            <w:tcW w:w="940" w:type="dxa"/>
            <w:vAlign w:val="bottom"/>
            <w:shd w:val="clear" w:color="auto" w:fill="D9D9D9"/>
          </w:tcPr>
          <w:p>
            <w:pPr>
              <w:jc w:val="right"/>
              <w:ind w:right="37"/>
              <w:spacing w:after="0"/>
              <w:rPr>
                <w:sz w:val="20"/>
                <w:szCs w:val="20"/>
                <w:color w:val="auto"/>
              </w:rPr>
            </w:pPr>
            <w:r>
              <w:rPr>
                <w:rFonts w:ascii="Arial" w:cs="Arial" w:eastAsia="Arial" w:hAnsi="Arial"/>
                <w:sz w:val="17"/>
                <w:szCs w:val="17"/>
                <w:color w:val="auto"/>
              </w:rPr>
              <w:t>13,134</w:t>
            </w:r>
          </w:p>
        </w:tc>
        <w:tc>
          <w:tcPr>
            <w:tcW w:w="1080" w:type="dxa"/>
            <w:vAlign w:val="bottom"/>
            <w:shd w:val="clear" w:color="auto" w:fill="D9D9D9"/>
          </w:tcPr>
          <w:p>
            <w:pPr>
              <w:jc w:val="right"/>
              <w:ind w:right="17"/>
              <w:spacing w:after="0"/>
              <w:rPr>
                <w:sz w:val="20"/>
                <w:szCs w:val="20"/>
                <w:color w:val="auto"/>
              </w:rPr>
            </w:pPr>
            <w:r>
              <w:rPr>
                <w:rFonts w:ascii="Arial" w:cs="Arial" w:eastAsia="Arial" w:hAnsi="Arial"/>
                <w:sz w:val="17"/>
                <w:szCs w:val="17"/>
                <w:color w:val="auto"/>
              </w:rPr>
              <w:t>12/04/2025</w:t>
            </w:r>
          </w:p>
        </w:tc>
      </w:tr>
      <w:tr>
        <w:trPr>
          <w:trHeight w:val="183"/>
        </w:trPr>
        <w:tc>
          <w:tcPr>
            <w:tcW w:w="2980" w:type="dxa"/>
            <w:vAlign w:val="bottom"/>
          </w:tcPr>
          <w:p>
            <w:pPr>
              <w:ind w:left="100"/>
              <w:spacing w:after="0" w:line="183" w:lineRule="exact"/>
              <w:rPr>
                <w:sz w:val="20"/>
                <w:szCs w:val="20"/>
                <w:color w:val="auto"/>
              </w:rPr>
            </w:pPr>
            <w:r>
              <w:rPr>
                <w:rFonts w:ascii="Arial" w:cs="Arial" w:eastAsia="Arial" w:hAnsi="Arial"/>
                <w:sz w:val="17"/>
                <w:szCs w:val="17"/>
                <w:color w:val="auto"/>
              </w:rPr>
              <w:t>Mr. Olson</w:t>
            </w:r>
          </w:p>
        </w:tc>
        <w:tc>
          <w:tcPr>
            <w:tcW w:w="1080" w:type="dxa"/>
            <w:vAlign w:val="bottom"/>
          </w:tcPr>
          <w:p>
            <w:pPr>
              <w:jc w:val="right"/>
              <w:ind w:right="15"/>
              <w:spacing w:after="0" w:line="183" w:lineRule="exact"/>
              <w:rPr>
                <w:sz w:val="20"/>
                <w:szCs w:val="20"/>
                <w:color w:val="auto"/>
              </w:rPr>
            </w:pPr>
            <w:r>
              <w:rPr>
                <w:rFonts w:ascii="Arial" w:cs="Arial" w:eastAsia="Arial" w:hAnsi="Arial"/>
                <w:sz w:val="17"/>
                <w:szCs w:val="17"/>
                <w:color w:val="auto"/>
              </w:rPr>
              <w:t>12/06/2013</w:t>
            </w:r>
          </w:p>
        </w:tc>
        <w:tc>
          <w:tcPr>
            <w:tcW w:w="2720" w:type="dxa"/>
            <w:vAlign w:val="bottom"/>
          </w:tcPr>
          <w:p>
            <w:pPr>
              <w:jc w:val="right"/>
              <w:ind w:right="15"/>
              <w:spacing w:after="0" w:line="183" w:lineRule="exact"/>
              <w:rPr>
                <w:sz w:val="20"/>
                <w:szCs w:val="20"/>
                <w:color w:val="auto"/>
              </w:rPr>
            </w:pPr>
            <w:r>
              <w:rPr>
                <w:rFonts w:ascii="Arial" w:cs="Arial" w:eastAsia="Arial" w:hAnsi="Arial"/>
                <w:sz w:val="17"/>
                <w:szCs w:val="17"/>
                <w:color w:val="auto"/>
              </w:rPr>
              <w:t>4,000</w:t>
            </w:r>
          </w:p>
        </w:tc>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ind w:right="17"/>
              <w:spacing w:after="0" w:line="183" w:lineRule="exact"/>
              <w:rPr>
                <w:sz w:val="20"/>
                <w:szCs w:val="20"/>
                <w:color w:val="auto"/>
              </w:rPr>
            </w:pPr>
            <w:r>
              <w:rPr>
                <w:rFonts w:ascii="Arial" w:cs="Arial" w:eastAsia="Arial" w:hAnsi="Arial"/>
                <w:sz w:val="17"/>
                <w:szCs w:val="17"/>
                <w:color w:val="auto"/>
              </w:rPr>
              <w:t>12/06/2023</w:t>
            </w:r>
          </w:p>
        </w:tc>
      </w:tr>
      <w:tr>
        <w:trPr>
          <w:trHeight w:val="189"/>
        </w:trPr>
        <w:tc>
          <w:tcPr>
            <w:tcW w:w="2980" w:type="dxa"/>
            <w:vAlign w:val="bottom"/>
          </w:tcPr>
          <w:p>
            <w:pPr>
              <w:spacing w:after="0"/>
              <w:rPr>
                <w:sz w:val="16"/>
                <w:szCs w:val="16"/>
                <w:color w:val="auto"/>
              </w:rPr>
            </w:pPr>
          </w:p>
        </w:tc>
        <w:tc>
          <w:tcPr>
            <w:tcW w:w="10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12/05/2014</w:t>
            </w:r>
          </w:p>
        </w:tc>
        <w:tc>
          <w:tcPr>
            <w:tcW w:w="2720" w:type="dxa"/>
            <w:vAlign w:val="bottom"/>
          </w:tcPr>
          <w:p>
            <w:pPr>
              <w:jc w:val="right"/>
              <w:ind w:right="915"/>
              <w:spacing w:after="0" w:line="189" w:lineRule="exact"/>
              <w:rPr>
                <w:sz w:val="20"/>
                <w:szCs w:val="20"/>
                <w:color w:val="auto"/>
              </w:rPr>
            </w:pPr>
            <w:r>
              <w:rPr>
                <w:rFonts w:ascii="Arial" w:cs="Arial" w:eastAsia="Arial" w:hAnsi="Arial"/>
                <w:sz w:val="17"/>
                <w:szCs w:val="17"/>
                <w:color w:val="auto"/>
              </w:rPr>
              <w:t>6,666</w:t>
            </w:r>
          </w:p>
        </w:tc>
        <w:tc>
          <w:tcPr>
            <w:tcW w:w="1800" w:type="dxa"/>
            <w:vAlign w:val="bottom"/>
          </w:tcPr>
          <w:p>
            <w:pPr>
              <w:jc w:val="right"/>
              <w:spacing w:after="0" w:line="189" w:lineRule="exact"/>
              <w:rPr>
                <w:sz w:val="20"/>
                <w:szCs w:val="20"/>
                <w:color w:val="auto"/>
              </w:rPr>
            </w:pPr>
            <w:r>
              <w:rPr>
                <w:rFonts w:ascii="Arial" w:cs="Arial" w:eastAsia="Arial" w:hAnsi="Arial"/>
                <w:sz w:val="17"/>
                <w:szCs w:val="17"/>
                <w:color w:val="auto"/>
              </w:rPr>
              <w:t>6,668</w:t>
            </w:r>
          </w:p>
        </w:tc>
        <w:tc>
          <w:tcPr>
            <w:tcW w:w="940" w:type="dxa"/>
            <w:vAlign w:val="bottom"/>
          </w:tcPr>
          <w:p>
            <w:pPr>
              <w:spacing w:after="0"/>
              <w:rPr>
                <w:sz w:val="16"/>
                <w:szCs w:val="16"/>
                <w:color w:val="auto"/>
              </w:rPr>
            </w:pPr>
          </w:p>
        </w:tc>
        <w:tc>
          <w:tcPr>
            <w:tcW w:w="1080" w:type="dxa"/>
            <w:vAlign w:val="bottom"/>
          </w:tcPr>
          <w:p>
            <w:pPr>
              <w:jc w:val="right"/>
              <w:ind w:right="17"/>
              <w:spacing w:after="0" w:line="189" w:lineRule="exact"/>
              <w:rPr>
                <w:sz w:val="20"/>
                <w:szCs w:val="20"/>
                <w:color w:val="auto"/>
              </w:rPr>
            </w:pPr>
            <w:r>
              <w:rPr>
                <w:rFonts w:ascii="Arial" w:cs="Arial" w:eastAsia="Arial" w:hAnsi="Arial"/>
                <w:sz w:val="17"/>
                <w:szCs w:val="17"/>
                <w:color w:val="auto"/>
              </w:rPr>
              <w:t>12/05/2024</w:t>
            </w:r>
          </w:p>
        </w:tc>
      </w:tr>
      <w:tr>
        <w:trPr>
          <w:trHeight w:val="195"/>
        </w:trPr>
        <w:tc>
          <w:tcPr>
            <w:tcW w:w="298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12/04/2015</w:t>
            </w:r>
          </w:p>
        </w:tc>
        <w:tc>
          <w:tcPr>
            <w:tcW w:w="2720" w:type="dxa"/>
            <w:vAlign w:val="bottom"/>
          </w:tcPr>
          <w:p>
            <w:pPr>
              <w:jc w:val="right"/>
              <w:ind w:right="1815"/>
              <w:spacing w:after="0"/>
              <w:rPr>
                <w:sz w:val="20"/>
                <w:szCs w:val="20"/>
                <w:color w:val="auto"/>
              </w:rPr>
            </w:pPr>
            <w:r>
              <w:rPr>
                <w:rFonts w:ascii="Arial" w:cs="Arial" w:eastAsia="Arial" w:hAnsi="Arial"/>
                <w:sz w:val="17"/>
                <w:szCs w:val="17"/>
                <w:color w:val="auto"/>
              </w:rPr>
              <w:t>14,800</w:t>
            </w:r>
          </w:p>
        </w:tc>
        <w:tc>
          <w:tcPr>
            <w:tcW w:w="1800" w:type="dxa"/>
            <w:vAlign w:val="bottom"/>
          </w:tcPr>
          <w:p>
            <w:pPr>
              <w:jc w:val="right"/>
              <w:ind w:right="916"/>
              <w:spacing w:after="0"/>
              <w:rPr>
                <w:sz w:val="20"/>
                <w:szCs w:val="20"/>
                <w:color w:val="auto"/>
              </w:rPr>
            </w:pPr>
            <w:r>
              <w:rPr>
                <w:rFonts w:ascii="Arial" w:cs="Arial" w:eastAsia="Arial" w:hAnsi="Arial"/>
                <w:sz w:val="17"/>
                <w:szCs w:val="17"/>
                <w:color w:val="auto"/>
              </w:rPr>
              <w:t>14,800</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14,800</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12/04/2025</w:t>
            </w:r>
          </w:p>
        </w:tc>
      </w:tr>
      <w:tr>
        <w:trPr>
          <w:trHeight w:val="183"/>
        </w:trPr>
        <w:tc>
          <w:tcPr>
            <w:tcW w:w="2980" w:type="dxa"/>
            <w:vAlign w:val="bottom"/>
            <w:shd w:val="clear" w:color="auto" w:fill="D9D9D9"/>
          </w:tcPr>
          <w:p>
            <w:pPr>
              <w:ind w:left="100"/>
              <w:spacing w:after="0" w:line="183" w:lineRule="exact"/>
              <w:rPr>
                <w:sz w:val="20"/>
                <w:szCs w:val="20"/>
                <w:color w:val="auto"/>
              </w:rPr>
            </w:pPr>
            <w:r>
              <w:rPr>
                <w:rFonts w:ascii="Arial" w:cs="Arial" w:eastAsia="Arial" w:hAnsi="Arial"/>
                <w:sz w:val="17"/>
                <w:szCs w:val="17"/>
                <w:color w:val="auto"/>
              </w:rPr>
              <w:t>Mr. Brown</w:t>
            </w:r>
          </w:p>
        </w:tc>
        <w:tc>
          <w:tcPr>
            <w:tcW w:w="1080" w:type="dxa"/>
            <w:vAlign w:val="bottom"/>
            <w:shd w:val="clear" w:color="auto" w:fill="D9D9D9"/>
          </w:tcPr>
          <w:p>
            <w:pPr>
              <w:jc w:val="right"/>
              <w:ind w:right="15"/>
              <w:spacing w:after="0" w:line="183" w:lineRule="exact"/>
              <w:rPr>
                <w:sz w:val="20"/>
                <w:szCs w:val="20"/>
                <w:color w:val="auto"/>
              </w:rPr>
            </w:pPr>
            <w:r>
              <w:rPr>
                <w:rFonts w:ascii="Arial" w:cs="Arial" w:eastAsia="Arial" w:hAnsi="Arial"/>
                <w:sz w:val="17"/>
                <w:szCs w:val="17"/>
                <w:color w:val="auto"/>
              </w:rPr>
              <w:t>12/06/2013</w:t>
            </w:r>
          </w:p>
        </w:tc>
        <w:tc>
          <w:tcPr>
            <w:tcW w:w="2720" w:type="dxa"/>
            <w:vAlign w:val="bottom"/>
            <w:shd w:val="clear" w:color="auto" w:fill="D9D9D9"/>
          </w:tcPr>
          <w:p>
            <w:pPr>
              <w:jc w:val="right"/>
              <w:ind w:right="15"/>
              <w:spacing w:after="0" w:line="183" w:lineRule="exact"/>
              <w:rPr>
                <w:sz w:val="20"/>
                <w:szCs w:val="20"/>
                <w:color w:val="auto"/>
              </w:rPr>
            </w:pPr>
            <w:r>
              <w:rPr>
                <w:rFonts w:ascii="Arial" w:cs="Arial" w:eastAsia="Arial" w:hAnsi="Arial"/>
                <w:sz w:val="17"/>
                <w:szCs w:val="17"/>
                <w:color w:val="auto"/>
              </w:rPr>
              <w:t>8,000</w:t>
            </w:r>
          </w:p>
        </w:tc>
        <w:tc>
          <w:tcPr>
            <w:tcW w:w="1800" w:type="dxa"/>
            <w:vAlign w:val="bottom"/>
            <w:shd w:val="clear" w:color="auto" w:fill="D9D9D9"/>
          </w:tcPr>
          <w:p>
            <w:pPr>
              <w:spacing w:after="0"/>
              <w:rPr>
                <w:sz w:val="15"/>
                <w:szCs w:val="15"/>
                <w:color w:val="auto"/>
              </w:rPr>
            </w:pPr>
          </w:p>
        </w:tc>
        <w:tc>
          <w:tcPr>
            <w:tcW w:w="940" w:type="dxa"/>
            <w:vAlign w:val="bottom"/>
            <w:shd w:val="clear" w:color="auto" w:fill="D9D9D9"/>
          </w:tcPr>
          <w:p>
            <w:pPr>
              <w:spacing w:after="0"/>
              <w:rPr>
                <w:sz w:val="15"/>
                <w:szCs w:val="15"/>
                <w:color w:val="auto"/>
              </w:rPr>
            </w:pPr>
          </w:p>
        </w:tc>
        <w:tc>
          <w:tcPr>
            <w:tcW w:w="1080" w:type="dxa"/>
            <w:vAlign w:val="bottom"/>
            <w:shd w:val="clear" w:color="auto" w:fill="D9D9D9"/>
          </w:tcPr>
          <w:p>
            <w:pPr>
              <w:jc w:val="right"/>
              <w:ind w:right="17"/>
              <w:spacing w:after="0" w:line="183" w:lineRule="exact"/>
              <w:rPr>
                <w:sz w:val="20"/>
                <w:szCs w:val="20"/>
                <w:color w:val="auto"/>
              </w:rPr>
            </w:pPr>
            <w:r>
              <w:rPr>
                <w:rFonts w:ascii="Arial" w:cs="Arial" w:eastAsia="Arial" w:hAnsi="Arial"/>
                <w:sz w:val="17"/>
                <w:szCs w:val="17"/>
                <w:color w:val="auto"/>
              </w:rPr>
              <w:t>12/06/2023</w:t>
            </w:r>
          </w:p>
        </w:tc>
      </w:tr>
      <w:tr>
        <w:trPr>
          <w:trHeight w:val="189"/>
        </w:trPr>
        <w:tc>
          <w:tcPr>
            <w:tcW w:w="2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5"/>
              <w:spacing w:after="0" w:line="189" w:lineRule="exact"/>
              <w:rPr>
                <w:sz w:val="20"/>
                <w:szCs w:val="20"/>
                <w:color w:val="auto"/>
              </w:rPr>
            </w:pPr>
            <w:r>
              <w:rPr>
                <w:rFonts w:ascii="Arial" w:cs="Arial" w:eastAsia="Arial" w:hAnsi="Arial"/>
                <w:sz w:val="17"/>
                <w:szCs w:val="17"/>
                <w:color w:val="auto"/>
              </w:rPr>
              <w:t>12/05/2014</w:t>
            </w:r>
          </w:p>
        </w:tc>
        <w:tc>
          <w:tcPr>
            <w:tcW w:w="2720" w:type="dxa"/>
            <w:vAlign w:val="bottom"/>
            <w:shd w:val="clear" w:color="auto" w:fill="D9D9D9"/>
          </w:tcPr>
          <w:p>
            <w:pPr>
              <w:jc w:val="right"/>
              <w:ind w:right="915"/>
              <w:spacing w:after="0" w:line="189" w:lineRule="exact"/>
              <w:rPr>
                <w:sz w:val="20"/>
                <w:szCs w:val="20"/>
                <w:color w:val="auto"/>
              </w:rPr>
            </w:pPr>
            <w:r>
              <w:rPr>
                <w:rFonts w:ascii="Arial" w:cs="Arial" w:eastAsia="Arial" w:hAnsi="Arial"/>
                <w:sz w:val="17"/>
                <w:szCs w:val="17"/>
                <w:color w:val="auto"/>
              </w:rPr>
              <w:t>7,534</w:t>
            </w:r>
          </w:p>
        </w:tc>
        <w:tc>
          <w:tcPr>
            <w:tcW w:w="1800" w:type="dxa"/>
            <w:vAlign w:val="bottom"/>
            <w:shd w:val="clear" w:color="auto" w:fill="D9D9D9"/>
          </w:tcPr>
          <w:p>
            <w:pPr>
              <w:jc w:val="right"/>
              <w:spacing w:after="0" w:line="189" w:lineRule="exact"/>
              <w:rPr>
                <w:sz w:val="20"/>
                <w:szCs w:val="20"/>
                <w:color w:val="auto"/>
              </w:rPr>
            </w:pPr>
            <w:r>
              <w:rPr>
                <w:rFonts w:ascii="Arial" w:cs="Arial" w:eastAsia="Arial" w:hAnsi="Arial"/>
                <w:sz w:val="17"/>
                <w:szCs w:val="17"/>
                <w:color w:val="auto"/>
              </w:rPr>
              <w:t>7,534</w:t>
            </w:r>
          </w:p>
        </w:tc>
        <w:tc>
          <w:tcPr>
            <w:tcW w:w="94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7"/>
              <w:spacing w:after="0" w:line="189" w:lineRule="exact"/>
              <w:rPr>
                <w:sz w:val="20"/>
                <w:szCs w:val="20"/>
                <w:color w:val="auto"/>
              </w:rPr>
            </w:pPr>
            <w:r>
              <w:rPr>
                <w:rFonts w:ascii="Arial" w:cs="Arial" w:eastAsia="Arial" w:hAnsi="Arial"/>
                <w:sz w:val="17"/>
                <w:szCs w:val="17"/>
                <w:color w:val="auto"/>
              </w:rPr>
              <w:t>12/05/2024</w:t>
            </w:r>
          </w:p>
        </w:tc>
      </w:tr>
      <w:tr>
        <w:trPr>
          <w:trHeight w:val="195"/>
        </w:trPr>
        <w:tc>
          <w:tcPr>
            <w:tcW w:w="2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5"/>
              <w:spacing w:after="0"/>
              <w:rPr>
                <w:sz w:val="20"/>
                <w:szCs w:val="20"/>
                <w:color w:val="auto"/>
              </w:rPr>
            </w:pPr>
            <w:r>
              <w:rPr>
                <w:rFonts w:ascii="Arial" w:cs="Arial" w:eastAsia="Arial" w:hAnsi="Arial"/>
                <w:sz w:val="17"/>
                <w:szCs w:val="17"/>
                <w:color w:val="auto"/>
              </w:rPr>
              <w:t>12/04/2015</w:t>
            </w:r>
          </w:p>
        </w:tc>
        <w:tc>
          <w:tcPr>
            <w:tcW w:w="2720" w:type="dxa"/>
            <w:vAlign w:val="bottom"/>
            <w:shd w:val="clear" w:color="auto" w:fill="D9D9D9"/>
          </w:tcPr>
          <w:p>
            <w:pPr>
              <w:jc w:val="right"/>
              <w:ind w:right="1815"/>
              <w:spacing w:after="0"/>
              <w:rPr>
                <w:sz w:val="20"/>
                <w:szCs w:val="20"/>
                <w:color w:val="auto"/>
              </w:rPr>
            </w:pPr>
            <w:r>
              <w:rPr>
                <w:rFonts w:ascii="Arial" w:cs="Arial" w:eastAsia="Arial" w:hAnsi="Arial"/>
                <w:sz w:val="17"/>
                <w:szCs w:val="17"/>
                <w:color w:val="auto"/>
              </w:rPr>
              <w:t>8,200</w:t>
            </w:r>
          </w:p>
        </w:tc>
        <w:tc>
          <w:tcPr>
            <w:tcW w:w="1800" w:type="dxa"/>
            <w:vAlign w:val="bottom"/>
            <w:shd w:val="clear" w:color="auto" w:fill="D9D9D9"/>
          </w:tcPr>
          <w:p>
            <w:pPr>
              <w:jc w:val="right"/>
              <w:ind w:right="916"/>
              <w:spacing w:after="0"/>
              <w:rPr>
                <w:sz w:val="20"/>
                <w:szCs w:val="20"/>
                <w:color w:val="auto"/>
              </w:rPr>
            </w:pPr>
            <w:r>
              <w:rPr>
                <w:rFonts w:ascii="Arial" w:cs="Arial" w:eastAsia="Arial" w:hAnsi="Arial"/>
                <w:sz w:val="17"/>
                <w:szCs w:val="17"/>
                <w:color w:val="auto"/>
              </w:rPr>
              <w:t>8,200</w:t>
            </w:r>
          </w:p>
        </w:tc>
        <w:tc>
          <w:tcPr>
            <w:tcW w:w="940" w:type="dxa"/>
            <w:vAlign w:val="bottom"/>
            <w:shd w:val="clear" w:color="auto" w:fill="D9D9D9"/>
          </w:tcPr>
          <w:p>
            <w:pPr>
              <w:jc w:val="right"/>
              <w:ind w:right="37"/>
              <w:spacing w:after="0"/>
              <w:rPr>
                <w:sz w:val="20"/>
                <w:szCs w:val="20"/>
                <w:color w:val="auto"/>
              </w:rPr>
            </w:pPr>
            <w:r>
              <w:rPr>
                <w:rFonts w:ascii="Arial" w:cs="Arial" w:eastAsia="Arial" w:hAnsi="Arial"/>
                <w:sz w:val="17"/>
                <w:szCs w:val="17"/>
                <w:color w:val="auto"/>
              </w:rPr>
              <w:t>8,200</w:t>
            </w:r>
          </w:p>
        </w:tc>
        <w:tc>
          <w:tcPr>
            <w:tcW w:w="1080" w:type="dxa"/>
            <w:vAlign w:val="bottom"/>
            <w:shd w:val="clear" w:color="auto" w:fill="D9D9D9"/>
          </w:tcPr>
          <w:p>
            <w:pPr>
              <w:jc w:val="right"/>
              <w:ind w:right="17"/>
              <w:spacing w:after="0"/>
              <w:rPr>
                <w:sz w:val="20"/>
                <w:szCs w:val="20"/>
                <w:color w:val="auto"/>
              </w:rPr>
            </w:pPr>
            <w:r>
              <w:rPr>
                <w:rFonts w:ascii="Arial" w:cs="Arial" w:eastAsia="Arial" w:hAnsi="Arial"/>
                <w:sz w:val="17"/>
                <w:szCs w:val="17"/>
                <w:color w:val="auto"/>
              </w:rPr>
              <w:t>12/04/2025</w:t>
            </w:r>
          </w:p>
        </w:tc>
      </w:tr>
      <w:tr>
        <w:trPr>
          <w:trHeight w:val="183"/>
        </w:trPr>
        <w:tc>
          <w:tcPr>
            <w:tcW w:w="2980" w:type="dxa"/>
            <w:vAlign w:val="bottom"/>
          </w:tcPr>
          <w:p>
            <w:pPr>
              <w:ind w:left="100"/>
              <w:spacing w:after="0" w:line="183" w:lineRule="exact"/>
              <w:rPr>
                <w:sz w:val="20"/>
                <w:szCs w:val="20"/>
                <w:color w:val="auto"/>
              </w:rPr>
            </w:pPr>
            <w:r>
              <w:rPr>
                <w:rFonts w:ascii="Arial" w:cs="Arial" w:eastAsia="Arial" w:hAnsi="Arial"/>
                <w:sz w:val="17"/>
                <w:szCs w:val="17"/>
                <w:color w:val="auto"/>
              </w:rPr>
              <w:t>Mr. Dordell</w:t>
            </w:r>
          </w:p>
        </w:tc>
        <w:tc>
          <w:tcPr>
            <w:tcW w:w="1080" w:type="dxa"/>
            <w:vAlign w:val="bottom"/>
          </w:tcPr>
          <w:p>
            <w:pPr>
              <w:jc w:val="right"/>
              <w:ind w:right="15"/>
              <w:spacing w:after="0" w:line="183" w:lineRule="exact"/>
              <w:rPr>
                <w:sz w:val="20"/>
                <w:szCs w:val="20"/>
                <w:color w:val="auto"/>
              </w:rPr>
            </w:pPr>
            <w:r>
              <w:rPr>
                <w:rFonts w:ascii="Arial" w:cs="Arial" w:eastAsia="Arial" w:hAnsi="Arial"/>
                <w:sz w:val="17"/>
                <w:szCs w:val="17"/>
                <w:color w:val="auto"/>
              </w:rPr>
              <w:t>12/06/2013</w:t>
            </w:r>
          </w:p>
        </w:tc>
        <w:tc>
          <w:tcPr>
            <w:tcW w:w="2720" w:type="dxa"/>
            <w:vAlign w:val="bottom"/>
          </w:tcPr>
          <w:p>
            <w:pPr>
              <w:jc w:val="right"/>
              <w:ind w:right="15"/>
              <w:spacing w:after="0" w:line="183" w:lineRule="exact"/>
              <w:rPr>
                <w:sz w:val="20"/>
                <w:szCs w:val="20"/>
                <w:color w:val="auto"/>
              </w:rPr>
            </w:pPr>
            <w:r>
              <w:rPr>
                <w:rFonts w:ascii="Arial" w:cs="Arial" w:eastAsia="Arial" w:hAnsi="Arial"/>
                <w:sz w:val="17"/>
                <w:szCs w:val="17"/>
                <w:color w:val="auto"/>
              </w:rPr>
              <w:t>8,000</w:t>
            </w:r>
          </w:p>
        </w:tc>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ind w:right="17"/>
              <w:spacing w:after="0" w:line="183" w:lineRule="exact"/>
              <w:rPr>
                <w:sz w:val="20"/>
                <w:szCs w:val="20"/>
                <w:color w:val="auto"/>
              </w:rPr>
            </w:pPr>
            <w:r>
              <w:rPr>
                <w:rFonts w:ascii="Arial" w:cs="Arial" w:eastAsia="Arial" w:hAnsi="Arial"/>
                <w:sz w:val="17"/>
                <w:szCs w:val="17"/>
                <w:color w:val="auto"/>
              </w:rPr>
              <w:t>12/06/2023</w:t>
            </w:r>
          </w:p>
        </w:tc>
      </w:tr>
      <w:tr>
        <w:trPr>
          <w:trHeight w:val="189"/>
        </w:trPr>
        <w:tc>
          <w:tcPr>
            <w:tcW w:w="2980" w:type="dxa"/>
            <w:vAlign w:val="bottom"/>
          </w:tcPr>
          <w:p>
            <w:pPr>
              <w:spacing w:after="0"/>
              <w:rPr>
                <w:sz w:val="16"/>
                <w:szCs w:val="16"/>
                <w:color w:val="auto"/>
              </w:rPr>
            </w:pPr>
          </w:p>
        </w:tc>
        <w:tc>
          <w:tcPr>
            <w:tcW w:w="10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12/05/2014</w:t>
            </w:r>
          </w:p>
        </w:tc>
        <w:tc>
          <w:tcPr>
            <w:tcW w:w="2720" w:type="dxa"/>
            <w:vAlign w:val="bottom"/>
          </w:tcPr>
          <w:p>
            <w:pPr>
              <w:jc w:val="right"/>
              <w:ind w:right="915"/>
              <w:spacing w:after="0" w:line="189" w:lineRule="exact"/>
              <w:rPr>
                <w:sz w:val="20"/>
                <w:szCs w:val="20"/>
                <w:color w:val="auto"/>
              </w:rPr>
            </w:pPr>
            <w:r>
              <w:rPr>
                <w:rFonts w:ascii="Arial" w:cs="Arial" w:eastAsia="Arial" w:hAnsi="Arial"/>
                <w:sz w:val="17"/>
                <w:szCs w:val="17"/>
                <w:color w:val="auto"/>
              </w:rPr>
              <w:t>7,934</w:t>
            </w:r>
          </w:p>
        </w:tc>
        <w:tc>
          <w:tcPr>
            <w:tcW w:w="1800" w:type="dxa"/>
            <w:vAlign w:val="bottom"/>
          </w:tcPr>
          <w:p>
            <w:pPr>
              <w:jc w:val="right"/>
              <w:spacing w:after="0" w:line="189" w:lineRule="exact"/>
              <w:rPr>
                <w:sz w:val="20"/>
                <w:szCs w:val="20"/>
                <w:color w:val="auto"/>
              </w:rPr>
            </w:pPr>
            <w:r>
              <w:rPr>
                <w:rFonts w:ascii="Arial" w:cs="Arial" w:eastAsia="Arial" w:hAnsi="Arial"/>
                <w:sz w:val="17"/>
                <w:szCs w:val="17"/>
                <w:color w:val="auto"/>
              </w:rPr>
              <w:t>7,934</w:t>
            </w:r>
          </w:p>
        </w:tc>
        <w:tc>
          <w:tcPr>
            <w:tcW w:w="940" w:type="dxa"/>
            <w:vAlign w:val="bottom"/>
          </w:tcPr>
          <w:p>
            <w:pPr>
              <w:spacing w:after="0"/>
              <w:rPr>
                <w:sz w:val="16"/>
                <w:szCs w:val="16"/>
                <w:color w:val="auto"/>
              </w:rPr>
            </w:pPr>
          </w:p>
        </w:tc>
        <w:tc>
          <w:tcPr>
            <w:tcW w:w="1080" w:type="dxa"/>
            <w:vAlign w:val="bottom"/>
          </w:tcPr>
          <w:p>
            <w:pPr>
              <w:jc w:val="right"/>
              <w:ind w:right="17"/>
              <w:spacing w:after="0" w:line="189" w:lineRule="exact"/>
              <w:rPr>
                <w:sz w:val="20"/>
                <w:szCs w:val="20"/>
                <w:color w:val="auto"/>
              </w:rPr>
            </w:pPr>
            <w:r>
              <w:rPr>
                <w:rFonts w:ascii="Arial" w:cs="Arial" w:eastAsia="Arial" w:hAnsi="Arial"/>
                <w:sz w:val="17"/>
                <w:szCs w:val="17"/>
                <w:color w:val="auto"/>
              </w:rPr>
              <w:t>12/05/2024</w:t>
            </w:r>
          </w:p>
        </w:tc>
      </w:tr>
      <w:tr>
        <w:trPr>
          <w:trHeight w:val="205"/>
        </w:trPr>
        <w:tc>
          <w:tcPr>
            <w:tcW w:w="2980" w:type="dxa"/>
            <w:vAlign w:val="bottom"/>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12/04/2015</w:t>
            </w:r>
          </w:p>
        </w:tc>
        <w:tc>
          <w:tcPr>
            <w:tcW w:w="2720" w:type="dxa"/>
            <w:vAlign w:val="bottom"/>
          </w:tcPr>
          <w:p>
            <w:pPr>
              <w:jc w:val="right"/>
              <w:ind w:right="1815"/>
              <w:spacing w:after="0"/>
              <w:rPr>
                <w:sz w:val="20"/>
                <w:szCs w:val="20"/>
                <w:color w:val="auto"/>
              </w:rPr>
            </w:pPr>
            <w:r>
              <w:rPr>
                <w:rFonts w:ascii="Arial" w:cs="Arial" w:eastAsia="Arial" w:hAnsi="Arial"/>
                <w:sz w:val="17"/>
                <w:szCs w:val="17"/>
                <w:color w:val="auto"/>
              </w:rPr>
              <w:t>7,800</w:t>
            </w:r>
          </w:p>
        </w:tc>
        <w:tc>
          <w:tcPr>
            <w:tcW w:w="1800" w:type="dxa"/>
            <w:vAlign w:val="bottom"/>
          </w:tcPr>
          <w:p>
            <w:pPr>
              <w:jc w:val="right"/>
              <w:ind w:right="916"/>
              <w:spacing w:after="0"/>
              <w:rPr>
                <w:sz w:val="20"/>
                <w:szCs w:val="20"/>
                <w:color w:val="auto"/>
              </w:rPr>
            </w:pPr>
            <w:r>
              <w:rPr>
                <w:rFonts w:ascii="Arial" w:cs="Arial" w:eastAsia="Arial" w:hAnsi="Arial"/>
                <w:sz w:val="17"/>
                <w:szCs w:val="17"/>
                <w:color w:val="auto"/>
              </w:rPr>
              <w:t>7,800</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7,800</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12/04/2025</w:t>
            </w:r>
          </w:p>
        </w:tc>
      </w:tr>
    </w:tbl>
    <w:p>
      <w:pPr>
        <w:spacing w:after="0" w:line="233" w:lineRule="exact"/>
        <w:rPr>
          <w:sz w:val="20"/>
          <w:szCs w:val="20"/>
          <w:color w:val="auto"/>
        </w:rPr>
      </w:pPr>
    </w:p>
    <w:p>
      <w:pPr>
        <w:ind w:left="460" w:right="100" w:hanging="452"/>
        <w:spacing w:after="0" w:line="23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(plus accrued but unvested share dividend equivalents). Restricted stock units were granted to Mr. Olson on June 16, 2014 in connection with his promotion to Group Vice President. These restricted stock units vest in full and the underlying shares become issuable on the third-year anniversary of the date of grant, June 16, 2017. Restricted stock units were awarded to Mr. Brown for retention purposes on September 15, 2015 in connection with the promotion of Mr. Olson to the position of President and COO. These restricted stock units vest in full and the underlying shares become issuable on the three-year anniversary of the date of grant, September 15, 2018.</w:t>
      </w:r>
    </w:p>
    <w:p>
      <w:pPr>
        <w:spacing w:after="0" w:line="232"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are based on the closing price of our common stock, as reported on the NYSE, on October 31, 2016, the last business day of fiscal 2016, of $47.88 per share.</w:t>
      </w:r>
    </w:p>
    <w:p>
      <w:pPr>
        <w:spacing w:after="0" w:line="223" w:lineRule="exact"/>
        <w:rPr>
          <w:rFonts w:ascii="Arial" w:cs="Arial" w:eastAsia="Arial" w:hAnsi="Arial"/>
          <w:sz w:val="18"/>
          <w:szCs w:val="18"/>
          <w:color w:val="auto"/>
        </w:rPr>
      </w:pPr>
    </w:p>
    <w:p>
      <w:pPr>
        <w:ind w:left="460" w:right="160" w:hanging="452"/>
        <w:spacing w:after="0" w:line="23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2016 and financial plan levels of performance for fiscal 2017 and fiscal 2018. The fiscal 2015 to fiscal 2017 performance share awards will vest solely based on the accomplishment of the performance goals established for the three-year performance period, which will end on October 31, 2017. The fiscal 2016 to fiscal 2018 performance share awards will vest solely based on the accomplishment of the performance goals established for the three-year performance period, which will end on October 31, 2018.</w:t>
      </w:r>
    </w:p>
    <w:p>
      <w:pPr>
        <w:spacing w:after="0" w:line="229" w:lineRule="exact"/>
        <w:rPr>
          <w:rFonts w:ascii="Arial" w:cs="Arial" w:eastAsia="Arial" w:hAnsi="Arial"/>
          <w:sz w:val="18"/>
          <w:szCs w:val="18"/>
          <w:color w:val="auto"/>
        </w:rPr>
      </w:pPr>
    </w:p>
    <w:p>
      <w:pPr>
        <w:ind w:left="460" w:right="44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as reported on the NYSE, on October 31, 2016, the last business day of fiscal 2016, of $47.88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Option Exercises and Stock Vested for Fiscal 2016</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all of the stock options exercised during fiscal 2016, restricted stock unit awards that vested during fiscal</w:t>
      </w:r>
    </w:p>
    <w:p>
      <w:pPr>
        <w:ind w:right="540"/>
        <w:spacing w:after="0"/>
        <w:rPr>
          <w:sz w:val="20"/>
          <w:szCs w:val="20"/>
          <w:color w:val="auto"/>
        </w:rPr>
      </w:pPr>
      <w:r>
        <w:rPr>
          <w:rFonts w:ascii="Arial" w:cs="Arial" w:eastAsia="Arial" w:hAnsi="Arial"/>
          <w:sz w:val="18"/>
          <w:szCs w:val="18"/>
          <w:color w:val="auto"/>
        </w:rPr>
        <w:t>2016 and performance share awards that were paid out or deferred by our named executive officers for the fiscal 2014 to fiscal 2016 performance period. Share and per share data have been adjusted for all periods presented to reflect our two-for-one stock split that was effective September 16, 2016.</w:t>
      </w:r>
    </w:p>
    <w:p>
      <w:pPr>
        <w:sectPr>
          <w:pgSz w:w="11900" w:h="16838" w:orient="portrait"/>
          <w:cols w:equalWidth="0" w:num="1">
            <w:col w:w="11420"/>
          </w:cols>
          <w:pgMar w:left="240" w:top="459"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76"/>
        </w:trPr>
        <w:tc>
          <w:tcPr>
            <w:tcW w:w="4680" w:type="dxa"/>
            <w:vAlign w:val="bottom"/>
            <w:shd w:val="clear" w:color="auto" w:fill="C00000"/>
          </w:tcPr>
          <w:p>
            <w:pPr>
              <w:spacing w:after="0"/>
              <w:rPr>
                <w:sz w:val="23"/>
                <w:szCs w:val="23"/>
                <w:color w:val="auto"/>
              </w:rPr>
            </w:pPr>
          </w:p>
        </w:tc>
        <w:tc>
          <w:tcPr>
            <w:tcW w:w="1860" w:type="dxa"/>
            <w:vAlign w:val="bottom"/>
            <w:shd w:val="clear" w:color="auto" w:fill="C00000"/>
          </w:tcPr>
          <w:p>
            <w:pPr>
              <w:spacing w:after="0"/>
              <w:rPr>
                <w:sz w:val="23"/>
                <w:szCs w:val="23"/>
                <w:color w:val="auto"/>
              </w:rPr>
            </w:pPr>
          </w:p>
        </w:tc>
        <w:tc>
          <w:tcPr>
            <w:tcW w:w="2600" w:type="dxa"/>
            <w:vAlign w:val="bottom"/>
            <w:gridSpan w:val="2"/>
            <w:shd w:val="clear" w:color="auto" w:fill="C00000"/>
          </w:tcPr>
          <w:p>
            <w:pPr>
              <w:jc w:val="right"/>
              <w:ind w:right="624"/>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2280" w:type="dxa"/>
            <w:vAlign w:val="bottom"/>
            <w:gridSpan w:val="2"/>
            <w:shd w:val="clear" w:color="auto" w:fill="C00000"/>
          </w:tcPr>
          <w:p>
            <w:pPr>
              <w:jc w:val="right"/>
              <w:ind w:right="484"/>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(2)</w:t>
            </w:r>
          </w:p>
        </w:tc>
      </w:tr>
      <w:tr>
        <w:trPr>
          <w:trHeight w:val="162"/>
        </w:trPr>
        <w:tc>
          <w:tcPr>
            <w:tcW w:w="4680" w:type="dxa"/>
            <w:vAlign w:val="bottom"/>
            <w:shd w:val="clear" w:color="auto" w:fill="C00000"/>
          </w:tcPr>
          <w:p>
            <w:pPr>
              <w:spacing w:after="0"/>
              <w:rPr>
                <w:sz w:val="14"/>
                <w:szCs w:val="14"/>
                <w:color w:val="auto"/>
              </w:rPr>
            </w:pPr>
          </w:p>
        </w:tc>
        <w:tc>
          <w:tcPr>
            <w:tcW w:w="1860" w:type="dxa"/>
            <w:vAlign w:val="bottom"/>
            <w:shd w:val="clear" w:color="auto" w:fill="C00000"/>
          </w:tcPr>
          <w:p>
            <w:pPr>
              <w:spacing w:after="0"/>
              <w:rPr>
                <w:sz w:val="14"/>
                <w:szCs w:val="14"/>
                <w:color w:val="auto"/>
              </w:rPr>
            </w:pP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C00000"/>
          </w:tcPr>
          <w:p>
            <w:pPr>
              <w:spacing w:after="0"/>
              <w:rPr>
                <w:sz w:val="14"/>
                <w:szCs w:val="14"/>
                <w:color w:val="auto"/>
              </w:rPr>
            </w:pP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200" w:type="dxa"/>
            <w:vAlign w:val="bottom"/>
            <w:shd w:val="clear" w:color="auto" w:fill="C00000"/>
          </w:tcPr>
          <w:p>
            <w:pPr>
              <w:spacing w:after="0"/>
              <w:rPr>
                <w:sz w:val="14"/>
                <w:szCs w:val="14"/>
                <w:color w:val="auto"/>
              </w:rPr>
            </w:pPr>
          </w:p>
        </w:tc>
      </w:tr>
      <w:tr>
        <w:trPr>
          <w:trHeight w:val="162"/>
        </w:trPr>
        <w:tc>
          <w:tcPr>
            <w:tcW w:w="4680" w:type="dxa"/>
            <w:vAlign w:val="bottom"/>
            <w:shd w:val="clear" w:color="auto" w:fill="C00000"/>
          </w:tcPr>
          <w:p>
            <w:pPr>
              <w:spacing w:after="0"/>
              <w:rPr>
                <w:sz w:val="14"/>
                <w:szCs w:val="14"/>
                <w:color w:val="auto"/>
              </w:rPr>
            </w:pPr>
          </w:p>
        </w:tc>
        <w:tc>
          <w:tcPr>
            <w:tcW w:w="1860" w:type="dxa"/>
            <w:vAlign w:val="bottom"/>
            <w:shd w:val="clear" w:color="auto" w:fill="C00000"/>
          </w:tcPr>
          <w:p>
            <w:pPr>
              <w:spacing w:after="0"/>
              <w:rPr>
                <w:sz w:val="14"/>
                <w:szCs w:val="14"/>
                <w:color w:val="auto"/>
              </w:rPr>
            </w:pP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162"/>
        </w:trPr>
        <w:tc>
          <w:tcPr>
            <w:tcW w:w="4680" w:type="dxa"/>
            <w:vAlign w:val="bottom"/>
            <w:shd w:val="clear" w:color="auto" w:fill="C00000"/>
          </w:tcPr>
          <w:p>
            <w:pPr>
              <w:spacing w:after="0"/>
              <w:rPr>
                <w:sz w:val="14"/>
                <w:szCs w:val="14"/>
                <w:color w:val="auto"/>
              </w:rPr>
            </w:pPr>
          </w:p>
        </w:tc>
        <w:tc>
          <w:tcPr>
            <w:tcW w:w="1860" w:type="dxa"/>
            <w:vAlign w:val="bottom"/>
            <w:shd w:val="clear" w:color="auto" w:fill="C00000"/>
          </w:tcPr>
          <w:p>
            <w:pPr>
              <w:spacing w:after="0"/>
              <w:rPr>
                <w:sz w:val="14"/>
                <w:szCs w:val="14"/>
                <w:color w:val="auto"/>
              </w:rPr>
            </w:pP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w:t>
            </w: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 on</w:t>
            </w:r>
          </w:p>
        </w:tc>
      </w:tr>
      <w:tr>
        <w:trPr>
          <w:trHeight w:val="162"/>
        </w:trPr>
        <w:tc>
          <w:tcPr>
            <w:tcW w:w="4680" w:type="dxa"/>
            <w:vAlign w:val="bottom"/>
            <w:shd w:val="clear" w:color="auto" w:fill="C00000"/>
          </w:tcPr>
          <w:p>
            <w:pPr>
              <w:spacing w:after="0"/>
              <w:rPr>
                <w:sz w:val="14"/>
                <w:szCs w:val="14"/>
                <w:color w:val="auto"/>
              </w:rPr>
            </w:pPr>
          </w:p>
        </w:tc>
        <w:tc>
          <w:tcPr>
            <w:tcW w:w="1860" w:type="dxa"/>
            <w:vAlign w:val="bottom"/>
            <w:shd w:val="clear" w:color="auto" w:fill="C00000"/>
          </w:tcPr>
          <w:p>
            <w:pPr>
              <w:spacing w:after="0"/>
              <w:rPr>
                <w:sz w:val="14"/>
                <w:szCs w:val="14"/>
                <w:color w:val="auto"/>
              </w:rPr>
            </w:pP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Vesting</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Vesting</w:t>
            </w:r>
          </w:p>
        </w:tc>
      </w:tr>
      <w:tr>
        <w:trPr>
          <w:trHeight w:val="175"/>
        </w:trPr>
        <w:tc>
          <w:tcPr>
            <w:tcW w:w="46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1860" w:type="dxa"/>
            <w:vAlign w:val="bottom"/>
            <w:shd w:val="clear" w:color="auto" w:fill="C00000"/>
          </w:tcPr>
          <w:p>
            <w:pPr>
              <w:spacing w:after="0"/>
              <w:rPr>
                <w:sz w:val="15"/>
                <w:szCs w:val="15"/>
                <w:color w:val="auto"/>
              </w:rPr>
            </w:pP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Michael J. Hoffman</w:t>
            </w:r>
          </w:p>
        </w:tc>
        <w:tc>
          <w:tcPr>
            <w:tcW w:w="1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Stock Option Exercises</w:t>
            </w:r>
          </w:p>
        </w:tc>
        <w:tc>
          <w:tcPr>
            <w:tcW w:w="310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554,800</w:t>
            </w:r>
          </w:p>
        </w:tc>
        <w:tc>
          <w:tcPr>
            <w:tcW w:w="1360" w:type="dxa"/>
            <w:vAlign w:val="bottom"/>
          </w:tcPr>
          <w:p>
            <w:pPr>
              <w:jc w:val="right"/>
              <w:ind w:right="84"/>
              <w:spacing w:after="0" w:line="202" w:lineRule="exact"/>
              <w:rPr>
                <w:sz w:val="20"/>
                <w:szCs w:val="20"/>
                <w:color w:val="auto"/>
              </w:rPr>
            </w:pPr>
            <w:r>
              <w:rPr>
                <w:rFonts w:ascii="Arial" w:cs="Arial" w:eastAsia="Arial" w:hAnsi="Arial"/>
                <w:sz w:val="18"/>
                <w:szCs w:val="18"/>
                <w:color w:val="auto"/>
              </w:rPr>
              <w:t>$16,204,312</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F’14-F’16 Performance Share Award Payout</w:t>
            </w:r>
          </w:p>
        </w:tc>
        <w:tc>
          <w:tcPr>
            <w:tcW w:w="1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right"/>
              <w:ind w:right="125"/>
              <w:spacing w:after="0"/>
              <w:rPr>
                <w:sz w:val="20"/>
                <w:szCs w:val="20"/>
                <w:color w:val="auto"/>
              </w:rPr>
            </w:pPr>
            <w:r>
              <w:rPr>
                <w:rFonts w:ascii="Arial" w:cs="Arial" w:eastAsia="Arial" w:hAnsi="Arial"/>
                <w:sz w:val="18"/>
                <w:szCs w:val="18"/>
                <w:color w:val="auto"/>
              </w:rPr>
              <w:t>53,771</w:t>
            </w:r>
          </w:p>
        </w:tc>
        <w:tc>
          <w:tcPr>
            <w:tcW w:w="1200" w:type="dxa"/>
            <w:vAlign w:val="bottom"/>
          </w:tcPr>
          <w:p>
            <w:pPr>
              <w:jc w:val="right"/>
              <w:ind w:right="24"/>
              <w:spacing w:after="0"/>
              <w:rPr>
                <w:sz w:val="20"/>
                <w:szCs w:val="20"/>
                <w:color w:val="auto"/>
              </w:rPr>
            </w:pPr>
            <w:r>
              <w:rPr>
                <w:rFonts w:ascii="Arial" w:cs="Arial" w:eastAsia="Arial" w:hAnsi="Arial"/>
                <w:sz w:val="18"/>
                <w:szCs w:val="18"/>
                <w:color w:val="auto"/>
              </w:rPr>
              <w:t>$3,107,426</w:t>
            </w:r>
          </w:p>
        </w:tc>
      </w:tr>
      <w:tr>
        <w:trPr>
          <w:trHeight w:val="351"/>
        </w:trPr>
        <w:tc>
          <w:tcPr>
            <w:tcW w:w="468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55</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-1139825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360" w:type="dxa"/>
            <w:vAlign w:val="bottom"/>
            <w:shd w:val="clear" w:color="auto" w:fill="C00000"/>
          </w:tcPr>
          <w:p>
            <w:pPr>
              <w:spacing w:after="0"/>
              <w:rPr>
                <w:sz w:val="23"/>
                <w:szCs w:val="23"/>
                <w:color w:val="auto"/>
              </w:rPr>
            </w:pPr>
          </w:p>
        </w:tc>
        <w:tc>
          <w:tcPr>
            <w:tcW w:w="2760" w:type="dxa"/>
            <w:vAlign w:val="bottom"/>
            <w:gridSpan w:val="2"/>
            <w:shd w:val="clear" w:color="auto" w:fill="C00000"/>
          </w:tcPr>
          <w:p>
            <w:pPr>
              <w:jc w:val="right"/>
              <w:ind w:right="660"/>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2300" w:type="dxa"/>
            <w:vAlign w:val="bottom"/>
            <w:gridSpan w:val="2"/>
            <w:shd w:val="clear" w:color="auto" w:fill="C00000"/>
          </w:tcPr>
          <w:p>
            <w:pPr>
              <w:jc w:val="right"/>
              <w:ind w:right="45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(2)</w:t>
            </w:r>
          </w:p>
        </w:tc>
      </w:tr>
      <w:tr>
        <w:trPr>
          <w:trHeight w:val="162"/>
        </w:trPr>
        <w:tc>
          <w:tcPr>
            <w:tcW w:w="63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ind w:left="2"/>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C00000"/>
          </w:tcPr>
          <w:p>
            <w:pPr>
              <w:spacing w:after="0"/>
              <w:rPr>
                <w:sz w:val="14"/>
                <w:szCs w:val="14"/>
                <w:color w:val="auto"/>
              </w:rPr>
            </w:pPr>
          </w:p>
        </w:tc>
        <w:tc>
          <w:tcPr>
            <w:tcW w:w="11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C00000"/>
          </w:tcPr>
          <w:p>
            <w:pPr>
              <w:spacing w:after="0"/>
              <w:rPr>
                <w:sz w:val="14"/>
                <w:szCs w:val="14"/>
                <w:color w:val="auto"/>
              </w:rPr>
            </w:pPr>
          </w:p>
        </w:tc>
      </w:tr>
      <w:tr>
        <w:trPr>
          <w:trHeight w:val="162"/>
        </w:trPr>
        <w:tc>
          <w:tcPr>
            <w:tcW w:w="63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ind w:left="2"/>
              <w:spacing w:after="0"/>
              <w:rPr>
                <w:sz w:val="20"/>
                <w:szCs w:val="20"/>
                <w:color w:val="auto"/>
              </w:rPr>
            </w:pPr>
            <w:r>
              <w:rPr>
                <w:rFonts w:ascii="Arial" w:cs="Arial" w:eastAsia="Arial" w:hAnsi="Arial"/>
                <w:sz w:val="14"/>
                <w:szCs w:val="14"/>
                <w:b w:val="1"/>
                <w:bCs w:val="1"/>
                <w:color w:val="FFFFFF"/>
              </w:rPr>
              <w:t>Shares</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c>
          <w:tcPr>
            <w:tcW w:w="11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C00000"/>
          </w:tcPr>
          <w:p>
            <w:pPr>
              <w:jc w:val="center"/>
              <w:ind w:left="38"/>
              <w:spacing w:after="0"/>
              <w:rPr>
                <w:sz w:val="20"/>
                <w:szCs w:val="20"/>
                <w:color w:val="auto"/>
              </w:rPr>
            </w:pPr>
            <w:r>
              <w:rPr>
                <w:rFonts w:ascii="Arial" w:cs="Arial" w:eastAsia="Arial" w:hAnsi="Arial"/>
                <w:sz w:val="14"/>
                <w:szCs w:val="14"/>
                <w:b w:val="1"/>
                <w:bCs w:val="1"/>
                <w:color w:val="FFFFFF"/>
              </w:rPr>
              <w:t>Value</w:t>
            </w:r>
          </w:p>
        </w:tc>
      </w:tr>
      <w:tr>
        <w:trPr>
          <w:trHeight w:val="162"/>
        </w:trPr>
        <w:tc>
          <w:tcPr>
            <w:tcW w:w="63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ind w:left="2"/>
              <w:spacing w:after="0"/>
              <w:rPr>
                <w:sz w:val="20"/>
                <w:szCs w:val="20"/>
                <w:color w:val="auto"/>
              </w:rPr>
            </w:pPr>
            <w:r>
              <w:rPr>
                <w:rFonts w:ascii="Arial" w:cs="Arial" w:eastAsia="Arial" w:hAnsi="Arial"/>
                <w:sz w:val="14"/>
                <w:szCs w:val="14"/>
                <w:b w:val="1"/>
                <w:bCs w:val="1"/>
                <w:color w:val="FFFFFF"/>
              </w:rPr>
              <w:t>Acquired</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w:t>
            </w:r>
          </w:p>
        </w:tc>
        <w:tc>
          <w:tcPr>
            <w:tcW w:w="11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140" w:type="dxa"/>
            <w:vAlign w:val="bottom"/>
            <w:shd w:val="clear" w:color="auto" w:fill="C00000"/>
          </w:tcPr>
          <w:p>
            <w:pPr>
              <w:jc w:val="center"/>
              <w:ind w:left="18"/>
              <w:spacing w:after="0"/>
              <w:rPr>
                <w:sz w:val="20"/>
                <w:szCs w:val="20"/>
                <w:color w:val="auto"/>
              </w:rPr>
            </w:pPr>
            <w:r>
              <w:rPr>
                <w:rFonts w:ascii="Arial" w:cs="Arial" w:eastAsia="Arial" w:hAnsi="Arial"/>
                <w:sz w:val="14"/>
                <w:szCs w:val="14"/>
                <w:b w:val="1"/>
                <w:bCs w:val="1"/>
                <w:color w:val="FFFFFF"/>
              </w:rPr>
              <w:t>Realized on</w:t>
            </w:r>
          </w:p>
        </w:tc>
      </w:tr>
      <w:tr>
        <w:trPr>
          <w:trHeight w:val="162"/>
        </w:trPr>
        <w:tc>
          <w:tcPr>
            <w:tcW w:w="63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ind w:left="2"/>
              <w:spacing w:after="0"/>
              <w:rPr>
                <w:sz w:val="20"/>
                <w:szCs w:val="20"/>
                <w:color w:val="auto"/>
              </w:rPr>
            </w:pPr>
            <w:r>
              <w:rPr>
                <w:rFonts w:ascii="Arial" w:cs="Arial" w:eastAsia="Arial" w:hAnsi="Arial"/>
                <w:sz w:val="14"/>
                <w:szCs w:val="14"/>
                <w:b w:val="1"/>
                <w:bCs w:val="1"/>
                <w:color w:val="FFFFFF"/>
              </w:rPr>
              <w:t>On Exercise</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1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Vesting</w:t>
            </w:r>
          </w:p>
        </w:tc>
        <w:tc>
          <w:tcPr>
            <w:tcW w:w="1140" w:type="dxa"/>
            <w:vAlign w:val="bottom"/>
            <w:shd w:val="clear" w:color="auto" w:fill="C00000"/>
          </w:tcPr>
          <w:p>
            <w:pPr>
              <w:jc w:val="center"/>
              <w:ind w:left="38"/>
              <w:spacing w:after="0"/>
              <w:rPr>
                <w:sz w:val="20"/>
                <w:szCs w:val="20"/>
                <w:color w:val="auto"/>
              </w:rPr>
            </w:pPr>
            <w:r>
              <w:rPr>
                <w:rFonts w:ascii="Arial" w:cs="Arial" w:eastAsia="Arial" w:hAnsi="Arial"/>
                <w:sz w:val="14"/>
                <w:szCs w:val="14"/>
                <w:b w:val="1"/>
                <w:bCs w:val="1"/>
                <w:color w:val="FFFFFF"/>
                <w:w w:val="98"/>
              </w:rPr>
              <w:t>Vesting</w:t>
            </w:r>
          </w:p>
        </w:tc>
      </w:tr>
      <w:tr>
        <w:trPr>
          <w:trHeight w:val="175"/>
        </w:trPr>
        <w:tc>
          <w:tcPr>
            <w:tcW w:w="63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C00000"/>
          </w:tcPr>
          <w:p>
            <w:pPr>
              <w:jc w:val="center"/>
              <w:ind w:left="2"/>
              <w:spacing w:after="0"/>
              <w:rPr>
                <w:sz w:val="20"/>
                <w:szCs w:val="20"/>
                <w:color w:val="auto"/>
              </w:rPr>
            </w:pPr>
            <w:r>
              <w:rPr>
                <w:rFonts w:ascii="Arial" w:cs="Arial" w:eastAsia="Arial" w:hAnsi="Arial"/>
                <w:sz w:val="14"/>
                <w:szCs w:val="14"/>
                <w:b w:val="1"/>
                <w:bCs w:val="1"/>
                <w:color w:val="FFFFFF"/>
                <w:w w:val="93"/>
              </w:rPr>
              <w:t>(#)</w:t>
            </w:r>
          </w:p>
        </w:tc>
        <w:tc>
          <w:tcPr>
            <w:tcW w:w="13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C00000"/>
          </w:tcPr>
          <w:p>
            <w:pPr>
              <w:jc w:val="center"/>
              <w:ind w:left="38"/>
              <w:spacing w:after="0"/>
              <w:rPr>
                <w:sz w:val="20"/>
                <w:szCs w:val="20"/>
                <w:color w:val="auto"/>
              </w:rPr>
            </w:pPr>
            <w:r>
              <w:rPr>
                <w:rFonts w:ascii="Arial" w:cs="Arial" w:eastAsia="Arial" w:hAnsi="Arial"/>
                <w:sz w:val="14"/>
                <w:szCs w:val="14"/>
                <w:b w:val="1"/>
                <w:bCs w:val="1"/>
                <w:color w:val="FFFFFF"/>
              </w:rPr>
              <w:t>($)</w:t>
            </w:r>
          </w:p>
        </w:tc>
      </w:tr>
      <w:tr>
        <w:trPr>
          <w:trHeight w:val="202"/>
        </w:trPr>
        <w:tc>
          <w:tcPr>
            <w:tcW w:w="636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Renee J. Peterson</w:t>
            </w:r>
          </w:p>
        </w:tc>
        <w:tc>
          <w:tcPr>
            <w:tcW w:w="140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r>
      <w:tr>
        <w:trPr>
          <w:trHeight w:val="203"/>
        </w:trPr>
        <w:tc>
          <w:tcPr>
            <w:tcW w:w="6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Stock Option Exercises</w:t>
            </w:r>
          </w:p>
        </w:tc>
        <w:tc>
          <w:tcPr>
            <w:tcW w:w="1400" w:type="dxa"/>
            <w:vAlign w:val="bottom"/>
            <w:shd w:val="clear" w:color="auto" w:fill="D9D9D9"/>
          </w:tcPr>
          <w:p>
            <w:pPr>
              <w:jc w:val="right"/>
              <w:ind w:right="162"/>
              <w:spacing w:after="0" w:line="202" w:lineRule="exact"/>
              <w:rPr>
                <w:sz w:val="20"/>
                <w:szCs w:val="20"/>
                <w:color w:val="auto"/>
              </w:rPr>
            </w:pPr>
            <w:r>
              <w:rPr>
                <w:rFonts w:ascii="Arial" w:cs="Arial" w:eastAsia="Arial" w:hAnsi="Arial"/>
                <w:sz w:val="18"/>
                <w:szCs w:val="18"/>
                <w:color w:val="auto"/>
              </w:rPr>
              <w:t>10,000</w:t>
            </w:r>
          </w:p>
        </w:tc>
        <w:tc>
          <w:tcPr>
            <w:tcW w:w="1360" w:type="dxa"/>
            <w:vAlign w:val="bottom"/>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rPr>
              <w:t>$274,517</w:t>
            </w:r>
          </w:p>
        </w:tc>
        <w:tc>
          <w:tcPr>
            <w:tcW w:w="1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r>
      <w:tr>
        <w:trPr>
          <w:trHeight w:val="203"/>
        </w:trPr>
        <w:tc>
          <w:tcPr>
            <w:tcW w:w="6360" w:type="dxa"/>
            <w:vAlign w:val="bottom"/>
            <w:shd w:val="clear" w:color="auto" w:fill="D9D9D9"/>
          </w:tcPr>
          <w:p>
            <w:pPr>
              <w:ind w:left="180"/>
              <w:spacing w:after="0" w:line="203" w:lineRule="exact"/>
              <w:rPr>
                <w:sz w:val="20"/>
                <w:szCs w:val="20"/>
                <w:color w:val="auto"/>
              </w:rPr>
            </w:pPr>
            <w:r>
              <w:rPr>
                <w:rFonts w:ascii="Arial" w:cs="Arial" w:eastAsia="Arial" w:hAnsi="Arial"/>
                <w:sz w:val="18"/>
                <w:szCs w:val="18"/>
                <w:color w:val="auto"/>
              </w:rPr>
              <w:t>F’14-F’16 Performance Share Award Payout</w:t>
            </w:r>
          </w:p>
        </w:tc>
        <w:tc>
          <w:tcPr>
            <w:tcW w:w="140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140"/>
              <w:spacing w:after="0" w:line="203" w:lineRule="exact"/>
              <w:rPr>
                <w:sz w:val="20"/>
                <w:szCs w:val="20"/>
                <w:color w:val="auto"/>
              </w:rPr>
            </w:pPr>
            <w:r>
              <w:rPr>
                <w:rFonts w:ascii="Arial" w:cs="Arial" w:eastAsia="Arial" w:hAnsi="Arial"/>
                <w:sz w:val="18"/>
                <w:szCs w:val="18"/>
                <w:color w:val="auto"/>
              </w:rPr>
              <w:t>13,846</w:t>
            </w:r>
          </w:p>
        </w:tc>
        <w:tc>
          <w:tcPr>
            <w:tcW w:w="1140" w:type="dxa"/>
            <w:vAlign w:val="bottom"/>
            <w:shd w:val="clear" w:color="auto" w:fill="D9D9D9"/>
          </w:tcPr>
          <w:p>
            <w:pPr>
              <w:jc w:val="right"/>
              <w:ind w:right="18"/>
              <w:spacing w:after="0" w:line="203" w:lineRule="exact"/>
              <w:rPr>
                <w:sz w:val="20"/>
                <w:szCs w:val="20"/>
                <w:color w:val="auto"/>
              </w:rPr>
            </w:pPr>
            <w:r>
              <w:rPr>
                <w:rFonts w:ascii="Arial" w:cs="Arial" w:eastAsia="Arial" w:hAnsi="Arial"/>
                <w:sz w:val="18"/>
                <w:szCs w:val="18"/>
                <w:color w:val="auto"/>
              </w:rPr>
              <w:t>$800,160</w:t>
            </w: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rPr>
              <w:t>Richard M. Olson</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Restricted Stock Unit Award</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1,562</w:t>
            </w:r>
          </w:p>
        </w:tc>
        <w:tc>
          <w:tcPr>
            <w:tcW w:w="11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$64,393</w:t>
            </w:r>
          </w:p>
        </w:tc>
      </w:tr>
      <w:tr>
        <w:trPr>
          <w:trHeight w:val="203"/>
        </w:trPr>
        <w:tc>
          <w:tcPr>
            <w:tcW w:w="6360" w:type="dxa"/>
            <w:vAlign w:val="bottom"/>
          </w:tcPr>
          <w:p>
            <w:pPr>
              <w:ind w:left="180"/>
              <w:spacing w:after="0" w:line="203" w:lineRule="exact"/>
              <w:rPr>
                <w:sz w:val="20"/>
                <w:szCs w:val="20"/>
                <w:color w:val="auto"/>
              </w:rPr>
            </w:pPr>
            <w:r>
              <w:rPr>
                <w:rFonts w:ascii="Arial" w:cs="Arial" w:eastAsia="Arial" w:hAnsi="Arial"/>
                <w:sz w:val="18"/>
                <w:szCs w:val="18"/>
                <w:color w:val="auto"/>
              </w:rPr>
              <w:t>F’14-F’16 Performance Share Award Payout</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jc w:val="right"/>
              <w:ind w:right="140"/>
              <w:spacing w:after="0" w:line="203" w:lineRule="exact"/>
              <w:rPr>
                <w:sz w:val="20"/>
                <w:szCs w:val="20"/>
                <w:color w:val="auto"/>
              </w:rPr>
            </w:pPr>
            <w:r>
              <w:rPr>
                <w:rFonts w:ascii="Arial" w:cs="Arial" w:eastAsia="Arial" w:hAnsi="Arial"/>
                <w:sz w:val="18"/>
                <w:szCs w:val="18"/>
                <w:color w:val="auto"/>
              </w:rPr>
              <w:t>3,743</w:t>
            </w:r>
          </w:p>
        </w:tc>
        <w:tc>
          <w:tcPr>
            <w:tcW w:w="1140" w:type="dxa"/>
            <w:vAlign w:val="bottom"/>
          </w:tcPr>
          <w:p>
            <w:pPr>
              <w:jc w:val="right"/>
              <w:ind w:right="18"/>
              <w:spacing w:after="0" w:line="203" w:lineRule="exact"/>
              <w:rPr>
                <w:sz w:val="20"/>
                <w:szCs w:val="20"/>
                <w:color w:val="auto"/>
              </w:rPr>
            </w:pPr>
            <w:r>
              <w:rPr>
                <w:rFonts w:ascii="Arial" w:cs="Arial" w:eastAsia="Arial" w:hAnsi="Arial"/>
                <w:sz w:val="18"/>
                <w:szCs w:val="18"/>
                <w:color w:val="auto"/>
              </w:rPr>
              <w:t>$216,308</w:t>
            </w:r>
          </w:p>
        </w:tc>
      </w:tr>
      <w:tr>
        <w:trPr>
          <w:trHeight w:val="202"/>
        </w:trPr>
        <w:tc>
          <w:tcPr>
            <w:tcW w:w="636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William E. Brown, Jr.</w:t>
            </w:r>
          </w:p>
        </w:tc>
        <w:tc>
          <w:tcPr>
            <w:tcW w:w="140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r>
      <w:tr>
        <w:trPr>
          <w:trHeight w:val="203"/>
        </w:trPr>
        <w:tc>
          <w:tcPr>
            <w:tcW w:w="636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Stock Option Exercises</w:t>
            </w:r>
          </w:p>
        </w:tc>
        <w:tc>
          <w:tcPr>
            <w:tcW w:w="1400" w:type="dxa"/>
            <w:vAlign w:val="bottom"/>
            <w:shd w:val="clear" w:color="auto" w:fill="D9D9D9"/>
          </w:tcPr>
          <w:p>
            <w:pPr>
              <w:jc w:val="right"/>
              <w:ind w:right="162"/>
              <w:spacing w:after="0" w:line="202" w:lineRule="exact"/>
              <w:rPr>
                <w:sz w:val="20"/>
                <w:szCs w:val="20"/>
                <w:color w:val="auto"/>
              </w:rPr>
            </w:pPr>
            <w:r>
              <w:rPr>
                <w:rFonts w:ascii="Arial" w:cs="Arial" w:eastAsia="Arial" w:hAnsi="Arial"/>
                <w:sz w:val="18"/>
                <w:szCs w:val="18"/>
                <w:color w:val="auto"/>
              </w:rPr>
              <w:t>60,664</w:t>
            </w:r>
          </w:p>
        </w:tc>
        <w:tc>
          <w:tcPr>
            <w:tcW w:w="1360" w:type="dxa"/>
            <w:vAlign w:val="bottom"/>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rPr>
              <w:t>$2,022,619</w:t>
            </w:r>
          </w:p>
        </w:tc>
        <w:tc>
          <w:tcPr>
            <w:tcW w:w="1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r>
      <w:tr>
        <w:trPr>
          <w:trHeight w:val="203"/>
        </w:trPr>
        <w:tc>
          <w:tcPr>
            <w:tcW w:w="6360" w:type="dxa"/>
            <w:vAlign w:val="bottom"/>
            <w:shd w:val="clear" w:color="auto" w:fill="D9D9D9"/>
          </w:tcPr>
          <w:p>
            <w:pPr>
              <w:ind w:left="180"/>
              <w:spacing w:after="0" w:line="203" w:lineRule="exact"/>
              <w:rPr>
                <w:sz w:val="20"/>
                <w:szCs w:val="20"/>
                <w:color w:val="auto"/>
              </w:rPr>
            </w:pPr>
            <w:r>
              <w:rPr>
                <w:rFonts w:ascii="Arial" w:cs="Arial" w:eastAsia="Arial" w:hAnsi="Arial"/>
                <w:sz w:val="18"/>
                <w:szCs w:val="18"/>
                <w:color w:val="auto"/>
              </w:rPr>
              <w:t>F’14-F’16 Performance Share Award Payout</w:t>
            </w:r>
          </w:p>
        </w:tc>
        <w:tc>
          <w:tcPr>
            <w:tcW w:w="140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140"/>
              <w:spacing w:after="0" w:line="203" w:lineRule="exact"/>
              <w:rPr>
                <w:sz w:val="20"/>
                <w:szCs w:val="20"/>
                <w:color w:val="auto"/>
              </w:rPr>
            </w:pPr>
            <w:r>
              <w:rPr>
                <w:rFonts w:ascii="Arial" w:cs="Arial" w:eastAsia="Arial" w:hAnsi="Arial"/>
                <w:sz w:val="18"/>
                <w:szCs w:val="18"/>
                <w:color w:val="auto"/>
              </w:rPr>
              <w:t>7,829</w:t>
            </w:r>
          </w:p>
        </w:tc>
        <w:tc>
          <w:tcPr>
            <w:tcW w:w="1140" w:type="dxa"/>
            <w:vAlign w:val="bottom"/>
            <w:shd w:val="clear" w:color="auto" w:fill="D9D9D9"/>
          </w:tcPr>
          <w:p>
            <w:pPr>
              <w:jc w:val="right"/>
              <w:ind w:right="18"/>
              <w:spacing w:after="0" w:line="203" w:lineRule="exact"/>
              <w:rPr>
                <w:sz w:val="20"/>
                <w:szCs w:val="20"/>
                <w:color w:val="auto"/>
              </w:rPr>
            </w:pPr>
            <w:r>
              <w:rPr>
                <w:rFonts w:ascii="Arial" w:cs="Arial" w:eastAsia="Arial" w:hAnsi="Arial"/>
                <w:sz w:val="18"/>
                <w:szCs w:val="18"/>
                <w:color w:val="auto"/>
              </w:rPr>
              <w:t>$452,438</w:t>
            </w: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rPr>
              <w:t>Timothy P. Dordell</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Stock Option Exercises</w:t>
            </w:r>
          </w:p>
        </w:tc>
        <w:tc>
          <w:tcPr>
            <w:tcW w:w="1400" w:type="dxa"/>
            <w:vAlign w:val="bottom"/>
          </w:tcPr>
          <w:p>
            <w:pPr>
              <w:jc w:val="right"/>
              <w:ind w:right="162"/>
              <w:spacing w:after="0" w:line="202" w:lineRule="exact"/>
              <w:rPr>
                <w:sz w:val="20"/>
                <w:szCs w:val="20"/>
                <w:color w:val="auto"/>
              </w:rPr>
            </w:pPr>
            <w:r>
              <w:rPr>
                <w:rFonts w:ascii="Arial" w:cs="Arial" w:eastAsia="Arial" w:hAnsi="Arial"/>
                <w:sz w:val="18"/>
                <w:szCs w:val="18"/>
                <w:color w:val="auto"/>
              </w:rPr>
              <w:t>112,000</w:t>
            </w:r>
          </w:p>
        </w:tc>
        <w:tc>
          <w:tcPr>
            <w:tcW w:w="136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$3,380,576</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6360" w:type="dxa"/>
            <w:vAlign w:val="bottom"/>
          </w:tcPr>
          <w:p>
            <w:pPr>
              <w:ind w:left="180"/>
              <w:spacing w:after="0"/>
              <w:rPr>
                <w:sz w:val="20"/>
                <w:szCs w:val="20"/>
                <w:color w:val="auto"/>
              </w:rPr>
            </w:pPr>
            <w:r>
              <w:rPr>
                <w:rFonts w:ascii="Arial" w:cs="Arial" w:eastAsia="Arial" w:hAnsi="Arial"/>
                <w:sz w:val="18"/>
                <w:szCs w:val="18"/>
                <w:color w:val="auto"/>
              </w:rPr>
              <w:t>F’14-F’16 Performance Share Award Payout</w:t>
            </w: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8"/>
                <w:szCs w:val="18"/>
                <w:color w:val="auto"/>
              </w:rPr>
              <w:t>8,538</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$493,411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-2074545</wp:posOffset>
            </wp:positionV>
            <wp:extent cx="2941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6073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5" w:lineRule="exact"/>
        <w:rPr>
          <w:sz w:val="20"/>
          <w:szCs w:val="20"/>
          <w:color w:val="auto"/>
        </w:rPr>
      </w:pPr>
    </w:p>
    <w:p>
      <w:pPr>
        <w:jc w:val="both"/>
        <w:ind w:left="460" w:right="100" w:hanging="452"/>
        <w:spacing w:after="0" w:line="23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228" w:lineRule="exact"/>
        <w:rPr>
          <w:rFonts w:ascii="Arial" w:cs="Arial" w:eastAsia="Arial" w:hAnsi="Arial"/>
          <w:sz w:val="18"/>
          <w:szCs w:val="18"/>
          <w:color w:val="auto"/>
        </w:rPr>
      </w:pPr>
    </w:p>
    <w:p>
      <w:pPr>
        <w:ind w:left="460" w:right="20" w:hanging="452"/>
        <w:spacing w:after="0" w:line="23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as reported on the NYSE, on December 8, 2016 (the payout date for the fiscal 2014 to fiscal 2016 performance share awards) of $57.79 per share. Amounts are not reduced to reflect any elections by our named executive officers to defer receipt of performance share award payouts. Under the Deferred Plan for Officers, Ms. Peterson deferred receipt of 100%, or 13,846 shares, of her fiscal 2014 to fiscal 2016 performance share award payout and Mr. Olson deferred receipt of 100%, or 3,743 shares, of his fiscal 2014 to fiscal 2016 performance share award payout. The material terms of the Deferred Plan for Officers are described under “Nonqualified Deferred Compensation for Fiscal 2016” set forth below. The value realized on vesting of the restricted stock unit award for Mr. Olson represents the gross number of shares acquired, including share dividend equivalents, multiplied by the closing price of our common stock, as reported on the NYSE, on March 14, 2016 (the first business day after the March 12, 2016 vesting date) of $41.225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Nonqualified Deferred Compensation for Fiscal 2016</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190" w:lineRule="exact"/>
        <w:rPr>
          <w:sz w:val="20"/>
          <w:szCs w:val="20"/>
          <w:color w:val="auto"/>
        </w:rPr>
      </w:pPr>
    </w:p>
    <w:p>
      <w:pPr>
        <w:ind w:firstLine="456"/>
        <w:spacing w:after="0"/>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a select group of management or highly compensated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including our 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181" w:lineRule="exact"/>
        <w:rPr>
          <w:sz w:val="20"/>
          <w:szCs w:val="20"/>
          <w:color w:val="auto"/>
        </w:rPr>
      </w:pPr>
    </w:p>
    <w:p>
      <w:pPr>
        <w:ind w:right="460" w:firstLine="456"/>
        <w:spacing w:after="0" w:line="271"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including our executive officers, an opportunity to defer receipt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shares of our common stock paid out under such awards to a date in the future. Participants can defer up to 100% of the common stock payout. Each year, before the third fiscal year of the three-year performance period begins, participants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accounts.</w:t>
      </w:r>
    </w:p>
    <w:p>
      <w:pPr>
        <w:spacing w:after="0" w:line="181" w:lineRule="exact"/>
        <w:rPr>
          <w:sz w:val="20"/>
          <w:szCs w:val="20"/>
          <w:color w:val="auto"/>
        </w:rPr>
      </w:pPr>
    </w:p>
    <w:p>
      <w:pPr>
        <w:ind w:right="160" w:firstLine="456"/>
        <w:spacing w:after="0"/>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executive officers, benefits in excess of the limitations on benefits and contributions imposed by Code Sections 401(a)(17) and 415. Our contributions to this plan are made on a calendar year basis, usually in the first calendar quarter following the end of the prior calendar year. For earnings above the compensation limit, we contribute the investment savings calculation and the ESOP fund calculation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181" w:lineRule="exact"/>
        <w:rPr>
          <w:sz w:val="20"/>
          <w:szCs w:val="20"/>
          <w:color w:val="auto"/>
        </w:rPr>
      </w:pPr>
    </w:p>
    <w:p>
      <w:pPr>
        <w:ind w:right="240" w:firstLine="456"/>
        <w:spacing w:after="0" w:line="271" w:lineRule="auto"/>
        <w:rPr>
          <w:sz w:val="20"/>
          <w:szCs w:val="20"/>
          <w:color w:val="auto"/>
        </w:rPr>
      </w:pPr>
      <w:r>
        <w:rPr>
          <w:rFonts w:ascii="Arial" w:cs="Arial" w:eastAsia="Arial" w:hAnsi="Arial"/>
          <w:sz w:val="18"/>
          <w:szCs w:val="18"/>
          <w:b w:val="1"/>
          <w:bCs w:val="1"/>
          <w:color w:val="auto"/>
        </w:rPr>
        <w:t xml:space="preserve">Nonqualified Deferred Compensation for Fiscal 2016 Table. </w:t>
      </w:r>
      <w:r>
        <w:rPr>
          <w:rFonts w:ascii="Arial" w:cs="Arial" w:eastAsia="Arial" w:hAnsi="Arial"/>
          <w:sz w:val="18"/>
          <w:szCs w:val="18"/>
          <w:color w:val="auto"/>
        </w:rPr>
        <w:t>The following table reflects any named executive officer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Company contributions for fiscal 2016 to our nonqualified deferred compensation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shd w:val="clear" w:color="auto" w:fill="C00000"/>
          </w:tcPr>
          <w:p>
            <w:pPr>
              <w:spacing w:after="0"/>
              <w:rPr>
                <w:sz w:val="14"/>
                <w:szCs w:val="14"/>
                <w:color w:val="auto"/>
              </w:rPr>
            </w:pPr>
          </w:p>
        </w:tc>
        <w:tc>
          <w:tcPr>
            <w:tcW w:w="13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Executive</w:t>
            </w:r>
          </w:p>
        </w:tc>
        <w:tc>
          <w:tcPr>
            <w:tcW w:w="128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Registrant</w:t>
            </w:r>
          </w:p>
        </w:tc>
        <w:tc>
          <w:tcPr>
            <w:tcW w:w="1100" w:type="dxa"/>
            <w:vAlign w:val="bottom"/>
            <w:gridSpan w:val="2"/>
            <w:shd w:val="clear" w:color="auto" w:fill="C00000"/>
          </w:tcPr>
          <w:p>
            <w:pPr>
              <w:ind w:left="160"/>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Aggregate</w:t>
            </w:r>
          </w:p>
        </w:tc>
        <w:tc>
          <w:tcPr>
            <w:tcW w:w="12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59"/>
        </w:trPr>
        <w:tc>
          <w:tcPr>
            <w:tcW w:w="5240" w:type="dxa"/>
            <w:vAlign w:val="bottom"/>
            <w:shd w:val="clear" w:color="auto" w:fill="C00000"/>
          </w:tcPr>
          <w:p>
            <w:pPr>
              <w:spacing w:after="0"/>
              <w:rPr>
                <w:sz w:val="13"/>
                <w:szCs w:val="13"/>
                <w:color w:val="auto"/>
              </w:rPr>
            </w:pPr>
          </w:p>
        </w:tc>
        <w:tc>
          <w:tcPr>
            <w:tcW w:w="136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Contributions</w:t>
            </w:r>
          </w:p>
        </w:tc>
        <w:tc>
          <w:tcPr>
            <w:tcW w:w="128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Contributions</w:t>
            </w:r>
          </w:p>
        </w:tc>
        <w:tc>
          <w:tcPr>
            <w:tcW w:w="1100" w:type="dxa"/>
            <w:vAlign w:val="bottom"/>
            <w:gridSpan w:val="2"/>
            <w:shd w:val="clear" w:color="auto" w:fill="C00000"/>
          </w:tcPr>
          <w:p>
            <w:pPr>
              <w:jc w:val="right"/>
              <w:ind w:right="92"/>
              <w:spacing w:after="0" w:line="159" w:lineRule="exact"/>
              <w:rPr>
                <w:sz w:val="20"/>
                <w:szCs w:val="20"/>
                <w:color w:val="auto"/>
              </w:rPr>
            </w:pPr>
            <w:r>
              <w:rPr>
                <w:rFonts w:ascii="Arial" w:cs="Arial" w:eastAsia="Arial" w:hAnsi="Arial"/>
                <w:sz w:val="14"/>
                <w:szCs w:val="14"/>
                <w:b w:val="1"/>
                <w:bCs w:val="1"/>
                <w:color w:val="FFFFFF"/>
              </w:rPr>
              <w:t>Earnings in</w:t>
            </w:r>
          </w:p>
        </w:tc>
        <w:tc>
          <w:tcPr>
            <w:tcW w:w="124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Withdrawals/</w:t>
            </w:r>
          </w:p>
        </w:tc>
        <w:tc>
          <w:tcPr>
            <w:tcW w:w="120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Balance at</w:t>
            </w:r>
          </w:p>
        </w:tc>
      </w:tr>
      <w:tr>
        <w:trPr>
          <w:trHeight w:val="166"/>
        </w:trPr>
        <w:tc>
          <w:tcPr>
            <w:tcW w:w="5240" w:type="dxa"/>
            <w:vAlign w:val="bottom"/>
            <w:shd w:val="clear" w:color="auto" w:fill="C00000"/>
          </w:tcPr>
          <w:p>
            <w:pPr>
              <w:spacing w:after="0"/>
              <w:rPr>
                <w:sz w:val="14"/>
                <w:szCs w:val="14"/>
                <w:color w:val="auto"/>
              </w:rPr>
            </w:pPr>
          </w:p>
        </w:tc>
        <w:tc>
          <w:tcPr>
            <w:tcW w:w="136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(1)</w:t>
            </w:r>
          </w:p>
        </w:tc>
        <w:tc>
          <w:tcPr>
            <w:tcW w:w="128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(2)</w:t>
            </w:r>
          </w:p>
        </w:tc>
        <w:tc>
          <w:tcPr>
            <w:tcW w:w="1100" w:type="dxa"/>
            <w:vAlign w:val="bottom"/>
            <w:gridSpan w:val="2"/>
            <w:shd w:val="clear" w:color="auto" w:fill="C00000"/>
          </w:tcPr>
          <w:p>
            <w:pPr>
              <w:ind w:left="180"/>
              <w:spacing w:after="0" w:line="165" w:lineRule="exact"/>
              <w:rPr>
                <w:sz w:val="20"/>
                <w:szCs w:val="20"/>
                <w:color w:val="auto"/>
              </w:rPr>
            </w:pPr>
            <w:r>
              <w:rPr>
                <w:rFonts w:ascii="Arial" w:cs="Arial" w:eastAsia="Arial" w:hAnsi="Arial"/>
                <w:sz w:val="12"/>
                <w:szCs w:val="12"/>
                <w:b w:val="1"/>
                <w:bCs w:val="1"/>
                <w:color w:val="FFFFFF"/>
              </w:rPr>
              <w:t>Last FY</w:t>
            </w:r>
            <w:r>
              <w:rPr>
                <w:rFonts w:ascii="Arial" w:cs="Arial" w:eastAsia="Arial" w:hAnsi="Arial"/>
                <w:sz w:val="19"/>
                <w:szCs w:val="19"/>
                <w:b w:val="1"/>
                <w:bCs w:val="1"/>
                <w:color w:val="FFFFFF"/>
                <w:vertAlign w:val="superscript"/>
              </w:rPr>
              <w:t>(3)</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Distributions</w:t>
            </w:r>
          </w:p>
        </w:tc>
        <w:tc>
          <w:tcPr>
            <w:tcW w:w="120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Last FYE</w:t>
            </w:r>
            <w:r>
              <w:rPr>
                <w:rFonts w:ascii="Arial" w:cs="Arial" w:eastAsia="Arial" w:hAnsi="Arial"/>
                <w:sz w:val="19"/>
                <w:szCs w:val="19"/>
                <w:b w:val="1"/>
                <w:bCs w:val="1"/>
                <w:color w:val="FFFFFF"/>
                <w:vertAlign w:val="superscript"/>
              </w:rPr>
              <w:t>(4)</w:t>
            </w:r>
          </w:p>
        </w:tc>
      </w:tr>
      <w:tr>
        <w:trPr>
          <w:trHeight w:val="189"/>
        </w:trPr>
        <w:tc>
          <w:tcPr>
            <w:tcW w:w="524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540" w:type="dxa"/>
            <w:vAlign w:val="bottom"/>
            <w:shd w:val="clear" w:color="auto" w:fill="C00000"/>
          </w:tcPr>
          <w:p>
            <w:pPr>
              <w:spacing w:after="0"/>
              <w:rPr>
                <w:sz w:val="16"/>
                <w:szCs w:val="16"/>
                <w:color w:val="auto"/>
              </w:rPr>
            </w:pPr>
          </w:p>
        </w:tc>
        <w:tc>
          <w:tcPr>
            <w:tcW w:w="820" w:type="dxa"/>
            <w:vAlign w:val="bottom"/>
            <w:shd w:val="clear" w:color="auto" w:fill="C00000"/>
          </w:tcPr>
          <w:p>
            <w:pPr>
              <w:jc w:val="center"/>
              <w:ind w:right="512"/>
              <w:spacing w:after="0"/>
              <w:rPr>
                <w:sz w:val="20"/>
                <w:szCs w:val="20"/>
                <w:color w:val="auto"/>
              </w:rPr>
            </w:pPr>
            <w:r>
              <w:rPr>
                <w:rFonts w:ascii="Arial" w:cs="Arial" w:eastAsia="Arial" w:hAnsi="Arial"/>
                <w:sz w:val="14"/>
                <w:szCs w:val="14"/>
                <w:b w:val="1"/>
                <w:bCs w:val="1"/>
                <w:color w:val="FFFFFF"/>
              </w:rPr>
              <w:t>($)</w:t>
            </w:r>
          </w:p>
        </w:tc>
        <w:tc>
          <w:tcPr>
            <w:tcW w:w="480" w:type="dxa"/>
            <w:vAlign w:val="bottom"/>
            <w:shd w:val="clear" w:color="auto" w:fill="C00000"/>
          </w:tcPr>
          <w:p>
            <w:pPr>
              <w:spacing w:after="0"/>
              <w:rPr>
                <w:sz w:val="16"/>
                <w:szCs w:val="16"/>
                <w:color w:val="auto"/>
              </w:rPr>
            </w:pPr>
          </w:p>
        </w:tc>
        <w:tc>
          <w:tcPr>
            <w:tcW w:w="800" w:type="dxa"/>
            <w:vAlign w:val="bottom"/>
            <w:shd w:val="clear" w:color="auto" w:fill="C00000"/>
          </w:tcPr>
          <w:p>
            <w:pPr>
              <w:jc w:val="center"/>
              <w:ind w:right="451"/>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C00000"/>
          </w:tcPr>
          <w:p>
            <w:pPr>
              <w:spacing w:after="0"/>
              <w:rPr>
                <w:sz w:val="16"/>
                <w:szCs w:val="16"/>
                <w:color w:val="auto"/>
              </w:rPr>
            </w:pPr>
          </w:p>
        </w:tc>
        <w:tc>
          <w:tcPr>
            <w:tcW w:w="760" w:type="dxa"/>
            <w:vAlign w:val="bottom"/>
            <w:shd w:val="clear" w:color="auto" w:fill="C00000"/>
          </w:tcPr>
          <w:p>
            <w:pPr>
              <w:jc w:val="right"/>
              <w:ind w:right="412"/>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C00000"/>
          </w:tcPr>
          <w:p>
            <w:pPr>
              <w:spacing w:after="0"/>
              <w:rPr>
                <w:sz w:val="16"/>
                <w:szCs w:val="16"/>
                <w:color w:val="auto"/>
              </w:rPr>
            </w:pPr>
          </w:p>
        </w:tc>
        <w:tc>
          <w:tcPr>
            <w:tcW w:w="940" w:type="dxa"/>
            <w:vAlign w:val="bottom"/>
            <w:shd w:val="clear" w:color="auto" w:fill="C00000"/>
          </w:tcPr>
          <w:p>
            <w:pPr>
              <w:jc w:val="center"/>
              <w:ind w:right="191"/>
              <w:spacing w:after="0"/>
              <w:rPr>
                <w:sz w:val="20"/>
                <w:szCs w:val="20"/>
                <w:color w:val="auto"/>
              </w:rPr>
            </w:pPr>
            <w:r>
              <w:rPr>
                <w:rFonts w:ascii="Arial" w:cs="Arial" w:eastAsia="Arial" w:hAnsi="Arial"/>
                <w:sz w:val="14"/>
                <w:szCs w:val="14"/>
                <w:b w:val="1"/>
                <w:bCs w:val="1"/>
                <w:color w:val="FFFFFF"/>
              </w:rPr>
              <w:t>($)</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Michael J. Hoffman</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Deferred Plan</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$ 162,010</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4,531,006</w:t>
            </w: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Deferred Plan for Officers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w:t>
            </w:r>
          </w:p>
        </w:tc>
      </w:tr>
      <w:tr>
        <w:trPr>
          <w:trHeight w:val="203"/>
        </w:trPr>
        <w:tc>
          <w:tcPr>
            <w:tcW w:w="5240" w:type="dxa"/>
            <w:vAlign w:val="bottom"/>
          </w:tcPr>
          <w:p>
            <w:pPr>
              <w:ind w:left="180"/>
              <w:spacing w:after="0" w:line="203" w:lineRule="exact"/>
              <w:rPr>
                <w:sz w:val="20"/>
                <w:szCs w:val="20"/>
                <w:color w:val="auto"/>
              </w:rPr>
            </w:pPr>
            <w:r>
              <w:rPr>
                <w:rFonts w:ascii="Arial" w:cs="Arial" w:eastAsia="Arial" w:hAnsi="Arial"/>
                <w:sz w:val="18"/>
                <w:szCs w:val="18"/>
                <w:color w:val="auto"/>
              </w:rPr>
              <w:t>Supplemental Benefit Plan</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line="203" w:lineRule="exact"/>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31"/>
              <w:spacing w:after="0" w:line="203" w:lineRule="exact"/>
              <w:rPr>
                <w:sz w:val="20"/>
                <w:szCs w:val="20"/>
                <w:color w:val="auto"/>
              </w:rPr>
            </w:pPr>
            <w:r>
              <w:rPr>
                <w:rFonts w:ascii="Arial" w:cs="Arial" w:eastAsia="Arial" w:hAnsi="Arial"/>
                <w:sz w:val="18"/>
                <w:szCs w:val="18"/>
                <w:color w:val="auto"/>
              </w:rPr>
              <w:t>$ 146,606</w:t>
            </w:r>
          </w:p>
        </w:tc>
        <w:tc>
          <w:tcPr>
            <w:tcW w:w="1100" w:type="dxa"/>
            <w:vAlign w:val="bottom"/>
            <w:gridSpan w:val="2"/>
          </w:tcPr>
          <w:p>
            <w:pPr>
              <w:jc w:val="right"/>
              <w:ind w:right="52"/>
              <w:spacing w:after="0" w:line="203" w:lineRule="exact"/>
              <w:rPr>
                <w:sz w:val="20"/>
                <w:szCs w:val="20"/>
                <w:color w:val="auto"/>
              </w:rPr>
            </w:pPr>
            <w:r>
              <w:rPr>
                <w:rFonts w:ascii="Arial" w:cs="Arial" w:eastAsia="Arial" w:hAnsi="Arial"/>
                <w:sz w:val="18"/>
                <w:szCs w:val="18"/>
                <w:color w:val="auto"/>
              </w:rPr>
              <w:t>$ 116,056</w:t>
            </w:r>
          </w:p>
        </w:tc>
        <w:tc>
          <w:tcPr>
            <w:tcW w:w="1240" w:type="dxa"/>
            <w:vAlign w:val="bottom"/>
          </w:tcPr>
          <w:p>
            <w:pPr>
              <w:jc w:val="right"/>
              <w:ind w:right="34"/>
              <w:spacing w:after="0" w:line="203"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3" w:lineRule="exact"/>
              <w:rPr>
                <w:sz w:val="20"/>
                <w:szCs w:val="20"/>
                <w:color w:val="auto"/>
              </w:rPr>
            </w:pPr>
            <w:r>
              <w:rPr>
                <w:rFonts w:ascii="Arial" w:cs="Arial" w:eastAsia="Arial" w:hAnsi="Arial"/>
                <w:sz w:val="18"/>
                <w:szCs w:val="18"/>
                <w:color w:val="auto"/>
              </w:rPr>
              <w:t>3,310,537</w:t>
            </w:r>
          </w:p>
        </w:tc>
      </w:tr>
      <w:tr>
        <w:trPr>
          <w:trHeight w:val="202"/>
        </w:trPr>
        <w:tc>
          <w:tcPr>
            <w:tcW w:w="524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Renee J. Peterson</w:t>
            </w:r>
          </w:p>
        </w:tc>
        <w:tc>
          <w:tcPr>
            <w:tcW w:w="54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48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124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r>
      <w:tr>
        <w:trPr>
          <w:trHeight w:val="203"/>
        </w:trPr>
        <w:tc>
          <w:tcPr>
            <w:tcW w:w="524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Deferred Plan</w:t>
            </w:r>
          </w:p>
        </w:tc>
        <w:tc>
          <w:tcPr>
            <w:tcW w:w="1360" w:type="dxa"/>
            <w:vAlign w:val="bottom"/>
            <w:gridSpan w:val="2"/>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$ 171,405</w:t>
            </w: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37,567</w:t>
            </w:r>
          </w:p>
        </w:tc>
        <w:tc>
          <w:tcPr>
            <w:tcW w:w="1240" w:type="dxa"/>
            <w:vAlign w:val="bottom"/>
            <w:shd w:val="clear" w:color="auto" w:fill="D9D9D9"/>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1"/>
              <w:spacing w:after="0" w:line="202" w:lineRule="exact"/>
              <w:rPr>
                <w:sz w:val="20"/>
                <w:szCs w:val="20"/>
                <w:color w:val="auto"/>
              </w:rPr>
            </w:pPr>
            <w:r>
              <w:rPr>
                <w:rFonts w:ascii="Arial" w:cs="Arial" w:eastAsia="Arial" w:hAnsi="Arial"/>
                <w:sz w:val="18"/>
                <w:szCs w:val="18"/>
                <w:color w:val="auto"/>
              </w:rPr>
              <w:t>1,184,559</w:t>
            </w:r>
          </w:p>
        </w:tc>
      </w:tr>
      <w:tr>
        <w:trPr>
          <w:trHeight w:val="203"/>
        </w:trPr>
        <w:tc>
          <w:tcPr>
            <w:tcW w:w="524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Deferred Plan for Officers</w:t>
            </w:r>
          </w:p>
        </w:tc>
        <w:tc>
          <w:tcPr>
            <w:tcW w:w="1360" w:type="dxa"/>
            <w:vAlign w:val="bottom"/>
            <w:gridSpan w:val="2"/>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$ 800,160</w:t>
            </w: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1100" w:type="dxa"/>
            <w:vAlign w:val="bottom"/>
            <w:gridSpan w:val="2"/>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$ 564,796</w:t>
            </w:r>
          </w:p>
        </w:tc>
        <w:tc>
          <w:tcPr>
            <w:tcW w:w="1240" w:type="dxa"/>
            <w:vAlign w:val="bottom"/>
            <w:shd w:val="clear" w:color="auto" w:fill="D9D9D9"/>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1"/>
              <w:spacing w:after="0" w:line="202" w:lineRule="exact"/>
              <w:rPr>
                <w:sz w:val="20"/>
                <w:szCs w:val="20"/>
                <w:color w:val="auto"/>
              </w:rPr>
            </w:pPr>
            <w:r>
              <w:rPr>
                <w:rFonts w:ascii="Arial" w:cs="Arial" w:eastAsia="Arial" w:hAnsi="Arial"/>
                <w:sz w:val="18"/>
                <w:szCs w:val="18"/>
                <w:color w:val="auto"/>
              </w:rPr>
              <w:t>3,264,436</w:t>
            </w:r>
          </w:p>
        </w:tc>
      </w:tr>
      <w:tr>
        <w:trPr>
          <w:trHeight w:val="203"/>
        </w:trPr>
        <w:tc>
          <w:tcPr>
            <w:tcW w:w="5240" w:type="dxa"/>
            <w:vAlign w:val="bottom"/>
            <w:shd w:val="clear" w:color="auto" w:fill="D9D9D9"/>
          </w:tcPr>
          <w:p>
            <w:pPr>
              <w:ind w:left="180"/>
              <w:spacing w:after="0" w:line="203" w:lineRule="exact"/>
              <w:rPr>
                <w:sz w:val="20"/>
                <w:szCs w:val="20"/>
                <w:color w:val="auto"/>
              </w:rPr>
            </w:pPr>
            <w:r>
              <w:rPr>
                <w:rFonts w:ascii="Arial" w:cs="Arial" w:eastAsia="Arial" w:hAnsi="Arial"/>
                <w:sz w:val="18"/>
                <w:szCs w:val="18"/>
                <w:color w:val="auto"/>
              </w:rPr>
              <w:t>Supplemental Benefit Plan</w:t>
            </w:r>
          </w:p>
        </w:tc>
        <w:tc>
          <w:tcPr>
            <w:tcW w:w="54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ind w:right="52"/>
              <w:spacing w:after="0" w:line="203" w:lineRule="exact"/>
              <w:rPr>
                <w:sz w:val="20"/>
                <w:szCs w:val="20"/>
                <w:color w:val="auto"/>
              </w:rPr>
            </w:pPr>
            <w:r>
              <w:rPr>
                <w:rFonts w:ascii="Arial" w:cs="Arial" w:eastAsia="Arial" w:hAnsi="Arial"/>
                <w:sz w:val="18"/>
                <w:szCs w:val="18"/>
                <w:color w:val="auto"/>
              </w:rPr>
              <w:t>0</w:t>
            </w:r>
          </w:p>
        </w:tc>
        <w:tc>
          <w:tcPr>
            <w:tcW w:w="48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31"/>
              <w:spacing w:after="0" w:line="203" w:lineRule="exact"/>
              <w:rPr>
                <w:sz w:val="20"/>
                <w:szCs w:val="20"/>
                <w:color w:val="auto"/>
              </w:rPr>
            </w:pPr>
            <w:r>
              <w:rPr>
                <w:rFonts w:ascii="Arial" w:cs="Arial" w:eastAsia="Arial" w:hAnsi="Arial"/>
                <w:sz w:val="18"/>
                <w:szCs w:val="18"/>
                <w:color w:val="auto"/>
              </w:rPr>
              <w:t>43,978</w:t>
            </w:r>
          </w:p>
        </w:tc>
        <w:tc>
          <w:tcPr>
            <w:tcW w:w="340" w:type="dxa"/>
            <w:vAlign w:val="bottom"/>
            <w:shd w:val="clear" w:color="auto" w:fill="D9D9D9"/>
          </w:tcPr>
          <w:p>
            <w:pPr>
              <w:ind w:left="16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52"/>
              <w:spacing w:after="0" w:line="203" w:lineRule="exact"/>
              <w:rPr>
                <w:sz w:val="20"/>
                <w:szCs w:val="20"/>
                <w:color w:val="auto"/>
              </w:rPr>
            </w:pPr>
            <w:r>
              <w:rPr>
                <w:rFonts w:ascii="Arial" w:cs="Arial" w:eastAsia="Arial" w:hAnsi="Arial"/>
                <w:sz w:val="18"/>
                <w:szCs w:val="18"/>
                <w:color w:val="auto"/>
              </w:rPr>
              <w:t>8,064</w:t>
            </w:r>
          </w:p>
        </w:tc>
        <w:tc>
          <w:tcPr>
            <w:tcW w:w="1240" w:type="dxa"/>
            <w:vAlign w:val="bottom"/>
            <w:shd w:val="clear" w:color="auto" w:fill="D9D9D9"/>
          </w:tcPr>
          <w:p>
            <w:pPr>
              <w:jc w:val="right"/>
              <w:ind w:right="34"/>
              <w:spacing w:after="0" w:line="203" w:lineRule="exact"/>
              <w:rPr>
                <w:sz w:val="20"/>
                <w:szCs w:val="20"/>
                <w:color w:val="auto"/>
              </w:rPr>
            </w:pPr>
            <w:r>
              <w:rPr>
                <w:rFonts w:ascii="Arial" w:cs="Arial" w:eastAsia="Arial" w:hAnsi="Arial"/>
                <w:sz w:val="18"/>
                <w:szCs w:val="18"/>
                <w:color w:val="auto"/>
              </w:rPr>
              <w:t>$ 0</w:t>
            </w:r>
          </w:p>
        </w:tc>
        <w:tc>
          <w:tcPr>
            <w:tcW w:w="26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1"/>
              <w:spacing w:after="0" w:line="203" w:lineRule="exact"/>
              <w:rPr>
                <w:sz w:val="20"/>
                <w:szCs w:val="20"/>
                <w:color w:val="auto"/>
              </w:rPr>
            </w:pPr>
            <w:r>
              <w:rPr>
                <w:rFonts w:ascii="Arial" w:cs="Arial" w:eastAsia="Arial" w:hAnsi="Arial"/>
                <w:sz w:val="18"/>
                <w:szCs w:val="18"/>
                <w:color w:val="auto"/>
              </w:rPr>
              <w:t>241,418</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Richard M. Olson</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Deferred Plan</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66,168</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3,678</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152,404</w:t>
            </w: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Deferred Plan for Officers</w:t>
            </w:r>
          </w:p>
        </w:tc>
        <w:tc>
          <w:tcPr>
            <w:tcW w:w="13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$ 216,308</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$ 207,497</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1,126,065</w:t>
            </w:r>
          </w:p>
        </w:tc>
      </w:tr>
      <w:tr>
        <w:trPr>
          <w:trHeight w:val="203"/>
        </w:trPr>
        <w:tc>
          <w:tcPr>
            <w:tcW w:w="5240" w:type="dxa"/>
            <w:vAlign w:val="bottom"/>
          </w:tcPr>
          <w:p>
            <w:pPr>
              <w:ind w:left="180"/>
              <w:spacing w:after="0" w:line="203" w:lineRule="exact"/>
              <w:rPr>
                <w:sz w:val="20"/>
                <w:szCs w:val="20"/>
                <w:color w:val="auto"/>
              </w:rPr>
            </w:pPr>
            <w:r>
              <w:rPr>
                <w:rFonts w:ascii="Arial" w:cs="Arial" w:eastAsia="Arial" w:hAnsi="Arial"/>
                <w:sz w:val="18"/>
                <w:szCs w:val="18"/>
                <w:color w:val="auto"/>
              </w:rPr>
              <w:t>Supplemental Benefit Plan</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line="203" w:lineRule="exact"/>
              <w:rPr>
                <w:sz w:val="20"/>
                <w:szCs w:val="20"/>
                <w:color w:val="auto"/>
              </w:rPr>
            </w:pPr>
            <w:r>
              <w:rPr>
                <w:rFonts w:ascii="Arial" w:cs="Arial" w:eastAsia="Arial" w:hAnsi="Arial"/>
                <w:sz w:val="18"/>
                <w:szCs w:val="18"/>
                <w:color w:val="auto"/>
              </w:rPr>
              <w:t>0</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46,832</w:t>
            </w:r>
          </w:p>
        </w:tc>
        <w:tc>
          <w:tcPr>
            <w:tcW w:w="340" w:type="dxa"/>
            <w:vAlign w:val="bottom"/>
          </w:tcPr>
          <w:p>
            <w:pPr>
              <w:ind w:left="16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4,593</w:t>
            </w:r>
          </w:p>
        </w:tc>
        <w:tc>
          <w:tcPr>
            <w:tcW w:w="1240" w:type="dxa"/>
            <w:vAlign w:val="bottom"/>
          </w:tcPr>
          <w:p>
            <w:pPr>
              <w:jc w:val="right"/>
              <w:ind w:right="34"/>
              <w:spacing w:after="0" w:line="203"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159,437</w:t>
            </w:r>
          </w:p>
        </w:tc>
      </w:tr>
      <w:tr>
        <w:trPr>
          <w:trHeight w:val="202"/>
        </w:trPr>
        <w:tc>
          <w:tcPr>
            <w:tcW w:w="524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William E. Brown, Jr.</w:t>
            </w:r>
          </w:p>
        </w:tc>
        <w:tc>
          <w:tcPr>
            <w:tcW w:w="54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48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124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r>
      <w:tr>
        <w:trPr>
          <w:trHeight w:val="203"/>
        </w:trPr>
        <w:tc>
          <w:tcPr>
            <w:tcW w:w="524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Deferred Plan</w:t>
            </w:r>
          </w:p>
        </w:tc>
        <w:tc>
          <w:tcPr>
            <w:tcW w:w="1360" w:type="dxa"/>
            <w:vAlign w:val="bottom"/>
            <w:gridSpan w:val="2"/>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$ 441,974</w:t>
            </w: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5,796</w:t>
            </w:r>
          </w:p>
        </w:tc>
        <w:tc>
          <w:tcPr>
            <w:tcW w:w="34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52,236</w:t>
            </w:r>
          </w:p>
        </w:tc>
        <w:tc>
          <w:tcPr>
            <w:tcW w:w="1240" w:type="dxa"/>
            <w:vAlign w:val="bottom"/>
            <w:shd w:val="clear" w:color="auto" w:fill="D9D9D9"/>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1"/>
              <w:spacing w:after="0" w:line="202" w:lineRule="exact"/>
              <w:rPr>
                <w:sz w:val="20"/>
                <w:szCs w:val="20"/>
                <w:color w:val="auto"/>
              </w:rPr>
            </w:pPr>
            <w:r>
              <w:rPr>
                <w:rFonts w:ascii="Arial" w:cs="Arial" w:eastAsia="Arial" w:hAnsi="Arial"/>
                <w:sz w:val="18"/>
                <w:szCs w:val="18"/>
                <w:color w:val="auto"/>
              </w:rPr>
              <w:t>2,019,553</w:t>
            </w:r>
          </w:p>
        </w:tc>
      </w:tr>
      <w:tr>
        <w:trPr>
          <w:trHeight w:val="203"/>
        </w:trPr>
        <w:tc>
          <w:tcPr>
            <w:tcW w:w="5240" w:type="dxa"/>
            <w:vAlign w:val="bottom"/>
            <w:shd w:val="clear" w:color="auto" w:fill="D9D9D9"/>
          </w:tcPr>
          <w:p>
            <w:pPr>
              <w:ind w:left="180"/>
              <w:spacing w:after="0" w:line="202" w:lineRule="exact"/>
              <w:rPr>
                <w:sz w:val="20"/>
                <w:szCs w:val="20"/>
                <w:color w:val="auto"/>
              </w:rPr>
            </w:pPr>
            <w:r>
              <w:rPr>
                <w:rFonts w:ascii="Arial" w:cs="Arial" w:eastAsia="Arial" w:hAnsi="Arial"/>
                <w:sz w:val="18"/>
                <w:szCs w:val="18"/>
                <w:color w:val="auto"/>
              </w:rPr>
              <w:t>Deferred Plan for Officers</w:t>
            </w: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1240" w:type="dxa"/>
            <w:vAlign w:val="bottom"/>
            <w:shd w:val="clear" w:color="auto" w:fill="D9D9D9"/>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1"/>
              <w:spacing w:after="0" w:line="202" w:lineRule="exact"/>
              <w:rPr>
                <w:sz w:val="20"/>
                <w:szCs w:val="20"/>
                <w:color w:val="auto"/>
              </w:rPr>
            </w:pPr>
            <w:r>
              <w:rPr>
                <w:rFonts w:ascii="Arial" w:cs="Arial" w:eastAsia="Arial" w:hAnsi="Arial"/>
                <w:sz w:val="18"/>
                <w:szCs w:val="18"/>
                <w:color w:val="auto"/>
              </w:rPr>
              <w:t>0</w:t>
            </w:r>
          </w:p>
        </w:tc>
      </w:tr>
      <w:tr>
        <w:trPr>
          <w:trHeight w:val="203"/>
        </w:trPr>
        <w:tc>
          <w:tcPr>
            <w:tcW w:w="5240" w:type="dxa"/>
            <w:vAlign w:val="bottom"/>
            <w:shd w:val="clear" w:color="auto" w:fill="D9D9D9"/>
          </w:tcPr>
          <w:p>
            <w:pPr>
              <w:ind w:left="180"/>
              <w:spacing w:after="0" w:line="203" w:lineRule="exact"/>
              <w:rPr>
                <w:sz w:val="20"/>
                <w:szCs w:val="20"/>
                <w:color w:val="auto"/>
              </w:rPr>
            </w:pPr>
            <w:r>
              <w:rPr>
                <w:rFonts w:ascii="Arial" w:cs="Arial" w:eastAsia="Arial" w:hAnsi="Arial"/>
                <w:sz w:val="18"/>
                <w:szCs w:val="18"/>
                <w:color w:val="auto"/>
              </w:rPr>
              <w:t>Supplemental Benefit Plan</w:t>
            </w:r>
          </w:p>
        </w:tc>
        <w:tc>
          <w:tcPr>
            <w:tcW w:w="54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ind w:right="52"/>
              <w:spacing w:after="0" w:line="203" w:lineRule="exact"/>
              <w:rPr>
                <w:sz w:val="20"/>
                <w:szCs w:val="20"/>
                <w:color w:val="auto"/>
              </w:rPr>
            </w:pPr>
            <w:r>
              <w:rPr>
                <w:rFonts w:ascii="Arial" w:cs="Arial" w:eastAsia="Arial" w:hAnsi="Arial"/>
                <w:sz w:val="18"/>
                <w:szCs w:val="18"/>
                <w:color w:val="auto"/>
              </w:rPr>
              <w:t>0</w:t>
            </w:r>
          </w:p>
        </w:tc>
        <w:tc>
          <w:tcPr>
            <w:tcW w:w="48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ind w:right="31"/>
              <w:spacing w:after="0" w:line="203" w:lineRule="exact"/>
              <w:rPr>
                <w:sz w:val="20"/>
                <w:szCs w:val="20"/>
                <w:color w:val="auto"/>
              </w:rPr>
            </w:pPr>
            <w:r>
              <w:rPr>
                <w:rFonts w:ascii="Arial" w:cs="Arial" w:eastAsia="Arial" w:hAnsi="Arial"/>
                <w:sz w:val="18"/>
                <w:szCs w:val="18"/>
                <w:color w:val="auto"/>
              </w:rPr>
              <w:t>30,757</w:t>
            </w:r>
          </w:p>
        </w:tc>
        <w:tc>
          <w:tcPr>
            <w:tcW w:w="340" w:type="dxa"/>
            <w:vAlign w:val="bottom"/>
            <w:shd w:val="clear" w:color="auto" w:fill="D9D9D9"/>
          </w:tcPr>
          <w:p>
            <w:pPr>
              <w:ind w:left="16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52"/>
              <w:spacing w:after="0" w:line="203" w:lineRule="exact"/>
              <w:rPr>
                <w:sz w:val="20"/>
                <w:szCs w:val="20"/>
                <w:color w:val="auto"/>
              </w:rPr>
            </w:pPr>
            <w:r>
              <w:rPr>
                <w:rFonts w:ascii="Arial" w:cs="Arial" w:eastAsia="Arial" w:hAnsi="Arial"/>
                <w:sz w:val="18"/>
                <w:szCs w:val="18"/>
                <w:color w:val="auto"/>
              </w:rPr>
              <w:t>17,789</w:t>
            </w:r>
          </w:p>
        </w:tc>
        <w:tc>
          <w:tcPr>
            <w:tcW w:w="1240" w:type="dxa"/>
            <w:vAlign w:val="bottom"/>
            <w:shd w:val="clear" w:color="auto" w:fill="D9D9D9"/>
          </w:tcPr>
          <w:p>
            <w:pPr>
              <w:jc w:val="right"/>
              <w:ind w:right="34"/>
              <w:spacing w:after="0" w:line="203" w:lineRule="exact"/>
              <w:rPr>
                <w:sz w:val="20"/>
                <w:szCs w:val="20"/>
                <w:color w:val="auto"/>
              </w:rPr>
            </w:pPr>
            <w:r>
              <w:rPr>
                <w:rFonts w:ascii="Arial" w:cs="Arial" w:eastAsia="Arial" w:hAnsi="Arial"/>
                <w:sz w:val="18"/>
                <w:szCs w:val="18"/>
                <w:color w:val="auto"/>
              </w:rPr>
              <w:t>$ 0</w:t>
            </w:r>
          </w:p>
        </w:tc>
        <w:tc>
          <w:tcPr>
            <w:tcW w:w="26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D9D9D9"/>
          </w:tcPr>
          <w:p>
            <w:pPr>
              <w:jc w:val="right"/>
              <w:ind w:right="11"/>
              <w:spacing w:after="0" w:line="203" w:lineRule="exact"/>
              <w:rPr>
                <w:sz w:val="20"/>
                <w:szCs w:val="20"/>
                <w:color w:val="auto"/>
              </w:rPr>
            </w:pPr>
            <w:r>
              <w:rPr>
                <w:rFonts w:ascii="Arial" w:cs="Arial" w:eastAsia="Arial" w:hAnsi="Arial"/>
                <w:sz w:val="18"/>
                <w:szCs w:val="18"/>
                <w:color w:val="auto"/>
              </w:rPr>
              <w:t>541,991</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Timothy P. Dordell</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Deferred Plan</w:t>
            </w:r>
          </w:p>
        </w:tc>
        <w:tc>
          <w:tcPr>
            <w:tcW w:w="13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$ 357,345</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2,916</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78,861</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2,447,385</w:t>
            </w: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Deferred Plan for Officers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$ 953,990</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4,231,446</w:t>
            </w:r>
          </w:p>
        </w:tc>
      </w:tr>
      <w:tr>
        <w:trPr>
          <w:trHeight w:val="217"/>
        </w:trPr>
        <w:tc>
          <w:tcPr>
            <w:tcW w:w="5240" w:type="dxa"/>
            <w:vAlign w:val="bottom"/>
          </w:tcPr>
          <w:p>
            <w:pPr>
              <w:ind w:left="180"/>
              <w:spacing w:after="0"/>
              <w:rPr>
                <w:sz w:val="20"/>
                <w:szCs w:val="20"/>
                <w:color w:val="auto"/>
              </w:rPr>
            </w:pPr>
            <w:r>
              <w:rPr>
                <w:rFonts w:ascii="Arial" w:cs="Arial" w:eastAsia="Arial" w:hAnsi="Arial"/>
                <w:sz w:val="18"/>
                <w:szCs w:val="18"/>
                <w:color w:val="auto"/>
              </w:rPr>
              <w:t>Supplemental Benefit Plan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27,823</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9,422</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$ 0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277,313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6073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3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beginning on page 49. Executive contributions of the fiscal 2014 to fiscal 2016 performance share award payouts are included in the “Value Realized on Vesting” column of the “Option Exercises and Stock Vested for Fiscal 2016” table beginning on page 55, but are not included in the “Summary Compensation Table” as that table reflects the grant of the fiscal 2016 to fiscal 2018 performance share awards at target value. Our named executive officers deferred the following components of compensation during fiscal 2016:</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79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6550" w:type="dxa"/>
            <w:vAlign w:val="bottom"/>
            <w:shd w:val="clear" w:color="auto" w:fill="C00000"/>
          </w:tcPr>
          <w:p>
            <w:pPr>
              <w:ind w:left="50"/>
              <w:spacing w:after="0"/>
              <w:rPr>
                <w:sz w:val="20"/>
                <w:szCs w:val="20"/>
                <w:color w:val="auto"/>
              </w:rPr>
            </w:pPr>
            <w:r>
              <w:rPr>
                <w:rFonts w:ascii="Arial" w:cs="Arial" w:eastAsia="Arial" w:hAnsi="Arial"/>
                <w:sz w:val="14"/>
                <w:szCs w:val="14"/>
                <w:b w:val="1"/>
                <w:bCs w:val="1"/>
                <w:color w:val="FFFFFF"/>
              </w:rPr>
              <w:t>Deferrals</w:t>
            </w:r>
          </w:p>
        </w:tc>
        <w:tc>
          <w:tcPr>
            <w:tcW w:w="2620" w:type="dxa"/>
            <w:vAlign w:val="bottom"/>
            <w:gridSpan w:val="2"/>
            <w:shd w:val="clear" w:color="auto" w:fill="C00000"/>
          </w:tcPr>
          <w:p>
            <w:pPr>
              <w:ind w:left="1700"/>
              <w:spacing w:after="0"/>
              <w:rPr>
                <w:sz w:val="20"/>
                <w:szCs w:val="20"/>
                <w:color w:val="auto"/>
              </w:rPr>
            </w:pPr>
            <w:r>
              <w:rPr>
                <w:rFonts w:ascii="Arial" w:cs="Arial" w:eastAsia="Arial" w:hAnsi="Arial"/>
                <w:sz w:val="14"/>
                <w:szCs w:val="14"/>
                <w:b w:val="1"/>
                <w:bCs w:val="1"/>
                <w:color w:val="FFFFFF"/>
              </w:rPr>
              <w:t>Amount ($)</w:t>
            </w:r>
          </w:p>
        </w:tc>
      </w:tr>
      <w:tr>
        <w:trPr>
          <w:trHeight w:val="202"/>
        </w:trPr>
        <w:tc>
          <w:tcPr>
            <w:tcW w:w="1790" w:type="dxa"/>
            <w:vAlign w:val="bottom"/>
          </w:tcPr>
          <w:p>
            <w:pPr>
              <w:ind w:left="60"/>
              <w:spacing w:after="0" w:line="201" w:lineRule="exact"/>
              <w:rPr>
                <w:sz w:val="20"/>
                <w:szCs w:val="20"/>
                <w:color w:val="auto"/>
              </w:rPr>
            </w:pPr>
            <w:r>
              <w:rPr>
                <w:rFonts w:ascii="Arial" w:cs="Arial" w:eastAsia="Arial" w:hAnsi="Arial"/>
                <w:sz w:val="18"/>
                <w:szCs w:val="18"/>
                <w:color w:val="auto"/>
              </w:rPr>
              <w:t>Ms. Peterson</w:t>
            </w:r>
          </w:p>
        </w:tc>
        <w:tc>
          <w:tcPr>
            <w:tcW w:w="6550" w:type="dxa"/>
            <w:vAlign w:val="bottom"/>
          </w:tcPr>
          <w:p>
            <w:pPr>
              <w:ind w:left="50"/>
              <w:spacing w:after="0" w:line="201" w:lineRule="exact"/>
              <w:rPr>
                <w:sz w:val="20"/>
                <w:szCs w:val="20"/>
                <w:color w:val="auto"/>
              </w:rPr>
            </w:pPr>
            <w:r>
              <w:rPr>
                <w:rFonts w:ascii="Arial" w:cs="Arial" w:eastAsia="Arial" w:hAnsi="Arial"/>
                <w:sz w:val="18"/>
                <w:szCs w:val="18"/>
                <w:color w:val="auto"/>
              </w:rPr>
              <w:t>19% of base salary from November through December 2015</w:t>
            </w:r>
          </w:p>
        </w:tc>
        <w:tc>
          <w:tcPr>
            <w:tcW w:w="1880" w:type="dxa"/>
            <w:vAlign w:val="bottom"/>
          </w:tcPr>
          <w:p>
            <w:pPr>
              <w:ind w:left="172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15,358</w:t>
            </w:r>
          </w:p>
        </w:tc>
      </w:tr>
      <w:tr>
        <w:trPr>
          <w:trHeight w:val="203"/>
        </w:trPr>
        <w:tc>
          <w:tcPr>
            <w:tcW w:w="1790" w:type="dxa"/>
            <w:vAlign w:val="bottom"/>
          </w:tcPr>
          <w:p>
            <w:pPr>
              <w:spacing w:after="0"/>
              <w:rPr>
                <w:sz w:val="17"/>
                <w:szCs w:val="17"/>
                <w:color w:val="auto"/>
              </w:rPr>
            </w:pPr>
          </w:p>
        </w:tc>
        <w:tc>
          <w:tcPr>
            <w:tcW w:w="6550" w:type="dxa"/>
            <w:vAlign w:val="bottom"/>
          </w:tcPr>
          <w:p>
            <w:pPr>
              <w:ind w:left="50"/>
              <w:spacing w:after="0" w:line="202" w:lineRule="exact"/>
              <w:rPr>
                <w:sz w:val="20"/>
                <w:szCs w:val="20"/>
                <w:color w:val="auto"/>
              </w:rPr>
            </w:pPr>
            <w:r>
              <w:rPr>
                <w:rFonts w:ascii="Arial" w:cs="Arial" w:eastAsia="Arial" w:hAnsi="Arial"/>
                <w:sz w:val="18"/>
                <w:szCs w:val="18"/>
                <w:color w:val="auto"/>
              </w:rPr>
              <w:t>20% of base salary for January through October 2016</w:t>
            </w:r>
          </w:p>
        </w:tc>
        <w:tc>
          <w:tcPr>
            <w:tcW w:w="1880" w:type="dxa"/>
            <w:vAlign w:val="bottom"/>
          </w:tcPr>
          <w:p>
            <w:pPr>
              <w:ind w:left="17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80,833</w:t>
            </w:r>
          </w:p>
        </w:tc>
      </w:tr>
      <w:tr>
        <w:trPr>
          <w:trHeight w:val="203"/>
        </w:trPr>
        <w:tc>
          <w:tcPr>
            <w:tcW w:w="1790" w:type="dxa"/>
            <w:vAlign w:val="bottom"/>
          </w:tcPr>
          <w:p>
            <w:pPr>
              <w:spacing w:after="0"/>
              <w:rPr>
                <w:sz w:val="17"/>
                <w:szCs w:val="17"/>
                <w:color w:val="auto"/>
              </w:rPr>
            </w:pPr>
          </w:p>
        </w:tc>
        <w:tc>
          <w:tcPr>
            <w:tcW w:w="6550" w:type="dxa"/>
            <w:vAlign w:val="bottom"/>
          </w:tcPr>
          <w:p>
            <w:pPr>
              <w:ind w:left="50"/>
              <w:spacing w:after="0" w:line="202" w:lineRule="exact"/>
              <w:rPr>
                <w:sz w:val="20"/>
                <w:szCs w:val="20"/>
                <w:color w:val="auto"/>
              </w:rPr>
            </w:pPr>
            <w:r>
              <w:rPr>
                <w:rFonts w:ascii="Arial" w:cs="Arial" w:eastAsia="Arial" w:hAnsi="Arial"/>
                <w:sz w:val="18"/>
                <w:szCs w:val="18"/>
                <w:color w:val="auto"/>
              </w:rPr>
              <w:t>25% of the fiscal 2016 annual cash incentive award</w:t>
            </w:r>
          </w:p>
        </w:tc>
        <w:tc>
          <w:tcPr>
            <w:tcW w:w="1880" w:type="dxa"/>
            <w:vAlign w:val="bottom"/>
          </w:tcPr>
          <w:p>
            <w:pPr>
              <w:ind w:left="17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75,214</w:t>
            </w:r>
          </w:p>
        </w:tc>
      </w:tr>
      <w:tr>
        <w:trPr>
          <w:trHeight w:val="203"/>
        </w:trPr>
        <w:tc>
          <w:tcPr>
            <w:tcW w:w="1790" w:type="dxa"/>
            <w:vAlign w:val="bottom"/>
          </w:tcPr>
          <w:p>
            <w:pPr>
              <w:spacing w:after="0"/>
              <w:rPr>
                <w:sz w:val="17"/>
                <w:szCs w:val="17"/>
                <w:color w:val="auto"/>
              </w:rPr>
            </w:pPr>
          </w:p>
        </w:tc>
        <w:tc>
          <w:tcPr>
            <w:tcW w:w="6550" w:type="dxa"/>
            <w:vAlign w:val="bottom"/>
          </w:tcPr>
          <w:p>
            <w:pPr>
              <w:ind w:left="50"/>
              <w:spacing w:after="0" w:line="203" w:lineRule="exact"/>
              <w:rPr>
                <w:sz w:val="20"/>
                <w:szCs w:val="20"/>
                <w:color w:val="auto"/>
              </w:rPr>
            </w:pPr>
            <w:r>
              <w:rPr>
                <w:rFonts w:ascii="Arial" w:cs="Arial" w:eastAsia="Arial" w:hAnsi="Arial"/>
                <w:sz w:val="18"/>
                <w:szCs w:val="18"/>
                <w:color w:val="auto"/>
              </w:rPr>
              <w:t>100% of the fiscal 2014 to 2016 performance share award</w:t>
            </w:r>
          </w:p>
        </w:tc>
        <w:tc>
          <w:tcPr>
            <w:tcW w:w="26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$ 800,160</w:t>
            </w:r>
          </w:p>
        </w:tc>
      </w:tr>
      <w:tr>
        <w:trPr>
          <w:trHeight w:val="202"/>
        </w:trPr>
        <w:tc>
          <w:tcPr>
            <w:tcW w:w="179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Mr. Olson</w:t>
            </w:r>
          </w:p>
        </w:tc>
        <w:tc>
          <w:tcPr>
            <w:tcW w:w="6550" w:type="dxa"/>
            <w:vAlign w:val="bottom"/>
            <w:shd w:val="clear" w:color="auto" w:fill="D9D9D9"/>
          </w:tcPr>
          <w:p>
            <w:pPr>
              <w:ind w:left="50"/>
              <w:spacing w:after="0" w:line="201" w:lineRule="exact"/>
              <w:rPr>
                <w:sz w:val="20"/>
                <w:szCs w:val="20"/>
                <w:color w:val="auto"/>
              </w:rPr>
            </w:pPr>
            <w:r>
              <w:rPr>
                <w:rFonts w:ascii="Arial" w:cs="Arial" w:eastAsia="Arial" w:hAnsi="Arial"/>
                <w:sz w:val="18"/>
                <w:szCs w:val="18"/>
                <w:color w:val="auto"/>
              </w:rPr>
              <w:t>20% of the fiscal 2016 annual cash incentive award</w:t>
            </w:r>
          </w:p>
        </w:tc>
        <w:tc>
          <w:tcPr>
            <w:tcW w:w="1880" w:type="dxa"/>
            <w:vAlign w:val="bottom"/>
            <w:shd w:val="clear" w:color="auto" w:fill="D9D9D9"/>
          </w:tcPr>
          <w:p>
            <w:pPr>
              <w:ind w:left="172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D9D9D9"/>
          </w:tcPr>
          <w:p>
            <w:pPr>
              <w:jc w:val="right"/>
              <w:ind w:right="10"/>
              <w:spacing w:after="0" w:line="201" w:lineRule="exact"/>
              <w:rPr>
                <w:sz w:val="20"/>
                <w:szCs w:val="20"/>
                <w:color w:val="auto"/>
              </w:rPr>
            </w:pPr>
            <w:r>
              <w:rPr>
                <w:rFonts w:ascii="Arial" w:cs="Arial" w:eastAsia="Arial" w:hAnsi="Arial"/>
                <w:sz w:val="18"/>
                <w:szCs w:val="18"/>
                <w:color w:val="auto"/>
              </w:rPr>
              <w:t>66,168</w:t>
            </w:r>
          </w:p>
        </w:tc>
      </w:tr>
      <w:tr>
        <w:trPr>
          <w:trHeight w:val="203"/>
        </w:trPr>
        <w:tc>
          <w:tcPr>
            <w:tcW w:w="1790" w:type="dxa"/>
            <w:vAlign w:val="bottom"/>
            <w:shd w:val="clear" w:color="auto" w:fill="D9D9D9"/>
          </w:tcPr>
          <w:p>
            <w:pPr>
              <w:spacing w:after="0"/>
              <w:rPr>
                <w:sz w:val="17"/>
                <w:szCs w:val="17"/>
                <w:color w:val="auto"/>
              </w:rPr>
            </w:pPr>
          </w:p>
        </w:tc>
        <w:tc>
          <w:tcPr>
            <w:tcW w:w="6550" w:type="dxa"/>
            <w:vAlign w:val="bottom"/>
            <w:shd w:val="clear" w:color="auto" w:fill="D9D9D9"/>
          </w:tcPr>
          <w:p>
            <w:pPr>
              <w:ind w:left="50"/>
              <w:spacing w:after="0" w:line="203" w:lineRule="exact"/>
              <w:rPr>
                <w:sz w:val="20"/>
                <w:szCs w:val="20"/>
                <w:color w:val="auto"/>
              </w:rPr>
            </w:pPr>
            <w:r>
              <w:rPr>
                <w:rFonts w:ascii="Arial" w:cs="Arial" w:eastAsia="Arial" w:hAnsi="Arial"/>
                <w:sz w:val="18"/>
                <w:szCs w:val="18"/>
                <w:color w:val="auto"/>
              </w:rPr>
              <w:t>100% of the fiscal 2014 to 2016 performance share award</w:t>
            </w:r>
          </w:p>
        </w:tc>
        <w:tc>
          <w:tcPr>
            <w:tcW w:w="2620" w:type="dxa"/>
            <w:vAlign w:val="bottom"/>
            <w:gridSpan w:val="2"/>
            <w:shd w:val="clear" w:color="auto" w:fill="D9D9D9"/>
          </w:tcPr>
          <w:p>
            <w:pPr>
              <w:jc w:val="right"/>
              <w:ind w:right="10"/>
              <w:spacing w:after="0" w:line="203" w:lineRule="exact"/>
              <w:rPr>
                <w:sz w:val="20"/>
                <w:szCs w:val="20"/>
                <w:color w:val="auto"/>
              </w:rPr>
            </w:pPr>
            <w:r>
              <w:rPr>
                <w:rFonts w:ascii="Arial" w:cs="Arial" w:eastAsia="Arial" w:hAnsi="Arial"/>
                <w:sz w:val="18"/>
                <w:szCs w:val="18"/>
                <w:color w:val="auto"/>
              </w:rPr>
              <w:t>$ 216,308</w:t>
            </w:r>
          </w:p>
        </w:tc>
      </w:tr>
      <w:tr>
        <w:trPr>
          <w:trHeight w:val="202"/>
        </w:trPr>
        <w:tc>
          <w:tcPr>
            <w:tcW w:w="1790" w:type="dxa"/>
            <w:vAlign w:val="bottom"/>
          </w:tcPr>
          <w:p>
            <w:pPr>
              <w:ind w:left="60"/>
              <w:spacing w:after="0" w:line="201" w:lineRule="exact"/>
              <w:rPr>
                <w:sz w:val="20"/>
                <w:szCs w:val="20"/>
                <w:color w:val="auto"/>
              </w:rPr>
            </w:pPr>
            <w:r>
              <w:rPr>
                <w:rFonts w:ascii="Arial" w:cs="Arial" w:eastAsia="Arial" w:hAnsi="Arial"/>
                <w:sz w:val="18"/>
                <w:szCs w:val="18"/>
                <w:color w:val="auto"/>
              </w:rPr>
              <w:t>Mr. Brown</w:t>
            </w:r>
          </w:p>
        </w:tc>
        <w:tc>
          <w:tcPr>
            <w:tcW w:w="6550" w:type="dxa"/>
            <w:vAlign w:val="bottom"/>
          </w:tcPr>
          <w:p>
            <w:pPr>
              <w:ind w:left="50"/>
              <w:spacing w:after="0" w:line="201" w:lineRule="exact"/>
              <w:rPr>
                <w:sz w:val="20"/>
                <w:szCs w:val="20"/>
                <w:color w:val="auto"/>
              </w:rPr>
            </w:pPr>
            <w:r>
              <w:rPr>
                <w:rFonts w:ascii="Arial" w:cs="Arial" w:eastAsia="Arial" w:hAnsi="Arial"/>
                <w:sz w:val="18"/>
                <w:szCs w:val="18"/>
                <w:color w:val="auto"/>
              </w:rPr>
              <w:t>50% of base salary for fiscal 2016</w:t>
            </w:r>
          </w:p>
        </w:tc>
        <w:tc>
          <w:tcPr>
            <w:tcW w:w="262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$ 205,000</w:t>
            </w:r>
          </w:p>
        </w:tc>
      </w:tr>
      <w:tr>
        <w:trPr>
          <w:trHeight w:val="203"/>
        </w:trPr>
        <w:tc>
          <w:tcPr>
            <w:tcW w:w="1790" w:type="dxa"/>
            <w:vAlign w:val="bottom"/>
          </w:tcPr>
          <w:p>
            <w:pPr>
              <w:spacing w:after="0"/>
              <w:rPr>
                <w:sz w:val="17"/>
                <w:szCs w:val="17"/>
                <w:color w:val="auto"/>
              </w:rPr>
            </w:pPr>
          </w:p>
        </w:tc>
        <w:tc>
          <w:tcPr>
            <w:tcW w:w="6550" w:type="dxa"/>
            <w:vAlign w:val="bottom"/>
          </w:tcPr>
          <w:p>
            <w:pPr>
              <w:ind w:left="50"/>
              <w:spacing w:after="0" w:line="203" w:lineRule="exact"/>
              <w:rPr>
                <w:sz w:val="20"/>
                <w:szCs w:val="20"/>
                <w:color w:val="auto"/>
              </w:rPr>
            </w:pPr>
            <w:r>
              <w:rPr>
                <w:rFonts w:ascii="Arial" w:cs="Arial" w:eastAsia="Arial" w:hAnsi="Arial"/>
                <w:sz w:val="18"/>
                <w:szCs w:val="18"/>
                <w:color w:val="auto"/>
              </w:rPr>
              <w:t>100% of the fiscal 2016 annual cash incentive award</w:t>
            </w:r>
          </w:p>
        </w:tc>
        <w:tc>
          <w:tcPr>
            <w:tcW w:w="26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$ 236,974</w:t>
            </w:r>
          </w:p>
        </w:tc>
      </w:tr>
      <w:tr>
        <w:trPr>
          <w:trHeight w:val="202"/>
        </w:trPr>
        <w:tc>
          <w:tcPr>
            <w:tcW w:w="1790" w:type="dxa"/>
            <w:vAlign w:val="bottom"/>
            <w:shd w:val="clear" w:color="auto" w:fill="D9D9D9"/>
          </w:tcPr>
          <w:p>
            <w:pPr>
              <w:ind w:left="60"/>
              <w:spacing w:after="0" w:line="201" w:lineRule="exact"/>
              <w:rPr>
                <w:sz w:val="20"/>
                <w:szCs w:val="20"/>
                <w:color w:val="auto"/>
              </w:rPr>
            </w:pPr>
            <w:r>
              <w:rPr>
                <w:rFonts w:ascii="Arial" w:cs="Arial" w:eastAsia="Arial" w:hAnsi="Arial"/>
                <w:sz w:val="18"/>
                <w:szCs w:val="18"/>
                <w:color w:val="auto"/>
              </w:rPr>
              <w:t>Mr. Dordell</w:t>
            </w:r>
          </w:p>
        </w:tc>
        <w:tc>
          <w:tcPr>
            <w:tcW w:w="6550" w:type="dxa"/>
            <w:vAlign w:val="bottom"/>
            <w:shd w:val="clear" w:color="auto" w:fill="D9D9D9"/>
          </w:tcPr>
          <w:p>
            <w:pPr>
              <w:ind w:left="50"/>
              <w:spacing w:after="0" w:line="201" w:lineRule="exact"/>
              <w:rPr>
                <w:sz w:val="20"/>
                <w:szCs w:val="20"/>
                <w:color w:val="auto"/>
              </w:rPr>
            </w:pPr>
            <w:r>
              <w:rPr>
                <w:rFonts w:ascii="Arial" w:cs="Arial" w:eastAsia="Arial" w:hAnsi="Arial"/>
                <w:sz w:val="18"/>
                <w:szCs w:val="18"/>
                <w:color w:val="auto"/>
              </w:rPr>
              <w:t>50% of base salary from November through December 2015</w:t>
            </w:r>
          </w:p>
        </w:tc>
        <w:tc>
          <w:tcPr>
            <w:tcW w:w="1880" w:type="dxa"/>
            <w:vAlign w:val="bottom"/>
            <w:shd w:val="clear" w:color="auto" w:fill="D9D9D9"/>
          </w:tcPr>
          <w:p>
            <w:pPr>
              <w:ind w:left="172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D9D9D9"/>
          </w:tcPr>
          <w:p>
            <w:pPr>
              <w:jc w:val="right"/>
              <w:ind w:right="10"/>
              <w:spacing w:after="0" w:line="201" w:lineRule="exact"/>
              <w:rPr>
                <w:sz w:val="20"/>
                <w:szCs w:val="20"/>
                <w:color w:val="auto"/>
              </w:rPr>
            </w:pPr>
            <w:r>
              <w:rPr>
                <w:rFonts w:ascii="Arial" w:cs="Arial" w:eastAsia="Arial" w:hAnsi="Arial"/>
                <w:sz w:val="18"/>
                <w:szCs w:val="18"/>
                <w:color w:val="auto"/>
              </w:rPr>
              <w:t>34,167</w:t>
            </w:r>
          </w:p>
        </w:tc>
      </w:tr>
      <w:tr>
        <w:trPr>
          <w:trHeight w:val="203"/>
        </w:trPr>
        <w:tc>
          <w:tcPr>
            <w:tcW w:w="1790" w:type="dxa"/>
            <w:vAlign w:val="bottom"/>
            <w:shd w:val="clear" w:color="auto" w:fill="D9D9D9"/>
          </w:tcPr>
          <w:p>
            <w:pPr>
              <w:spacing w:after="0"/>
              <w:rPr>
                <w:sz w:val="17"/>
                <w:szCs w:val="17"/>
                <w:color w:val="auto"/>
              </w:rPr>
            </w:pPr>
          </w:p>
        </w:tc>
        <w:tc>
          <w:tcPr>
            <w:tcW w:w="6550" w:type="dxa"/>
            <w:vAlign w:val="bottom"/>
            <w:shd w:val="clear" w:color="auto" w:fill="D9D9D9"/>
          </w:tcPr>
          <w:p>
            <w:pPr>
              <w:ind w:left="50"/>
              <w:spacing w:after="0" w:line="202" w:lineRule="exact"/>
              <w:rPr>
                <w:sz w:val="20"/>
                <w:szCs w:val="20"/>
                <w:color w:val="auto"/>
              </w:rPr>
            </w:pPr>
            <w:r>
              <w:rPr>
                <w:rFonts w:ascii="Arial" w:cs="Arial" w:eastAsia="Arial" w:hAnsi="Arial"/>
                <w:sz w:val="18"/>
                <w:szCs w:val="18"/>
                <w:color w:val="auto"/>
              </w:rPr>
              <w:t>40% of base salary from January through October 2016</w:t>
            </w:r>
          </w:p>
        </w:tc>
        <w:tc>
          <w:tcPr>
            <w:tcW w:w="2620" w:type="dxa"/>
            <w:vAlign w:val="bottom"/>
            <w:gridSpan w:val="2"/>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$ 136,667</w:t>
            </w:r>
          </w:p>
        </w:tc>
      </w:tr>
      <w:tr>
        <w:trPr>
          <w:trHeight w:val="203"/>
        </w:trPr>
        <w:tc>
          <w:tcPr>
            <w:tcW w:w="1790" w:type="dxa"/>
            <w:vAlign w:val="bottom"/>
            <w:shd w:val="clear" w:color="auto" w:fill="D9D9D9"/>
          </w:tcPr>
          <w:p>
            <w:pPr>
              <w:spacing w:after="0"/>
              <w:rPr>
                <w:sz w:val="17"/>
                <w:szCs w:val="17"/>
                <w:color w:val="auto"/>
              </w:rPr>
            </w:pPr>
          </w:p>
        </w:tc>
        <w:tc>
          <w:tcPr>
            <w:tcW w:w="6550" w:type="dxa"/>
            <w:vAlign w:val="bottom"/>
            <w:shd w:val="clear" w:color="auto" w:fill="D9D9D9"/>
          </w:tcPr>
          <w:p>
            <w:pPr>
              <w:ind w:left="50"/>
              <w:spacing w:after="0" w:line="203" w:lineRule="exact"/>
              <w:rPr>
                <w:sz w:val="20"/>
                <w:szCs w:val="20"/>
                <w:color w:val="auto"/>
              </w:rPr>
            </w:pPr>
            <w:r>
              <w:rPr>
                <w:rFonts w:ascii="Arial" w:cs="Arial" w:eastAsia="Arial" w:hAnsi="Arial"/>
                <w:sz w:val="18"/>
                <w:szCs w:val="18"/>
                <w:color w:val="auto"/>
              </w:rPr>
              <w:t>100% of the fiscal 2016 annual cash incentive award</w:t>
            </w:r>
          </w:p>
        </w:tc>
        <w:tc>
          <w:tcPr>
            <w:tcW w:w="2620" w:type="dxa"/>
            <w:vAlign w:val="bottom"/>
            <w:gridSpan w:val="2"/>
            <w:shd w:val="clear" w:color="auto" w:fill="D9D9D9"/>
          </w:tcPr>
          <w:p>
            <w:pPr>
              <w:jc w:val="right"/>
              <w:ind w:right="10"/>
              <w:spacing w:after="0" w:line="203" w:lineRule="exact"/>
              <w:rPr>
                <w:sz w:val="20"/>
                <w:szCs w:val="20"/>
                <w:color w:val="auto"/>
              </w:rPr>
            </w:pPr>
            <w:r>
              <w:rPr>
                <w:rFonts w:ascii="Arial" w:cs="Arial" w:eastAsia="Arial" w:hAnsi="Arial"/>
                <w:sz w:val="18"/>
                <w:szCs w:val="18"/>
                <w:color w:val="auto"/>
              </w:rPr>
              <w:t>$ 186,511</w:t>
            </w:r>
          </w:p>
        </w:tc>
      </w:tr>
    </w:tbl>
    <w:p>
      <w:pPr>
        <w:spacing w:after="0" w:line="242" w:lineRule="exact"/>
        <w:rPr>
          <w:sz w:val="20"/>
          <w:szCs w:val="20"/>
          <w:color w:val="auto"/>
        </w:rPr>
      </w:pPr>
    </w:p>
    <w:p>
      <w:pPr>
        <w:ind w:left="460" w:right="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2016 and Company contributions to the Deferred Plan in fiscal 2016. These amounts are included in the “All Other Compensation” column of the “Summary Compensation Table” beginning on page 49 and the related footnote.</w:t>
      </w:r>
    </w:p>
    <w:p>
      <w:pPr>
        <w:spacing w:after="0" w:line="229" w:lineRule="exact"/>
        <w:rPr>
          <w:rFonts w:ascii="Arial" w:cs="Arial" w:eastAsia="Arial" w:hAnsi="Arial"/>
          <w:sz w:val="18"/>
          <w:szCs w:val="18"/>
          <w:color w:val="auto"/>
        </w:rPr>
      </w:pPr>
    </w:p>
    <w:p>
      <w:pPr>
        <w:jc w:val="both"/>
        <w:ind w:left="460" w:right="140" w:hanging="452"/>
        <w:spacing w:after="0" w:line="257"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IS&amp;ESOP and do not include any preferential or above-market interest. The rates for fiscal 2016 are provided below:</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920" w:type="dxa"/>
            <w:vAlign w:val="bottom"/>
            <w:shd w:val="clear" w:color="auto" w:fill="D9D9D9"/>
          </w:tcPr>
          <w:p>
            <w:pPr>
              <w:spacing w:after="0"/>
              <w:rPr>
                <w:sz w:val="20"/>
                <w:szCs w:val="20"/>
                <w:color w:val="auto"/>
              </w:rPr>
            </w:pPr>
            <w:r>
              <w:rPr>
                <w:rFonts w:ascii="Arial" w:cs="Arial" w:eastAsia="Arial" w:hAnsi="Arial"/>
                <w:sz w:val="18"/>
                <w:szCs w:val="18"/>
                <w:color w:val="auto"/>
              </w:rPr>
              <w:t>Alger Small Cap Growth Institutional I</w:t>
            </w:r>
          </w:p>
        </w:tc>
        <w:tc>
          <w:tcPr>
            <w:tcW w:w="40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-3.76%</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American Funds Europacific Growth R6</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0.44%</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American Funds Growth Fund of America R4</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4.30%</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Artisan Mid Cap Investor</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-2.43%</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Goldman Sachs Small Cap Value Instl</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6.69%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ICM Small Company</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8.79%</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JPMorgan Mid Cap Value Select</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5.19%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JPMorgan Prime Money Market Morgan</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PIMCO Foreign Bond (Unhedged) I</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7.10%</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T. Rowe Price Equity Income</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7.68%</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T. Rowe Price International Discovery</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5.40%</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The Toro Company</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29.04%</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Vanguard Institutional Index I</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4.49%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Vanguard Mid Cap Index Adm</w:t>
            </w:r>
          </w:p>
        </w:tc>
        <w:tc>
          <w:tcPr>
            <w:tcW w:w="4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3.02%</w:t>
            </w:r>
          </w:p>
        </w:tc>
      </w:tr>
      <w:tr>
        <w:trPr>
          <w:trHeight w:val="203"/>
        </w:trPr>
        <w:tc>
          <w:tcPr>
            <w:tcW w:w="69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Vanguard Small Cap Index Adm</w:t>
            </w:r>
          </w:p>
        </w:tc>
        <w:tc>
          <w:tcPr>
            <w:tcW w:w="404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4.31%</w:t>
            </w:r>
          </w:p>
        </w:tc>
      </w:tr>
    </w:tbl>
    <w:p>
      <w:pPr>
        <w:spacing w:after="0" w:line="242" w:lineRule="exact"/>
        <w:rPr>
          <w:sz w:val="20"/>
          <w:szCs w:val="20"/>
          <w:color w:val="auto"/>
        </w:rPr>
      </w:pPr>
    </w:p>
    <w:p>
      <w:pPr>
        <w:ind w:left="460" w:right="40" w:hanging="452"/>
        <w:spacing w:after="0" w:line="24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Amounts reported represent the total balance at October 31, 2016, the last day of fiscal 2016 plus any named executive officer’s or Company contributions for fiscal 2016 that were paid, or expected to be paid, after October 31, 2016. Includes the following amounts reported in the “Summary Compensation Table” in the “Base Salary” or “Non-Equity Incentive Plan Compensation” column for fiscal years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2014 and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580" w:type="dxa"/>
            <w:vAlign w:val="bottom"/>
            <w:shd w:val="clear" w:color="auto" w:fill="D9D9D9"/>
          </w:tcPr>
          <w:p>
            <w:pPr>
              <w:spacing w:after="0"/>
              <w:rPr>
                <w:sz w:val="20"/>
                <w:szCs w:val="20"/>
                <w:color w:val="auto"/>
              </w:rPr>
            </w:pPr>
            <w:r>
              <w:rPr>
                <w:rFonts w:ascii="Arial" w:cs="Arial" w:eastAsia="Arial" w:hAnsi="Arial"/>
                <w:sz w:val="18"/>
                <w:szCs w:val="18"/>
                <w:color w:val="auto"/>
              </w:rPr>
              <w:t>Mr. Hoffman</w:t>
            </w:r>
          </w:p>
        </w:tc>
        <w:tc>
          <w:tcPr>
            <w:tcW w:w="4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4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8"/>
              </w:rPr>
              <w:t>364,676</w:t>
            </w:r>
          </w:p>
        </w:tc>
      </w:tr>
      <w:tr>
        <w:trPr>
          <w:trHeight w:val="203"/>
        </w:trPr>
        <w:tc>
          <w:tcPr>
            <w:tcW w:w="55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Mr. Olson</w:t>
            </w:r>
          </w:p>
        </w:tc>
        <w:tc>
          <w:tcPr>
            <w:tcW w:w="46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82,555</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Mr. Brown</w:t>
            </w:r>
          </w:p>
        </w:tc>
        <w:tc>
          <w:tcPr>
            <w:tcW w:w="4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8"/>
              </w:rPr>
              <w:t>773,902</w:t>
            </w:r>
          </w:p>
        </w:tc>
      </w:tr>
      <w:tr>
        <w:trPr>
          <w:trHeight w:val="203"/>
        </w:trPr>
        <w:tc>
          <w:tcPr>
            <w:tcW w:w="55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Mr. Dordell</w:t>
            </w:r>
          </w:p>
        </w:tc>
        <w:tc>
          <w:tcPr>
            <w:tcW w:w="46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w w:val="98"/>
              </w:rPr>
              <w:t>782,296</w:t>
            </w:r>
          </w:p>
        </w:tc>
      </w:tr>
    </w:tbl>
    <w:p>
      <w:pPr>
        <w:spacing w:after="0" w:line="215" w:lineRule="exact"/>
        <w:rPr>
          <w:sz w:val="20"/>
          <w:szCs w:val="20"/>
          <w:color w:val="auto"/>
        </w:rPr>
      </w:pPr>
    </w:p>
    <w:p>
      <w:pPr>
        <w:ind w:left="460" w:right="240"/>
        <w:spacing w:after="0" w:line="246"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2014 and 2015.</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20" w:type="dxa"/>
            <w:vAlign w:val="bottom"/>
            <w:shd w:val="clear" w:color="auto" w:fill="D9D9D9"/>
          </w:tcPr>
          <w:p>
            <w:pPr>
              <w:spacing w:after="0"/>
              <w:rPr>
                <w:sz w:val="20"/>
                <w:szCs w:val="20"/>
                <w:color w:val="auto"/>
              </w:rPr>
            </w:pPr>
            <w:r>
              <w:rPr>
                <w:rFonts w:ascii="Arial" w:cs="Arial" w:eastAsia="Arial" w:hAnsi="Arial"/>
                <w:sz w:val="18"/>
                <w:szCs w:val="18"/>
                <w:color w:val="auto"/>
              </w:rPr>
              <w:t>Mr. Hoffman</w:t>
            </w:r>
          </w:p>
        </w:tc>
        <w:tc>
          <w:tcPr>
            <w:tcW w:w="70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w w:val="98"/>
              </w:rPr>
              <w:t>331,589</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7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98,773</w:t>
            </w:r>
          </w:p>
        </w:tc>
      </w:tr>
      <w:tr>
        <w:trPr>
          <w:trHeight w:val="203"/>
        </w:trPr>
        <w:tc>
          <w:tcPr>
            <w:tcW w:w="31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Mr. Olson</w:t>
            </w:r>
          </w:p>
        </w:tc>
        <w:tc>
          <w:tcPr>
            <w:tcW w:w="7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50,208</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Mr. Brown</w:t>
            </w:r>
          </w:p>
        </w:tc>
        <w:tc>
          <w:tcPr>
            <w:tcW w:w="7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56,870</w:t>
            </w:r>
          </w:p>
        </w:tc>
      </w:tr>
      <w:tr>
        <w:trPr>
          <w:trHeight w:val="203"/>
        </w:trPr>
        <w:tc>
          <w:tcPr>
            <w:tcW w:w="31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Mr. Dordell</w:t>
            </w:r>
          </w:p>
        </w:tc>
        <w:tc>
          <w:tcPr>
            <w:tcW w:w="70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D9D9D9"/>
          </w:tcPr>
          <w:p>
            <w:pPr>
              <w:jc w:val="right"/>
              <w:ind w:right="10"/>
              <w:spacing w:after="0" w:line="202" w:lineRule="exact"/>
              <w:rPr>
                <w:sz w:val="20"/>
                <w:szCs w:val="20"/>
                <w:color w:val="auto"/>
              </w:rPr>
            </w:pPr>
            <w:r>
              <w:rPr>
                <w:rFonts w:ascii="Arial" w:cs="Arial" w:eastAsia="Arial" w:hAnsi="Arial"/>
                <w:sz w:val="18"/>
                <w:szCs w:val="18"/>
                <w:color w:val="auto"/>
              </w:rPr>
              <w:t>63,782</w:t>
            </w:r>
          </w:p>
        </w:tc>
      </w:tr>
      <w:tr>
        <w:trPr>
          <w:trHeight w:val="365"/>
        </w:trPr>
        <w:tc>
          <w:tcPr>
            <w:tcW w:w="3120" w:type="dxa"/>
            <w:vAlign w:val="bottom"/>
          </w:tcPr>
          <w:p>
            <w:pPr>
              <w:spacing w:after="0"/>
              <w:rPr>
                <w:sz w:val="24"/>
                <w:szCs w:val="24"/>
                <w:color w:val="auto"/>
              </w:rPr>
            </w:pPr>
          </w:p>
        </w:tc>
        <w:tc>
          <w:tcPr>
            <w:tcW w:w="7080" w:type="dxa"/>
            <w:vAlign w:val="bottom"/>
          </w:tcPr>
          <w:p>
            <w:pPr>
              <w:jc w:val="right"/>
              <w:ind w:right="4750"/>
              <w:spacing w:after="0"/>
              <w:rPr>
                <w:sz w:val="20"/>
                <w:szCs w:val="20"/>
                <w:color w:val="auto"/>
              </w:rPr>
            </w:pPr>
            <w:r>
              <w:rPr>
                <w:rFonts w:ascii="Arial" w:cs="Arial" w:eastAsia="Arial" w:hAnsi="Arial"/>
                <w:sz w:val="18"/>
                <w:szCs w:val="18"/>
                <w:color w:val="auto"/>
              </w:rPr>
              <w:t>58</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Potential Payments Upon Termination or Change In Control</w:t>
      </w:r>
    </w:p>
    <w:p>
      <w:pPr>
        <w:spacing w:after="0" w:line="212" w:lineRule="exact"/>
        <w:rPr>
          <w:sz w:val="20"/>
          <w:szCs w:val="20"/>
          <w:color w:val="auto"/>
        </w:rPr>
      </w:pPr>
    </w:p>
    <w:p>
      <w:pPr>
        <w:ind w:right="160" w:firstLine="456"/>
        <w:spacing w:after="0" w:line="24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named executive officers are entitled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 named executive officer may receive following a termination or change in control, such as the following accrued, vested or non-forfeitable compensation and benefits:</w:t>
      </w:r>
    </w:p>
    <w:p>
      <w:pPr>
        <w:spacing w:after="0" w:line="226" w:lineRule="exact"/>
        <w:rPr>
          <w:sz w:val="20"/>
          <w:szCs w:val="20"/>
          <w:color w:val="auto"/>
        </w:rPr>
      </w:pPr>
    </w:p>
    <w:p>
      <w:pPr>
        <w:ind w:left="780" w:right="60" w:hanging="326"/>
        <w:spacing w:after="0" w:line="24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2016” beginning on page 56;</w:t>
      </w:r>
    </w:p>
    <w:p>
      <w:pPr>
        <w:spacing w:after="0" w:line="223" w:lineRule="exact"/>
        <w:rPr>
          <w:rFonts w:ascii="Arial" w:cs="Arial" w:eastAsia="Arial" w:hAnsi="Arial"/>
          <w:sz w:val="18"/>
          <w:szCs w:val="18"/>
          <w:color w:val="auto"/>
        </w:rPr>
      </w:pPr>
    </w:p>
    <w:p>
      <w:pPr>
        <w:ind w:left="780" w:right="480" w:hanging="326"/>
        <w:spacing w:after="0" w:line="24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2016” beginning on page 56;</w:t>
      </w:r>
    </w:p>
    <w:p>
      <w:pPr>
        <w:spacing w:after="0" w:line="223" w:lineRule="exact"/>
        <w:rPr>
          <w:rFonts w:ascii="Arial" w:cs="Arial" w:eastAsia="Arial" w:hAnsi="Arial"/>
          <w:sz w:val="18"/>
          <w:szCs w:val="18"/>
          <w:color w:val="auto"/>
        </w:rPr>
      </w:pPr>
    </w:p>
    <w:p>
      <w:pPr>
        <w:ind w:left="780" w:right="12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48;</w:t>
      </w:r>
    </w:p>
    <w:p>
      <w:pPr>
        <w:spacing w:after="0" w:line="229" w:lineRule="exact"/>
        <w:rPr>
          <w:rFonts w:ascii="Arial" w:cs="Arial" w:eastAsia="Arial" w:hAnsi="Arial"/>
          <w:sz w:val="18"/>
          <w:szCs w:val="18"/>
          <w:color w:val="auto"/>
        </w:rPr>
      </w:pPr>
    </w:p>
    <w:p>
      <w:pPr>
        <w:ind w:left="780" w:right="460" w:hanging="326"/>
        <w:spacing w:after="0" w:line="24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 beginning on page 40;</w:t>
      </w:r>
    </w:p>
    <w:p>
      <w:pPr>
        <w:spacing w:after="0" w:line="223" w:lineRule="exact"/>
        <w:rPr>
          <w:rFonts w:ascii="Arial" w:cs="Arial" w:eastAsia="Arial" w:hAnsi="Arial"/>
          <w:sz w:val="18"/>
          <w:szCs w:val="18"/>
          <w:color w:val="auto"/>
        </w:rPr>
      </w:pPr>
    </w:p>
    <w:p>
      <w:pPr>
        <w:ind w:left="780" w:right="20" w:hanging="326"/>
        <w:spacing w:after="0" w:line="24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 beginning on page 44;</w:t>
      </w:r>
    </w:p>
    <w:p>
      <w:pPr>
        <w:spacing w:after="0" w:line="22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and</w:t>
      </w:r>
    </w:p>
    <w:p>
      <w:pPr>
        <w:spacing w:after="0" w:line="238" w:lineRule="exact"/>
        <w:rPr>
          <w:rFonts w:ascii="Arial" w:cs="Arial" w:eastAsia="Arial" w:hAnsi="Arial"/>
          <w:sz w:val="18"/>
          <w:szCs w:val="18"/>
          <w:color w:val="auto"/>
        </w:rPr>
      </w:pPr>
    </w:p>
    <w:p>
      <w:pPr>
        <w:ind w:left="780" w:right="360" w:hanging="326"/>
        <w:spacing w:after="0" w:line="24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197"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executive officers do not have any employment or severance agreements or arrangements other than as provided for in our CIC policy and other than certain change in control provisions in our equity plans. Accordingly, our named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60. Each of our executive officers is a party to our standard confidentiality, invention and non-compete agreement.</w:t>
      </w:r>
    </w:p>
    <w:p>
      <w:pPr>
        <w:spacing w:after="0" w:line="181" w:lineRule="exact"/>
        <w:rPr>
          <w:sz w:val="20"/>
          <w:szCs w:val="20"/>
          <w:color w:val="auto"/>
        </w:rPr>
      </w:pPr>
    </w:p>
    <w:p>
      <w:pPr>
        <w:ind w:right="100" w:firstLine="456"/>
        <w:spacing w:after="0" w:line="244"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 named executive officer’s voluntary resignation or retirement, we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pay or provide any additional payments or benefits, unless the named executive officer meets the criteria for “retirement” in connection with his or her voluntary resignation. For purposes of our compensation arrangements, “retirement” generally means the voluntary termination of employment at or after the age of 55 and with a number of years of service that, when added together with the named executive officer’s age, equals at least 65.</w:t>
      </w:r>
    </w:p>
    <w:p>
      <w:pPr>
        <w:spacing w:after="0" w:line="199" w:lineRule="exact"/>
        <w:rPr>
          <w:sz w:val="20"/>
          <w:szCs w:val="20"/>
          <w:color w:val="auto"/>
        </w:rPr>
      </w:pPr>
    </w:p>
    <w:p>
      <w:pPr>
        <w:ind w:right="340" w:firstLine="456"/>
        <w:spacing w:after="0"/>
        <w:rPr>
          <w:sz w:val="20"/>
          <w:szCs w:val="20"/>
          <w:color w:val="auto"/>
        </w:rPr>
      </w:pPr>
      <w:r>
        <w:rPr>
          <w:rFonts w:ascii="Arial" w:cs="Arial" w:eastAsia="Arial" w:hAnsi="Arial"/>
          <w:sz w:val="18"/>
          <w:szCs w:val="18"/>
          <w:color w:val="auto"/>
        </w:rPr>
        <w:t>If a named executive officer meets the criteria for “retirement” in connection with his or her voluntary resignation, the named executive officer generally would be entitled to or, in the case of annual cash incentive awards and performance share awards, may receive upon approval by the Compensation &amp; Human Resources Committee, the following additional payments and benefits:</w:t>
      </w:r>
    </w:p>
    <w:p>
      <w:pPr>
        <w:spacing w:after="0" w:line="230" w:lineRule="exact"/>
        <w:rPr>
          <w:sz w:val="20"/>
          <w:szCs w:val="20"/>
          <w:color w:val="auto"/>
        </w:rPr>
      </w:pPr>
    </w:p>
    <w:p>
      <w:pPr>
        <w:ind w:left="780" w:right="440" w:hanging="326"/>
        <w:spacing w:after="0" w:line="24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219"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Extended perquisites consisting of reimbursement for amounts incurred for: (i) one additional year of financial planning expenses;</w:t>
      </w:r>
    </w:p>
    <w:p>
      <w:pPr>
        <w:ind w:left="780" w:right="20"/>
        <w:spacing w:after="0"/>
        <w:rPr>
          <w:rFonts w:ascii="Arial" w:cs="Arial" w:eastAsia="Arial" w:hAnsi="Arial"/>
          <w:sz w:val="18"/>
          <w:szCs w:val="18"/>
          <w:color w:val="auto"/>
        </w:rPr>
      </w:pPr>
      <w:r>
        <w:rPr>
          <w:rFonts w:ascii="Arial" w:cs="Arial" w:eastAsia="Arial" w:hAnsi="Arial"/>
          <w:sz w:val="18"/>
          <w:szCs w:val="18"/>
          <w:color w:val="auto"/>
        </w:rPr>
        <w:t>(ii) one additional executive physical; (iii) twelve additional months, or through the end of the lease term, whichever is shorter, of lease payments for a Company-leased automobile; and (iv) certain Company products for personal use at no cost for five years following the named executive officer’s retirement; provided, however, that the named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executive officer is responsible for payment of applicable taxes attributed to the value of such products;</w:t>
      </w:r>
    </w:p>
    <w:p>
      <w:pPr>
        <w:spacing w:after="0" w:line="239" w:lineRule="exact"/>
        <w:rPr>
          <w:sz w:val="20"/>
          <w:szCs w:val="20"/>
          <w:color w:val="auto"/>
        </w:rPr>
      </w:pPr>
    </w:p>
    <w:p>
      <w:pPr>
        <w:ind w:left="780" w:right="200" w:hanging="326"/>
        <w:spacing w:after="0" w:line="23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named executive officer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228" w:lineRule="exact"/>
        <w:rPr>
          <w:rFonts w:ascii="Arial" w:cs="Arial" w:eastAsia="Arial" w:hAnsi="Arial"/>
          <w:sz w:val="18"/>
          <w:szCs w:val="18"/>
          <w:color w:val="auto"/>
        </w:rPr>
      </w:pPr>
    </w:p>
    <w:p>
      <w:pPr>
        <w:ind w:left="780" w:hanging="326"/>
        <w:spacing w:after="0" w:line="23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named executive officer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retirement date.</w:t>
      </w:r>
    </w:p>
    <w:p>
      <w:pPr>
        <w:spacing w:after="0" w:line="203" w:lineRule="exact"/>
        <w:rPr>
          <w:sz w:val="20"/>
          <w:szCs w:val="20"/>
          <w:color w:val="auto"/>
        </w:rPr>
      </w:pPr>
    </w:p>
    <w:p>
      <w:pPr>
        <w:jc w:val="both"/>
        <w:ind w:right="180" w:firstLine="456"/>
        <w:spacing w:after="0"/>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18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 named executive officer,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or his or her beneficiary, would be entitled to or, in the case of annual cash incentive awards and performance share awards, may receive upon approval by the Compensation &amp; Human Resources Committee, the following additional payments and benefits:</w:t>
      </w:r>
    </w:p>
    <w:p>
      <w:pPr>
        <w:spacing w:after="0" w:line="218" w:lineRule="exact"/>
        <w:rPr>
          <w:sz w:val="20"/>
          <w:szCs w:val="20"/>
          <w:color w:val="auto"/>
        </w:rPr>
      </w:pPr>
    </w:p>
    <w:p>
      <w:pPr>
        <w:ind w:left="900" w:hanging="325"/>
        <w:spacing w:after="0" w:line="24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spacing w:after="0" w:line="223"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termination of the named executive officer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228" w:lineRule="exact"/>
        <w:rPr>
          <w:rFonts w:ascii="Arial" w:cs="Arial" w:eastAsia="Arial" w:hAnsi="Arial"/>
          <w:sz w:val="18"/>
          <w:szCs w:val="18"/>
          <w:color w:val="auto"/>
        </w:rPr>
      </w:pPr>
    </w:p>
    <w:p>
      <w:pPr>
        <w:ind w:left="900" w:right="20" w:hanging="325"/>
        <w:spacing w:after="0" w:line="23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named executive officer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termination date.</w:t>
      </w:r>
    </w:p>
    <w:p>
      <w:pPr>
        <w:spacing w:after="0" w:line="203" w:lineRule="exact"/>
        <w:rPr>
          <w:sz w:val="20"/>
          <w:szCs w:val="20"/>
          <w:color w:val="auto"/>
        </w:rPr>
      </w:pPr>
    </w:p>
    <w:p>
      <w:pPr>
        <w:jc w:val="both"/>
        <w:ind w:right="180" w:firstLine="456"/>
        <w:spacing w:after="0"/>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181" w:lineRule="exact"/>
        <w:rPr>
          <w:sz w:val="20"/>
          <w:szCs w:val="20"/>
          <w:color w:val="auto"/>
        </w:rPr>
      </w:pPr>
    </w:p>
    <w:p>
      <w:pPr>
        <w:ind w:right="400" w:firstLine="456"/>
        <w:spacing w:after="0" w:line="247"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Since our named executive officers do not have employment or severance agreements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other than as provided for in our CIC policy, we would not be obligated to provide any additional payments or benefits to our named executive officers in the event of an involuntary termination of employment by us. Any negotiated separation arrangement typically requires that the named executive officer sign a release and waiver of claims and comply with confidentiality and non-compete restrictions.</w:t>
      </w:r>
    </w:p>
    <w:p>
      <w:pPr>
        <w:spacing w:after="0" w:line="17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In the event of a termination of a named executive officer’s employment by us for cause, we would</w:t>
      </w:r>
      <w:r>
        <w:rPr>
          <w:rFonts w:ascii="Arial" w:cs="Arial" w:eastAsia="Arial" w:hAnsi="Arial"/>
          <w:sz w:val="18"/>
          <w:szCs w:val="18"/>
          <w:b w:val="1"/>
          <w:bCs w:val="1"/>
          <w:color w:val="auto"/>
        </w:rPr>
        <w:t xml:space="preserve"> </w:t>
      </w:r>
      <w:r>
        <w:rPr>
          <w:rFonts w:ascii="Arial" w:cs="Arial" w:eastAsia="Arial" w:hAnsi="Arial"/>
          <w:sz w:val="18"/>
          <w:szCs w:val="18"/>
          <w:color w:val="auto"/>
        </w:rPr>
        <w:t>not be obligated to provide any additional payments or benefits to the executive. In addition, we may have certain clawback rights, as described below under “Clawback Provisions.”</w:t>
      </w:r>
    </w:p>
    <w:p>
      <w:pPr>
        <w:spacing w:after="0" w:line="169"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named executive officer’s employment is terminated by us without just cause or the named executive officer terminates his or her employment for good reason, or if such termination occurs at the request of a third party who had taken steps reasonably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calculated to effect the change in control. The payments and benefits the named executive officer would be entitled to receive include:</w:t>
      </w:r>
    </w:p>
    <w:p>
      <w:pPr>
        <w:spacing w:after="0" w:line="239" w:lineRule="exact"/>
        <w:rPr>
          <w:sz w:val="20"/>
          <w:szCs w:val="20"/>
          <w:color w:val="auto"/>
        </w:rPr>
      </w:pPr>
    </w:p>
    <w:p>
      <w:pPr>
        <w:ind w:left="780" w:right="220" w:hanging="326"/>
        <w:spacing w:after="0" w:line="246"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named executive officer’s then current annual base salary and target annual cash incentive award;</w:t>
      </w:r>
    </w:p>
    <w:p>
      <w:pPr>
        <w:spacing w:after="0" w:line="223" w:lineRule="exact"/>
        <w:rPr>
          <w:rFonts w:ascii="Arial" w:cs="Arial" w:eastAsia="Arial" w:hAnsi="Arial"/>
          <w:sz w:val="18"/>
          <w:szCs w:val="18"/>
          <w:color w:val="auto"/>
        </w:rPr>
      </w:pPr>
    </w:p>
    <w:p>
      <w:pPr>
        <w:ind w:left="780" w:right="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named executive officer’s pro-rated target annual cash incentive award for the fiscal year in which the termination date occurs, reduced by any amounts paid under the terms of the applicable equity compensation policy for the same period of time;</w:t>
      </w:r>
    </w:p>
    <w:p>
      <w:pPr>
        <w:spacing w:after="0" w:line="229" w:lineRule="exact"/>
        <w:rPr>
          <w:rFonts w:ascii="Arial" w:cs="Arial" w:eastAsia="Arial" w:hAnsi="Arial"/>
          <w:sz w:val="18"/>
          <w:szCs w:val="18"/>
          <w:color w:val="auto"/>
        </w:rPr>
      </w:pPr>
    </w:p>
    <w:p>
      <w:pPr>
        <w:jc w:val="both"/>
        <w:ind w:left="780" w:right="300" w:hanging="326"/>
        <w:spacing w:after="0" w:line="23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named executive officer immediately prior to his or her termination date to obtain such coverage; and</w:t>
      </w:r>
    </w:p>
    <w:p>
      <w:pPr>
        <w:spacing w:after="0" w:line="228"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212"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named executive officer must execute a release of claims against us. If a change in control, as generally defined below, has not occurred, our Board may terminate our CIC policy after two years’ advance notice of such termination.</w:t>
      </w:r>
    </w:p>
    <w:p>
      <w:pPr>
        <w:spacing w:after="0" w:line="203" w:lineRule="exact"/>
        <w:rPr>
          <w:sz w:val="20"/>
          <w:szCs w:val="20"/>
          <w:color w:val="auto"/>
        </w:rPr>
      </w:pPr>
    </w:p>
    <w:p>
      <w:pPr>
        <w:jc w:val="both"/>
        <w:ind w:right="380" w:firstLine="456"/>
        <w:spacing w:after="0"/>
        <w:rPr>
          <w:sz w:val="20"/>
          <w:szCs w:val="20"/>
          <w:color w:val="auto"/>
        </w:rPr>
      </w:pPr>
      <w:r>
        <w:rPr>
          <w:rFonts w:ascii="Arial" w:cs="Arial" w:eastAsia="Arial" w:hAnsi="Arial"/>
          <w:sz w:val="18"/>
          <w:szCs w:val="18"/>
          <w:color w:val="auto"/>
        </w:rPr>
        <w:t>In addition to our CIC policy, our Amended and Restated 2010 Plan and The Toro Company 2000 Stock Option Plan, as amended, or 2000 Plan, as applicable, provide that if we experience a change in control, as generally defined below, whether or not there is a qualifying termination of employment:</w:t>
      </w:r>
    </w:p>
    <w:p>
      <w:pPr>
        <w:spacing w:after="0" w:line="230" w:lineRule="exact"/>
        <w:rPr>
          <w:sz w:val="20"/>
          <w:szCs w:val="20"/>
          <w:color w:val="auto"/>
        </w:rPr>
      </w:pPr>
    </w:p>
    <w:p>
      <w:pPr>
        <w:ind w:left="780" w:right="12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pursuant to the Amended and Restated 2010 Plan, remain exercisable for their remaining term following the change in control, or, pursuant to the 2000 Plan, remain exercisable for three years (provided that in no event will three years extend beyond the remaining term of the option);</w:t>
      </w:r>
    </w:p>
    <w:p>
      <w:pPr>
        <w:spacing w:after="0" w:line="229" w:lineRule="exact"/>
        <w:rPr>
          <w:rFonts w:ascii="Arial" w:cs="Arial" w:eastAsia="Arial" w:hAnsi="Arial"/>
          <w:sz w:val="18"/>
          <w:szCs w:val="18"/>
          <w:color w:val="auto"/>
        </w:rPr>
      </w:pPr>
    </w:p>
    <w:p>
      <w:pPr>
        <w:ind w:left="780" w:right="340" w:hanging="326"/>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223" w:lineRule="exact"/>
        <w:rPr>
          <w:rFonts w:ascii="Arial" w:cs="Arial" w:eastAsia="Arial" w:hAnsi="Arial"/>
          <w:sz w:val="18"/>
          <w:szCs w:val="18"/>
          <w:color w:val="auto"/>
        </w:rPr>
      </w:pPr>
    </w:p>
    <w:p>
      <w:pPr>
        <w:ind w:left="780" w:right="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full in shares of our common stock, provided, however, that the CIC policy provides that for executive officers covered by the CIC policy, any such performance share awards are payable at target (not in full or at maximum); and</w:t>
      </w:r>
    </w:p>
    <w:p>
      <w:pPr>
        <w:spacing w:after="0" w:line="229"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1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Amended and Restated 2010 Plan and 2000 Plan do not provide a “gross-up” for 280G excise tax, but do provide for a reduction of payments if such payments would result in lower after-tax income taking into consideration the 280G excise tax.</w:t>
      </w:r>
    </w:p>
    <w:p>
      <w:pPr>
        <w:spacing w:after="0" w:line="203" w:lineRule="exact"/>
        <w:rPr>
          <w:sz w:val="20"/>
          <w:szCs w:val="20"/>
          <w:color w:val="auto"/>
        </w:rPr>
      </w:pPr>
    </w:p>
    <w:p>
      <w:pPr>
        <w:ind w:right="500" w:firstLine="456"/>
        <w:spacing w:after="0" w:line="246" w:lineRule="auto"/>
        <w:rPr>
          <w:sz w:val="20"/>
          <w:szCs w:val="20"/>
          <w:color w:val="auto"/>
        </w:rPr>
      </w:pPr>
      <w:r>
        <w:rPr>
          <w:rFonts w:ascii="Arial" w:cs="Arial" w:eastAsia="Arial" w:hAnsi="Arial"/>
          <w:sz w:val="18"/>
          <w:szCs w:val="18"/>
          <w:color w:val="auto"/>
        </w:rPr>
        <w:t>For purposes of our CIC policy, Amended and Restated 2010 Plan, 2000 Plan and 2000 Directors Stock Plan, and subject to limited exceptions, a “change in control” occurs if:</w:t>
      </w:r>
    </w:p>
    <w:p>
      <w:pPr>
        <w:spacing w:after="0" w:line="224" w:lineRule="exact"/>
        <w:rPr>
          <w:sz w:val="20"/>
          <w:szCs w:val="20"/>
          <w:color w:val="auto"/>
        </w:rPr>
      </w:pPr>
    </w:p>
    <w:p>
      <w:pPr>
        <w:ind w:left="780" w:right="3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another person becomes the beneficial owner of a specified percentage of our then-outstanding common stock or the combined voting power of our then-outstanding voting stock, which is 20% under the Amended and Restated 2010 Plan and CIC policy and 15% under the 2000 Plan and 2000 Directors Stock Plan;</w:t>
      </w:r>
    </w:p>
    <w:p>
      <w:pPr>
        <w:spacing w:after="0" w:line="229"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238"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320"/>
        <w:spacing w:after="0" w:line="246" w:lineRule="auto"/>
        <w:rPr>
          <w:sz w:val="20"/>
          <w:szCs w:val="20"/>
          <w:color w:val="auto"/>
        </w:rPr>
      </w:pPr>
      <w:r>
        <w:rPr>
          <w:rFonts w:ascii="Arial" w:cs="Arial" w:eastAsia="Arial" w:hAnsi="Arial"/>
          <w:sz w:val="18"/>
          <w:szCs w:val="18"/>
          <w:color w:val="auto"/>
        </w:rPr>
        <w:t>stock of another entity, where the shareholders before the business combination fail to beneficially own and have voting power for more than 50% of our Company or the resulting company after the business combination; or</w:t>
      </w:r>
    </w:p>
    <w:p>
      <w:pPr>
        <w:spacing w:after="0" w:line="224"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181" w:lineRule="exact"/>
        <w:rPr>
          <w:sz w:val="20"/>
          <w:szCs w:val="20"/>
          <w:color w:val="auto"/>
        </w:rPr>
      </w:pPr>
    </w:p>
    <w:p>
      <w:pPr>
        <w:ind w:right="60" w:firstLine="456"/>
        <w:spacing w:after="0" w:line="242" w:lineRule="auto"/>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 calculated (i) for each named executive officer as if the termination or change in control occurred on October 31, 2016, the last business day of our 2016 fiscal year; and (ii) using a per share value of $47.88, which represents the closing price of our common stock, as reported on the NYSE, on October 31, 2016. Material assumptions used in calculating the estimated payments and benefits are described in footnotes to the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6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34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320" w:type="dxa"/>
            <w:vAlign w:val="bottom"/>
            <w:shd w:val="clear" w:color="auto" w:fill="C00000"/>
          </w:tcPr>
          <w:p>
            <w:pPr>
              <w:spacing w:after="0"/>
              <w:rPr>
                <w:sz w:val="14"/>
                <w:szCs w:val="14"/>
                <w:color w:val="auto"/>
              </w:rPr>
            </w:pPr>
          </w:p>
        </w:tc>
        <w:tc>
          <w:tcPr>
            <w:tcW w:w="2140" w:type="dxa"/>
            <w:vAlign w:val="bottom"/>
            <w:gridSpan w:val="4"/>
            <w:shd w:val="clear" w:color="auto" w:fill="C00000"/>
          </w:tcPr>
          <w:p>
            <w:pPr>
              <w:ind w:left="300"/>
              <w:spacing w:after="0"/>
              <w:rPr>
                <w:sz w:val="20"/>
                <w:szCs w:val="20"/>
                <w:color w:val="auto"/>
              </w:rPr>
            </w:pPr>
            <w:r>
              <w:rPr>
                <w:rFonts w:ascii="Arial" w:cs="Arial" w:eastAsia="Arial" w:hAnsi="Arial"/>
                <w:sz w:val="14"/>
                <w:szCs w:val="14"/>
                <w:b w:val="1"/>
                <w:bCs w:val="1"/>
                <w:color w:val="FFFFFF"/>
              </w:rPr>
              <w:t>Change in Control</w:t>
            </w:r>
          </w:p>
        </w:tc>
      </w:tr>
      <w:tr>
        <w:trPr>
          <w:trHeight w:val="162"/>
        </w:trPr>
        <w:tc>
          <w:tcPr>
            <w:tcW w:w="45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6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34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32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1200" w:type="dxa"/>
            <w:vAlign w:val="bottom"/>
            <w:gridSpan w:val="3"/>
            <w:shd w:val="clear" w:color="auto" w:fill="C00000"/>
          </w:tcPr>
          <w:p>
            <w:pPr>
              <w:ind w:left="200"/>
              <w:spacing w:after="0"/>
              <w:rPr>
                <w:sz w:val="20"/>
                <w:szCs w:val="20"/>
                <w:color w:val="auto"/>
              </w:rPr>
            </w:pPr>
            <w:r>
              <w:rPr>
                <w:rFonts w:ascii="Arial" w:cs="Arial" w:eastAsia="Arial" w:hAnsi="Arial"/>
                <w:sz w:val="14"/>
                <w:szCs w:val="14"/>
                <w:b w:val="1"/>
                <w:bCs w:val="1"/>
                <w:color w:val="FFFFFF"/>
              </w:rPr>
              <w:t>Termination</w:t>
            </w:r>
          </w:p>
        </w:tc>
      </w:tr>
      <w:tr>
        <w:trPr>
          <w:trHeight w:val="162"/>
        </w:trPr>
        <w:tc>
          <w:tcPr>
            <w:tcW w:w="45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6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34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32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Without Cause</w:t>
            </w:r>
          </w:p>
        </w:tc>
      </w:tr>
      <w:tr>
        <w:trPr>
          <w:trHeight w:val="162"/>
        </w:trPr>
        <w:tc>
          <w:tcPr>
            <w:tcW w:w="45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040" w:type="dxa"/>
            <w:vAlign w:val="bottom"/>
            <w:gridSpan w:val="2"/>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Voluntary</w:t>
            </w:r>
          </w:p>
        </w:tc>
        <w:tc>
          <w:tcPr>
            <w:tcW w:w="34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Involuntary</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Termination</w:t>
            </w:r>
          </w:p>
        </w:tc>
        <w:tc>
          <w:tcPr>
            <w:tcW w:w="320" w:type="dxa"/>
            <w:vAlign w:val="bottom"/>
            <w:shd w:val="clear" w:color="auto" w:fill="C00000"/>
          </w:tcPr>
          <w:p>
            <w:pPr>
              <w:spacing w:after="0"/>
              <w:rPr>
                <w:sz w:val="14"/>
                <w:szCs w:val="14"/>
                <w:color w:val="auto"/>
              </w:rPr>
            </w:pPr>
          </w:p>
        </w:tc>
        <w:tc>
          <w:tcPr>
            <w:tcW w:w="940" w:type="dxa"/>
            <w:vAlign w:val="bottom"/>
            <w:shd w:val="clear" w:color="auto" w:fill="C00000"/>
          </w:tcPr>
          <w:p>
            <w:pPr>
              <w:spacing w:after="0"/>
              <w:rPr>
                <w:sz w:val="14"/>
                <w:szCs w:val="14"/>
                <w:color w:val="auto"/>
              </w:rPr>
            </w:pP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by Toro or by</w:t>
            </w:r>
          </w:p>
        </w:tc>
      </w:tr>
      <w:tr>
        <w:trPr>
          <w:trHeight w:val="162"/>
        </w:trPr>
        <w:tc>
          <w:tcPr>
            <w:tcW w:w="45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040" w:type="dxa"/>
            <w:vAlign w:val="bottom"/>
            <w:gridSpan w:val="2"/>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Resignation/</w:t>
            </w:r>
          </w:p>
        </w:tc>
        <w:tc>
          <w:tcPr>
            <w:tcW w:w="1180" w:type="dxa"/>
            <w:vAlign w:val="bottom"/>
            <w:gridSpan w:val="2"/>
            <w:shd w:val="clear" w:color="auto" w:fill="C00000"/>
          </w:tcPr>
          <w:p>
            <w:pPr>
              <w:ind w:left="180"/>
              <w:spacing w:after="0"/>
              <w:rPr>
                <w:sz w:val="20"/>
                <w:szCs w:val="20"/>
                <w:color w:val="auto"/>
              </w:rPr>
            </w:pPr>
            <w:r>
              <w:rPr>
                <w:rFonts w:ascii="Arial" w:cs="Arial" w:eastAsia="Arial" w:hAnsi="Arial"/>
                <w:sz w:val="14"/>
                <w:szCs w:val="14"/>
                <w:b w:val="1"/>
                <w:bCs w:val="1"/>
                <w:color w:val="FFFFFF"/>
              </w:rPr>
              <w:t>Disability or</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Termination</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by Toro for</w:t>
            </w:r>
          </w:p>
        </w:tc>
        <w:tc>
          <w:tcPr>
            <w:tcW w:w="12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No Termination</w:t>
            </w: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Executive for</w:t>
            </w:r>
          </w:p>
        </w:tc>
      </w:tr>
      <w:tr>
        <w:trPr>
          <w:trHeight w:val="162"/>
        </w:trPr>
        <w:tc>
          <w:tcPr>
            <w:tcW w:w="45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040" w:type="dxa"/>
            <w:vAlign w:val="bottom"/>
            <w:gridSpan w:val="2"/>
            <w:shd w:val="clear" w:color="auto" w:fill="C00000"/>
          </w:tcPr>
          <w:p>
            <w:pPr>
              <w:jc w:val="center"/>
              <w:ind w:right="29"/>
              <w:spacing w:after="0" w:line="162" w:lineRule="exact"/>
              <w:rPr>
                <w:sz w:val="20"/>
                <w:szCs w:val="20"/>
                <w:color w:val="auto"/>
              </w:rPr>
            </w:pPr>
            <w:r>
              <w:rPr>
                <w:rFonts w:ascii="Arial" w:cs="Arial" w:eastAsia="Arial" w:hAnsi="Arial"/>
                <w:sz w:val="11"/>
                <w:szCs w:val="11"/>
                <w:b w:val="1"/>
                <w:bCs w:val="1"/>
                <w:color w:val="FFFFFF"/>
              </w:rPr>
              <w:t>Retirement</w:t>
            </w:r>
            <w:r>
              <w:rPr>
                <w:rFonts w:ascii="Arial" w:cs="Arial" w:eastAsia="Arial" w:hAnsi="Arial"/>
                <w:sz w:val="18"/>
                <w:szCs w:val="18"/>
                <w:b w:val="1"/>
                <w:bCs w:val="1"/>
                <w:color w:val="FFFFFF"/>
                <w:vertAlign w:val="superscript"/>
              </w:rPr>
              <w:t>(1)</w:t>
            </w:r>
          </w:p>
        </w:tc>
        <w:tc>
          <w:tcPr>
            <w:tcW w:w="340" w:type="dxa"/>
            <w:vAlign w:val="bottom"/>
            <w:shd w:val="clear" w:color="auto" w:fill="C00000"/>
          </w:tcPr>
          <w:p>
            <w:pPr>
              <w:spacing w:after="0"/>
              <w:rPr>
                <w:sz w:val="14"/>
                <w:szCs w:val="14"/>
                <w:color w:val="auto"/>
              </w:rPr>
            </w:pPr>
          </w:p>
        </w:tc>
        <w:tc>
          <w:tcPr>
            <w:tcW w:w="840" w:type="dxa"/>
            <w:vAlign w:val="bottom"/>
            <w:shd w:val="clear" w:color="auto" w:fill="C00000"/>
          </w:tcPr>
          <w:p>
            <w:pPr>
              <w:jc w:val="right"/>
              <w:ind w:right="309"/>
              <w:spacing w:after="0"/>
              <w:rPr>
                <w:sz w:val="20"/>
                <w:szCs w:val="20"/>
                <w:color w:val="auto"/>
              </w:rPr>
            </w:pPr>
            <w:r>
              <w:rPr>
                <w:rFonts w:ascii="Arial" w:cs="Arial" w:eastAsia="Arial" w:hAnsi="Arial"/>
                <w:sz w:val="14"/>
                <w:szCs w:val="14"/>
                <w:b w:val="1"/>
                <w:bCs w:val="1"/>
                <w:color w:val="FFFFFF"/>
              </w:rPr>
              <w:t>Death</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7"/>
              </w:rPr>
              <w:t>by Toro</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Cause</w:t>
            </w:r>
          </w:p>
        </w:tc>
        <w:tc>
          <w:tcPr>
            <w:tcW w:w="320" w:type="dxa"/>
            <w:vAlign w:val="bottom"/>
            <w:shd w:val="clear" w:color="auto" w:fill="C00000"/>
          </w:tcPr>
          <w:p>
            <w:pPr>
              <w:spacing w:after="0"/>
              <w:rPr>
                <w:sz w:val="14"/>
                <w:szCs w:val="14"/>
                <w:color w:val="auto"/>
              </w:rPr>
            </w:pPr>
          </w:p>
        </w:tc>
        <w:tc>
          <w:tcPr>
            <w:tcW w:w="940" w:type="dxa"/>
            <w:vAlign w:val="bottom"/>
            <w:shd w:val="clear" w:color="auto" w:fill="C00000"/>
          </w:tcPr>
          <w:p>
            <w:pPr>
              <w:jc w:val="center"/>
              <w:ind w:right="230"/>
              <w:spacing w:after="0"/>
              <w:rPr>
                <w:sz w:val="20"/>
                <w:szCs w:val="20"/>
                <w:color w:val="auto"/>
              </w:rPr>
            </w:pPr>
            <w:r>
              <w:rPr>
                <w:rFonts w:ascii="Arial" w:cs="Arial" w:eastAsia="Arial" w:hAnsi="Arial"/>
                <w:sz w:val="14"/>
                <w:szCs w:val="14"/>
                <w:b w:val="1"/>
                <w:bCs w:val="1"/>
                <w:color w:val="FFFFFF"/>
              </w:rPr>
              <w:t>Event</w:t>
            </w: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Good Reason</w:t>
            </w:r>
          </w:p>
        </w:tc>
      </w:tr>
      <w:tr>
        <w:trPr>
          <w:trHeight w:val="189"/>
        </w:trPr>
        <w:tc>
          <w:tcPr>
            <w:tcW w:w="45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Name/Payment Type</w:t>
            </w:r>
          </w:p>
        </w:tc>
        <w:tc>
          <w:tcPr>
            <w:tcW w:w="120" w:type="dxa"/>
            <w:vAlign w:val="bottom"/>
            <w:shd w:val="clear" w:color="auto" w:fill="C00000"/>
          </w:tcPr>
          <w:p>
            <w:pPr>
              <w:spacing w:after="0"/>
              <w:rPr>
                <w:sz w:val="16"/>
                <w:szCs w:val="16"/>
                <w:color w:val="auto"/>
              </w:rPr>
            </w:pPr>
          </w:p>
        </w:tc>
        <w:tc>
          <w:tcPr>
            <w:tcW w:w="160" w:type="dxa"/>
            <w:vAlign w:val="bottom"/>
            <w:shd w:val="clear" w:color="auto" w:fill="C00000"/>
          </w:tcPr>
          <w:p>
            <w:pPr>
              <w:spacing w:after="0"/>
              <w:rPr>
                <w:sz w:val="16"/>
                <w:szCs w:val="16"/>
                <w:color w:val="auto"/>
              </w:rPr>
            </w:pPr>
          </w:p>
        </w:tc>
        <w:tc>
          <w:tcPr>
            <w:tcW w:w="880" w:type="dxa"/>
            <w:vAlign w:val="bottom"/>
            <w:shd w:val="clear" w:color="auto" w:fill="C00000"/>
          </w:tcPr>
          <w:p>
            <w:pPr>
              <w:jc w:val="center"/>
              <w:ind w:right="189"/>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C00000"/>
          </w:tcPr>
          <w:p>
            <w:pPr>
              <w:spacing w:after="0"/>
              <w:rPr>
                <w:sz w:val="16"/>
                <w:szCs w:val="16"/>
                <w:color w:val="auto"/>
              </w:rPr>
            </w:pPr>
          </w:p>
        </w:tc>
        <w:tc>
          <w:tcPr>
            <w:tcW w:w="840" w:type="dxa"/>
            <w:vAlign w:val="bottom"/>
            <w:shd w:val="clear" w:color="auto" w:fill="C00000"/>
          </w:tcPr>
          <w:p>
            <w:pPr>
              <w:jc w:val="right"/>
              <w:ind w:right="429"/>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320" w:type="dxa"/>
            <w:vAlign w:val="bottom"/>
            <w:shd w:val="clear" w:color="auto" w:fill="C00000"/>
          </w:tcPr>
          <w:p>
            <w:pPr>
              <w:spacing w:after="0"/>
              <w:rPr>
                <w:sz w:val="16"/>
                <w:szCs w:val="16"/>
                <w:color w:val="auto"/>
              </w:rPr>
            </w:pPr>
          </w:p>
        </w:tc>
        <w:tc>
          <w:tcPr>
            <w:tcW w:w="940" w:type="dxa"/>
            <w:vAlign w:val="bottom"/>
            <w:shd w:val="clear" w:color="auto" w:fill="C00000"/>
          </w:tcPr>
          <w:p>
            <w:pPr>
              <w:jc w:val="center"/>
              <w:ind w:right="250"/>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C00000"/>
          </w:tcPr>
          <w:p>
            <w:pPr>
              <w:spacing w:after="0"/>
              <w:rPr>
                <w:sz w:val="16"/>
                <w:szCs w:val="16"/>
                <w:color w:val="auto"/>
              </w:rPr>
            </w:pPr>
          </w:p>
        </w:tc>
        <w:tc>
          <w:tcPr>
            <w:tcW w:w="78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C00000"/>
          </w:tcPr>
          <w:p>
            <w:pPr>
              <w:spacing w:after="0"/>
              <w:rPr>
                <w:sz w:val="16"/>
                <w:szCs w:val="16"/>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Michael J. Hoffman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580" w:type="dxa"/>
            <w:vAlign w:val="bottom"/>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6,682,500</w:t>
            </w:r>
          </w:p>
        </w:tc>
        <w:tc>
          <w:tcPr>
            <w:tcW w:w="80" w:type="dxa"/>
            <w:vAlign w:val="bottom"/>
          </w:tcPr>
          <w:p>
            <w:pPr>
              <w:spacing w:after="0"/>
              <w:rPr>
                <w:sz w:val="14"/>
                <w:szCs w:val="14"/>
                <w:color w:val="auto"/>
              </w:rPr>
            </w:pPr>
          </w:p>
        </w:tc>
      </w:tr>
      <w:tr>
        <w:trPr>
          <w:trHeight w:val="170"/>
        </w:trPr>
        <w:tc>
          <w:tcPr>
            <w:tcW w:w="4580" w:type="dxa"/>
            <w:vAlign w:val="bottom"/>
          </w:tcPr>
          <w:p>
            <w:pPr>
              <w:ind w:left="160"/>
              <w:spacing w:after="0" w:line="170"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3,709,697</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3,709,697</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3,709,697</w:t>
            </w:r>
          </w:p>
        </w:tc>
        <w:tc>
          <w:tcPr>
            <w:tcW w:w="80" w:type="dxa"/>
            <w:vAlign w:val="bottom"/>
          </w:tcPr>
          <w:p>
            <w:pPr>
              <w:spacing w:after="0"/>
              <w:rPr>
                <w:sz w:val="14"/>
                <w:szCs w:val="14"/>
                <w:color w:val="auto"/>
              </w:rPr>
            </w:pPr>
          </w:p>
        </w:tc>
      </w:tr>
      <w:tr>
        <w:trPr>
          <w:trHeight w:val="162"/>
        </w:trPr>
        <w:tc>
          <w:tcPr>
            <w:tcW w:w="4580" w:type="dxa"/>
            <w:vAlign w:val="bottom"/>
          </w:tcPr>
          <w:p>
            <w:pPr>
              <w:ind w:left="160"/>
              <w:spacing w:after="0"/>
              <w:rPr>
                <w:sz w:val="20"/>
                <w:szCs w:val="20"/>
                <w:color w:val="auto"/>
              </w:rPr>
            </w:pPr>
            <w:r>
              <w:rPr>
                <w:rFonts w:ascii="Arial" w:cs="Arial" w:eastAsia="Arial" w:hAnsi="Arial"/>
                <w:sz w:val="14"/>
                <w:szCs w:val="14"/>
                <w:color w:val="auto"/>
              </w:rPr>
              <w:t>Accelerated Performance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580" w:type="dxa"/>
            <w:vAlign w:val="bottom"/>
          </w:tcPr>
          <w:p>
            <w:pPr>
              <w:ind w:left="160"/>
              <w:spacing w:after="0"/>
              <w:rPr>
                <w:sz w:val="20"/>
                <w:szCs w:val="20"/>
                <w:color w:val="auto"/>
              </w:rPr>
            </w:pPr>
            <w:r>
              <w:rPr>
                <w:rFonts w:ascii="Arial" w:cs="Arial" w:eastAsia="Arial" w:hAnsi="Arial"/>
                <w:sz w:val="14"/>
                <w:szCs w:val="14"/>
                <w:color w:val="auto"/>
              </w:rPr>
              <w:t>Share Award Payouts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line="168" w:lineRule="exact"/>
              <w:rPr>
                <w:sz w:val="20"/>
                <w:szCs w:val="20"/>
                <w:color w:val="auto"/>
              </w:rPr>
            </w:pPr>
            <w:r>
              <w:rPr>
                <w:rFonts w:ascii="Arial" w:cs="Arial" w:eastAsia="Arial" w:hAnsi="Arial"/>
                <w:sz w:val="12"/>
                <w:szCs w:val="12"/>
                <w:color w:val="auto"/>
              </w:rPr>
              <w:t>2,381,216</w:t>
            </w:r>
            <w:r>
              <w:rPr>
                <w:rFonts w:ascii="Arial" w:cs="Arial" w:eastAsia="Arial" w:hAnsi="Arial"/>
                <w:sz w:val="19"/>
                <w:szCs w:val="19"/>
                <w:color w:val="auto"/>
                <w:vertAlign w:val="superscript"/>
              </w:rPr>
              <w:t>(4)</w:t>
            </w:r>
          </w:p>
        </w:tc>
        <w:tc>
          <w:tcPr>
            <w:tcW w:w="1180" w:type="dxa"/>
            <w:vAlign w:val="bottom"/>
            <w:gridSpan w:val="2"/>
          </w:tcPr>
          <w:p>
            <w:pPr>
              <w:jc w:val="right"/>
              <w:ind w:right="29"/>
              <w:spacing w:after="0" w:line="168" w:lineRule="exact"/>
              <w:rPr>
                <w:sz w:val="20"/>
                <w:szCs w:val="20"/>
                <w:color w:val="auto"/>
              </w:rPr>
            </w:pPr>
            <w:r>
              <w:rPr>
                <w:rFonts w:ascii="Arial" w:cs="Arial" w:eastAsia="Arial" w:hAnsi="Arial"/>
                <w:sz w:val="12"/>
                <w:szCs w:val="12"/>
                <w:color w:val="auto"/>
              </w:rPr>
              <w:t>$2,381,216</w:t>
            </w:r>
            <w:r>
              <w:rPr>
                <w:rFonts w:ascii="Arial" w:cs="Arial" w:eastAsia="Arial" w:hAnsi="Arial"/>
                <w:sz w:val="19"/>
                <w:szCs w:val="19"/>
                <w:color w:val="auto"/>
                <w:vertAlign w:val="superscript"/>
              </w:rPr>
              <w:t>(4)</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line="168" w:lineRule="exact"/>
              <w:rPr>
                <w:sz w:val="20"/>
                <w:szCs w:val="20"/>
                <w:color w:val="auto"/>
              </w:rPr>
            </w:pPr>
            <w:r>
              <w:rPr>
                <w:rFonts w:ascii="Arial" w:cs="Arial" w:eastAsia="Arial" w:hAnsi="Arial"/>
                <w:sz w:val="12"/>
                <w:szCs w:val="12"/>
                <w:color w:val="auto"/>
              </w:rPr>
              <w:t>3,993,192</w:t>
            </w:r>
            <w:r>
              <w:rPr>
                <w:rFonts w:ascii="Arial" w:cs="Arial" w:eastAsia="Arial" w:hAnsi="Arial"/>
                <w:sz w:val="19"/>
                <w:szCs w:val="19"/>
                <w:color w:val="auto"/>
                <w:vertAlign w:val="superscript"/>
              </w:rPr>
              <w:t>(5)</w:t>
            </w:r>
          </w:p>
        </w:tc>
        <w:tc>
          <w:tcPr>
            <w:tcW w:w="1200" w:type="dxa"/>
            <w:vAlign w:val="bottom"/>
            <w:gridSpan w:val="3"/>
          </w:tcPr>
          <w:p>
            <w:pPr>
              <w:jc w:val="right"/>
              <w:ind w:right="80"/>
              <w:spacing w:after="0" w:line="168" w:lineRule="exact"/>
              <w:rPr>
                <w:sz w:val="20"/>
                <w:szCs w:val="20"/>
                <w:color w:val="auto"/>
              </w:rPr>
            </w:pPr>
            <w:r>
              <w:rPr>
                <w:rFonts w:ascii="Arial" w:cs="Arial" w:eastAsia="Arial" w:hAnsi="Arial"/>
                <w:sz w:val="12"/>
                <w:szCs w:val="12"/>
                <w:color w:val="auto"/>
              </w:rPr>
              <w:t>$ 3,993,192</w:t>
            </w:r>
            <w:r>
              <w:rPr>
                <w:rFonts w:ascii="Arial" w:cs="Arial" w:eastAsia="Arial" w:hAnsi="Arial"/>
                <w:sz w:val="19"/>
                <w:szCs w:val="19"/>
                <w:color w:val="auto"/>
                <w:vertAlign w:val="superscript"/>
              </w:rPr>
              <w:t>(5)</w:t>
            </w:r>
          </w:p>
        </w:tc>
      </w:tr>
      <w:tr>
        <w:trPr>
          <w:trHeight w:val="162"/>
        </w:trPr>
        <w:tc>
          <w:tcPr>
            <w:tcW w:w="4580" w:type="dxa"/>
            <w:vAlign w:val="bottom"/>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57,876</w:t>
            </w:r>
          </w:p>
        </w:tc>
      </w:tr>
      <w:tr>
        <w:trPr>
          <w:trHeight w:val="162"/>
        </w:trPr>
        <w:tc>
          <w:tcPr>
            <w:tcW w:w="4580" w:type="dxa"/>
            <w:vAlign w:val="bottom"/>
          </w:tcPr>
          <w:p>
            <w:pPr>
              <w:ind w:left="160"/>
              <w:spacing w:after="0" w:line="162"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30,000</w:t>
            </w:r>
          </w:p>
        </w:tc>
      </w:tr>
      <w:tr>
        <w:trPr>
          <w:trHeight w:val="165"/>
        </w:trPr>
        <w:tc>
          <w:tcPr>
            <w:tcW w:w="4580" w:type="dxa"/>
            <w:vAlign w:val="bottom"/>
          </w:tcPr>
          <w:p>
            <w:pPr>
              <w:ind w:left="160"/>
              <w:spacing w:after="0" w:line="164" w:lineRule="exact"/>
              <w:rPr>
                <w:sz w:val="20"/>
                <w:szCs w:val="20"/>
                <w:color w:val="auto"/>
              </w:rPr>
            </w:pPr>
            <w:r>
              <w:rPr>
                <w:rFonts w:ascii="Arial" w:cs="Arial" w:eastAsia="Arial" w:hAnsi="Arial"/>
                <w:sz w:val="12"/>
                <w:szCs w:val="12"/>
                <w:color w:val="auto"/>
              </w:rPr>
              <w:t>Perquisites</w:t>
            </w:r>
            <w:r>
              <w:rPr>
                <w:rFonts w:ascii="Arial" w:cs="Arial" w:eastAsia="Arial" w:hAnsi="Arial"/>
                <w:sz w:val="19"/>
                <w:szCs w:val="19"/>
                <w:color w:val="auto"/>
                <w:vertAlign w:val="superscript"/>
              </w:rPr>
              <w:t>(8)</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39,099</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r>
      <w:tr>
        <w:trPr>
          <w:trHeight w:val="169"/>
        </w:trPr>
        <w:tc>
          <w:tcPr>
            <w:tcW w:w="458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2,420,315</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6,090,913</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7,702,889</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14,473,265</w:t>
            </w:r>
          </w:p>
        </w:tc>
        <w:tc>
          <w:tcPr>
            <w:tcW w:w="80" w:type="dxa"/>
            <w:vAlign w:val="bottom"/>
          </w:tcPr>
          <w:p>
            <w:pPr>
              <w:spacing w:after="0"/>
              <w:rPr>
                <w:sz w:val="14"/>
                <w:szCs w:val="14"/>
                <w:color w:val="auto"/>
              </w:rPr>
            </w:pPr>
          </w:p>
        </w:tc>
      </w:tr>
      <w:tr>
        <w:trPr>
          <w:trHeight w:val="159"/>
        </w:trPr>
        <w:tc>
          <w:tcPr>
            <w:tcW w:w="4580" w:type="dxa"/>
            <w:vAlign w:val="bottom"/>
            <w:shd w:val="clear" w:color="auto" w:fill="D9D9D9"/>
          </w:tcPr>
          <w:p>
            <w:pPr>
              <w:spacing w:after="0" w:line="159" w:lineRule="exact"/>
              <w:rPr>
                <w:sz w:val="20"/>
                <w:szCs w:val="20"/>
                <w:color w:val="auto"/>
              </w:rPr>
            </w:pPr>
            <w:r>
              <w:rPr>
                <w:rFonts w:ascii="Arial" w:cs="Arial" w:eastAsia="Arial" w:hAnsi="Arial"/>
                <w:sz w:val="14"/>
                <w:szCs w:val="14"/>
                <w:color w:val="auto"/>
              </w:rPr>
              <w:t>Renee J. Peterson</w:t>
            </w:r>
          </w:p>
        </w:tc>
        <w:tc>
          <w:tcPr>
            <w:tcW w:w="1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940" w:type="dxa"/>
            <w:vAlign w:val="bottom"/>
            <w:shd w:val="clear" w:color="auto" w:fill="D9D9D9"/>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r>
      <w:tr>
        <w:trPr>
          <w:trHeight w:val="162"/>
        </w:trPr>
        <w:tc>
          <w:tcPr>
            <w:tcW w:w="45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1,697,500</w:t>
            </w:r>
          </w:p>
        </w:tc>
        <w:tc>
          <w:tcPr>
            <w:tcW w:w="80" w:type="dxa"/>
            <w:vAlign w:val="bottom"/>
            <w:shd w:val="clear" w:color="auto" w:fill="D9D9D9"/>
          </w:tcPr>
          <w:p>
            <w:pPr>
              <w:spacing w:after="0"/>
              <w:rPr>
                <w:sz w:val="14"/>
                <w:szCs w:val="14"/>
                <w:color w:val="auto"/>
              </w:rPr>
            </w:pPr>
          </w:p>
        </w:tc>
      </w:tr>
      <w:tr>
        <w:trPr>
          <w:trHeight w:val="165"/>
        </w:trPr>
        <w:tc>
          <w:tcPr>
            <w:tcW w:w="4580" w:type="dxa"/>
            <w:vAlign w:val="bottom"/>
            <w:shd w:val="clear" w:color="auto" w:fill="D9D9D9"/>
          </w:tcPr>
          <w:p>
            <w:pPr>
              <w:ind w:left="160"/>
              <w:spacing w:after="0" w:line="164"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1,009,595</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1,009,595</w:t>
            </w:r>
          </w:p>
        </w:tc>
        <w:tc>
          <w:tcPr>
            <w:tcW w:w="3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1,009,595</w:t>
            </w:r>
          </w:p>
        </w:tc>
        <w:tc>
          <w:tcPr>
            <w:tcW w:w="80" w:type="dxa"/>
            <w:vAlign w:val="bottom"/>
            <w:shd w:val="clear" w:color="auto" w:fill="D9D9D9"/>
          </w:tcPr>
          <w:p>
            <w:pPr>
              <w:spacing w:after="0"/>
              <w:rPr>
                <w:sz w:val="14"/>
                <w:szCs w:val="14"/>
                <w:color w:val="auto"/>
              </w:rPr>
            </w:pPr>
          </w:p>
        </w:tc>
      </w:tr>
      <w:tr>
        <w:trPr>
          <w:trHeight w:val="167"/>
        </w:trPr>
        <w:tc>
          <w:tcPr>
            <w:tcW w:w="45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Accelerated Performance</w:t>
            </w: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94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r>
      <w:tr>
        <w:trPr>
          <w:trHeight w:val="168"/>
        </w:trPr>
        <w:tc>
          <w:tcPr>
            <w:tcW w:w="45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Share Award Payouts</w:t>
            </w: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29"/>
              <w:spacing w:after="0" w:line="168" w:lineRule="exact"/>
              <w:rPr>
                <w:sz w:val="20"/>
                <w:szCs w:val="20"/>
                <w:color w:val="auto"/>
              </w:rPr>
            </w:pPr>
            <w:r>
              <w:rPr>
                <w:rFonts w:ascii="Arial" w:cs="Arial" w:eastAsia="Arial" w:hAnsi="Arial"/>
                <w:sz w:val="12"/>
                <w:szCs w:val="12"/>
                <w:color w:val="auto"/>
              </w:rPr>
              <w:t>656,243</w:t>
            </w:r>
            <w:r>
              <w:rPr>
                <w:rFonts w:ascii="Arial" w:cs="Arial" w:eastAsia="Arial" w:hAnsi="Arial"/>
                <w:sz w:val="19"/>
                <w:szCs w:val="19"/>
                <w:color w:val="auto"/>
                <w:vertAlign w:val="superscript"/>
              </w:rPr>
              <w:t>(4)</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30"/>
              <w:spacing w:after="0" w:line="168" w:lineRule="exact"/>
              <w:rPr>
                <w:sz w:val="20"/>
                <w:szCs w:val="20"/>
                <w:color w:val="auto"/>
              </w:rPr>
            </w:pPr>
            <w:r>
              <w:rPr>
                <w:rFonts w:ascii="Arial" w:cs="Arial" w:eastAsia="Arial" w:hAnsi="Arial"/>
                <w:sz w:val="12"/>
                <w:szCs w:val="12"/>
                <w:color w:val="auto"/>
              </w:rPr>
              <w:t>1,110,816</w:t>
            </w:r>
            <w:r>
              <w:rPr>
                <w:rFonts w:ascii="Arial" w:cs="Arial" w:eastAsia="Arial" w:hAnsi="Arial"/>
                <w:sz w:val="19"/>
                <w:szCs w:val="19"/>
                <w:color w:val="auto"/>
                <w:vertAlign w:val="superscript"/>
              </w:rPr>
              <w:t>(5)</w:t>
            </w:r>
          </w:p>
        </w:tc>
        <w:tc>
          <w:tcPr>
            <w:tcW w:w="1200" w:type="dxa"/>
            <w:vAlign w:val="bottom"/>
            <w:gridSpan w:val="3"/>
            <w:shd w:val="clear" w:color="auto" w:fill="D9D9D9"/>
          </w:tcPr>
          <w:p>
            <w:pPr>
              <w:jc w:val="right"/>
              <w:ind w:right="80"/>
              <w:spacing w:after="0" w:line="168" w:lineRule="exact"/>
              <w:rPr>
                <w:sz w:val="20"/>
                <w:szCs w:val="20"/>
                <w:color w:val="auto"/>
              </w:rPr>
            </w:pPr>
            <w:r>
              <w:rPr>
                <w:rFonts w:ascii="Arial" w:cs="Arial" w:eastAsia="Arial" w:hAnsi="Arial"/>
                <w:sz w:val="12"/>
                <w:szCs w:val="12"/>
                <w:color w:val="auto"/>
              </w:rPr>
              <w:t>$ 1,110,816</w:t>
            </w:r>
            <w:r>
              <w:rPr>
                <w:rFonts w:ascii="Arial" w:cs="Arial" w:eastAsia="Arial" w:hAnsi="Arial"/>
                <w:sz w:val="19"/>
                <w:szCs w:val="19"/>
                <w:color w:val="auto"/>
                <w:vertAlign w:val="superscript"/>
              </w:rPr>
              <w:t>(5)</w:t>
            </w:r>
          </w:p>
        </w:tc>
      </w:tr>
      <w:tr>
        <w:trPr>
          <w:trHeight w:val="162"/>
        </w:trPr>
        <w:tc>
          <w:tcPr>
            <w:tcW w:w="45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52,926</w:t>
            </w:r>
          </w:p>
        </w:tc>
      </w:tr>
      <w:tr>
        <w:trPr>
          <w:trHeight w:val="165"/>
        </w:trPr>
        <w:tc>
          <w:tcPr>
            <w:tcW w:w="4580" w:type="dxa"/>
            <w:vAlign w:val="bottom"/>
            <w:shd w:val="clear" w:color="auto" w:fill="D9D9D9"/>
          </w:tcPr>
          <w:p>
            <w:pPr>
              <w:ind w:left="160"/>
              <w:spacing w:after="0" w:line="16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19"/>
                <w:szCs w:val="19"/>
                <w:color w:val="auto"/>
                <w:vertAlign w:val="superscript"/>
              </w:rPr>
              <w:t>(7)</w:t>
            </w:r>
          </w:p>
        </w:tc>
        <w:tc>
          <w:tcPr>
            <w:tcW w:w="120" w:type="dxa"/>
            <w:vAlign w:val="bottom"/>
            <w:shd w:val="clear" w:color="auto" w:fill="D9D9D9"/>
          </w:tcPr>
          <w:p>
            <w:pPr>
              <w:spacing w:after="0"/>
              <w:rPr>
                <w:sz w:val="14"/>
                <w:szCs w:val="1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30,000</w:t>
            </w:r>
          </w:p>
        </w:tc>
      </w:tr>
      <w:tr>
        <w:trPr>
          <w:trHeight w:val="169"/>
        </w:trPr>
        <w:tc>
          <w:tcPr>
            <w:tcW w:w="4580" w:type="dxa"/>
            <w:vAlign w:val="bottom"/>
            <w:tcBorders>
              <w:top w:val="single" w:sz="8" w:color="D9D9D9"/>
            </w:tcBorders>
            <w:shd w:val="clear" w:color="auto" w:fill="D9D9D9"/>
          </w:tcPr>
          <w:p>
            <w:pPr>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D9D9D9"/>
            </w:tcBorders>
            <w:shd w:val="clear" w:color="auto" w:fill="D9D9D9"/>
          </w:tcPr>
          <w:p>
            <w:pPr>
              <w:spacing w:after="0"/>
              <w:rPr>
                <w:sz w:val="14"/>
                <w:szCs w:val="14"/>
                <w:color w:val="auto"/>
              </w:rPr>
            </w:pPr>
          </w:p>
        </w:tc>
        <w:tc>
          <w:tcPr>
            <w:tcW w:w="1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Borders>
              <w:top w:val="single" w:sz="8" w:color="auto"/>
            </w:tcBorders>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D9D9D9"/>
          </w:tcPr>
          <w:p>
            <w:pPr>
              <w:jc w:val="right"/>
              <w:ind w:right="29"/>
              <w:spacing w:after="0"/>
              <w:rPr>
                <w:sz w:val="20"/>
                <w:szCs w:val="20"/>
                <w:color w:val="auto"/>
              </w:rPr>
            </w:pPr>
            <w:r>
              <w:rPr>
                <w:rFonts w:ascii="Arial" w:cs="Arial" w:eastAsia="Arial" w:hAnsi="Arial"/>
                <w:sz w:val="14"/>
                <w:szCs w:val="14"/>
                <w:color w:val="auto"/>
              </w:rPr>
              <w:t>1,665,838</w:t>
            </w:r>
          </w:p>
        </w:tc>
        <w:tc>
          <w:tcPr>
            <w:tcW w:w="1020" w:type="dxa"/>
            <w:vAlign w:val="bottom"/>
            <w:tcBorders>
              <w:top w:val="single" w:sz="8" w:color="auto"/>
            </w:tcBorders>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Borders>
              <w:top w:val="single" w:sz="8" w:color="auto"/>
            </w:tcBorders>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D9D9D9"/>
          </w:tcPr>
          <w:p>
            <w:pPr>
              <w:jc w:val="right"/>
              <w:ind w:right="30"/>
              <w:spacing w:after="0"/>
              <w:rPr>
                <w:sz w:val="20"/>
                <w:szCs w:val="20"/>
                <w:color w:val="auto"/>
              </w:rPr>
            </w:pPr>
            <w:r>
              <w:rPr>
                <w:rFonts w:ascii="Arial" w:cs="Arial" w:eastAsia="Arial" w:hAnsi="Arial"/>
                <w:sz w:val="14"/>
                <w:szCs w:val="14"/>
                <w:color w:val="auto"/>
              </w:rPr>
              <w:t>2,120,411</w:t>
            </w:r>
          </w:p>
        </w:tc>
        <w:tc>
          <w:tcPr>
            <w:tcW w:w="340" w:type="dxa"/>
            <w:vAlign w:val="bottom"/>
            <w:tcBorders>
              <w:top w:val="single" w:sz="8" w:color="auto"/>
            </w:tcBorders>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3,900,837</w:t>
            </w:r>
          </w:p>
        </w:tc>
        <w:tc>
          <w:tcPr>
            <w:tcW w:w="80" w:type="dxa"/>
            <w:vAlign w:val="bottom"/>
            <w:tcBorders>
              <w:top w:val="single" w:sz="8" w:color="D9D9D9"/>
            </w:tcBorders>
            <w:shd w:val="clear" w:color="auto" w:fill="D9D9D9"/>
          </w:tcPr>
          <w:p>
            <w:pPr>
              <w:spacing w:after="0"/>
              <w:rPr>
                <w:sz w:val="14"/>
                <w:szCs w:val="14"/>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Richard M. Olson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580" w:type="dxa"/>
            <w:vAlign w:val="bottom"/>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1,800,000</w:t>
            </w:r>
          </w:p>
        </w:tc>
        <w:tc>
          <w:tcPr>
            <w:tcW w:w="80" w:type="dxa"/>
            <w:vAlign w:val="bottom"/>
          </w:tcPr>
          <w:p>
            <w:pPr>
              <w:spacing w:after="0"/>
              <w:rPr>
                <w:sz w:val="14"/>
                <w:szCs w:val="14"/>
                <w:color w:val="auto"/>
              </w:rPr>
            </w:pPr>
          </w:p>
        </w:tc>
      </w:tr>
      <w:tr>
        <w:trPr>
          <w:trHeight w:val="170"/>
        </w:trPr>
        <w:tc>
          <w:tcPr>
            <w:tcW w:w="4580" w:type="dxa"/>
            <w:vAlign w:val="bottom"/>
          </w:tcPr>
          <w:p>
            <w:pPr>
              <w:ind w:left="160"/>
              <w:spacing w:after="0" w:line="170"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694,862</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694,862</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694,862</w:t>
            </w:r>
          </w:p>
        </w:tc>
        <w:tc>
          <w:tcPr>
            <w:tcW w:w="80" w:type="dxa"/>
            <w:vAlign w:val="bottom"/>
          </w:tcPr>
          <w:p>
            <w:pPr>
              <w:spacing w:after="0"/>
              <w:rPr>
                <w:sz w:val="14"/>
                <w:szCs w:val="14"/>
                <w:color w:val="auto"/>
              </w:rPr>
            </w:pPr>
          </w:p>
        </w:tc>
      </w:tr>
      <w:tr>
        <w:trPr>
          <w:trHeight w:val="155"/>
        </w:trPr>
        <w:tc>
          <w:tcPr>
            <w:tcW w:w="4580" w:type="dxa"/>
            <w:vAlign w:val="bottom"/>
          </w:tcPr>
          <w:p>
            <w:pPr>
              <w:ind w:left="160"/>
              <w:spacing w:after="0" w:line="155" w:lineRule="exact"/>
              <w:rPr>
                <w:sz w:val="20"/>
                <w:szCs w:val="20"/>
                <w:color w:val="auto"/>
              </w:rPr>
            </w:pPr>
            <w:r>
              <w:rPr>
                <w:rFonts w:ascii="Arial" w:cs="Arial" w:eastAsia="Arial" w:hAnsi="Arial"/>
                <w:sz w:val="14"/>
                <w:szCs w:val="14"/>
                <w:color w:val="auto"/>
              </w:rPr>
              <w:t>Unvested &amp; Accelerated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4580" w:type="dxa"/>
            <w:vAlign w:val="bottom"/>
          </w:tcPr>
          <w:p>
            <w:pPr>
              <w:ind w:left="16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21"/>
                <w:szCs w:val="21"/>
                <w:color w:val="auto"/>
                <w:vertAlign w:val="superscript"/>
              </w:rPr>
              <w:t>(9)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238,155</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238,155</w:t>
            </w:r>
          </w:p>
        </w:tc>
        <w:tc>
          <w:tcPr>
            <w:tcW w:w="80" w:type="dxa"/>
            <w:vAlign w:val="bottom"/>
          </w:tcPr>
          <w:p>
            <w:pPr>
              <w:spacing w:after="0"/>
              <w:rPr>
                <w:sz w:val="15"/>
                <w:szCs w:val="15"/>
                <w:color w:val="auto"/>
              </w:rPr>
            </w:pPr>
          </w:p>
        </w:tc>
      </w:tr>
      <w:tr>
        <w:trPr>
          <w:trHeight w:val="162"/>
        </w:trPr>
        <w:tc>
          <w:tcPr>
            <w:tcW w:w="4580" w:type="dxa"/>
            <w:vAlign w:val="bottom"/>
          </w:tcPr>
          <w:p>
            <w:pPr>
              <w:ind w:left="160"/>
              <w:spacing w:after="0"/>
              <w:rPr>
                <w:sz w:val="20"/>
                <w:szCs w:val="20"/>
                <w:color w:val="auto"/>
              </w:rPr>
            </w:pPr>
            <w:r>
              <w:rPr>
                <w:rFonts w:ascii="Arial" w:cs="Arial" w:eastAsia="Arial" w:hAnsi="Arial"/>
                <w:sz w:val="14"/>
                <w:szCs w:val="14"/>
                <w:color w:val="auto"/>
              </w:rPr>
              <w:t>Accelerated Performance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580" w:type="dxa"/>
            <w:vAlign w:val="bottom"/>
          </w:tcPr>
          <w:p>
            <w:pPr>
              <w:ind w:left="160"/>
              <w:spacing w:after="0"/>
              <w:rPr>
                <w:sz w:val="20"/>
                <w:szCs w:val="20"/>
                <w:color w:val="auto"/>
              </w:rPr>
            </w:pPr>
            <w:r>
              <w:rPr>
                <w:rFonts w:ascii="Arial" w:cs="Arial" w:eastAsia="Arial" w:hAnsi="Arial"/>
                <w:sz w:val="14"/>
                <w:szCs w:val="14"/>
                <w:color w:val="auto"/>
              </w:rPr>
              <w:t>Share Award Payouts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line="168" w:lineRule="exact"/>
              <w:rPr>
                <w:sz w:val="20"/>
                <w:szCs w:val="20"/>
                <w:color w:val="auto"/>
              </w:rPr>
            </w:pPr>
            <w:r>
              <w:rPr>
                <w:rFonts w:ascii="Arial" w:cs="Arial" w:eastAsia="Arial" w:hAnsi="Arial"/>
                <w:sz w:val="12"/>
                <w:szCs w:val="12"/>
                <w:color w:val="auto"/>
              </w:rPr>
              <w:t>458,690</w:t>
            </w:r>
            <w:r>
              <w:rPr>
                <w:rFonts w:ascii="Arial" w:cs="Arial" w:eastAsia="Arial" w:hAnsi="Arial"/>
                <w:sz w:val="19"/>
                <w:szCs w:val="19"/>
                <w:color w:val="auto"/>
                <w:vertAlign w:val="superscript"/>
              </w:rPr>
              <w:t>(4)</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line="168" w:lineRule="exact"/>
              <w:rPr>
                <w:sz w:val="20"/>
                <w:szCs w:val="20"/>
                <w:color w:val="auto"/>
              </w:rPr>
            </w:pPr>
            <w:r>
              <w:rPr>
                <w:rFonts w:ascii="Arial" w:cs="Arial" w:eastAsia="Arial" w:hAnsi="Arial"/>
                <w:sz w:val="12"/>
                <w:szCs w:val="12"/>
                <w:color w:val="auto"/>
              </w:rPr>
              <w:t>900,144</w:t>
            </w:r>
            <w:r>
              <w:rPr>
                <w:rFonts w:ascii="Arial" w:cs="Arial" w:eastAsia="Arial" w:hAnsi="Arial"/>
                <w:sz w:val="19"/>
                <w:szCs w:val="19"/>
                <w:color w:val="auto"/>
                <w:vertAlign w:val="superscript"/>
              </w:rPr>
              <w:t>(5)</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68" w:lineRule="exact"/>
              <w:rPr>
                <w:sz w:val="20"/>
                <w:szCs w:val="20"/>
                <w:color w:val="auto"/>
              </w:rPr>
            </w:pPr>
            <w:r>
              <w:rPr>
                <w:rFonts w:ascii="Arial" w:cs="Arial" w:eastAsia="Arial" w:hAnsi="Arial"/>
                <w:sz w:val="12"/>
                <w:szCs w:val="12"/>
                <w:color w:val="auto"/>
              </w:rPr>
              <w:t>900,144</w:t>
            </w:r>
            <w:r>
              <w:rPr>
                <w:rFonts w:ascii="Arial" w:cs="Arial" w:eastAsia="Arial" w:hAnsi="Arial"/>
                <w:sz w:val="19"/>
                <w:szCs w:val="19"/>
                <w:color w:val="auto"/>
                <w:vertAlign w:val="superscript"/>
              </w:rPr>
              <w:t>(5)</w:t>
            </w:r>
          </w:p>
        </w:tc>
      </w:tr>
      <w:tr>
        <w:trPr>
          <w:trHeight w:val="162"/>
        </w:trPr>
        <w:tc>
          <w:tcPr>
            <w:tcW w:w="4580" w:type="dxa"/>
            <w:vAlign w:val="bottom"/>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55,758</w:t>
            </w:r>
          </w:p>
        </w:tc>
      </w:tr>
      <w:tr>
        <w:trPr>
          <w:trHeight w:val="165"/>
        </w:trPr>
        <w:tc>
          <w:tcPr>
            <w:tcW w:w="4580" w:type="dxa"/>
            <w:vAlign w:val="bottom"/>
          </w:tcPr>
          <w:p>
            <w:pPr>
              <w:ind w:left="160"/>
              <w:spacing w:after="0" w:line="16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19"/>
                <w:szCs w:val="19"/>
                <w:color w:val="auto"/>
                <w:vertAlign w:val="superscript"/>
              </w:rPr>
              <w:t>(7)</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4"/>
                <w:szCs w:val="14"/>
                <w:color w:val="auto"/>
              </w:rPr>
            </w:pPr>
          </w:p>
        </w:tc>
      </w:tr>
      <w:tr>
        <w:trPr>
          <w:trHeight w:val="184"/>
        </w:trPr>
        <w:tc>
          <w:tcPr>
            <w:tcW w:w="458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1,153,552</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1,833,161</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3,718,919</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-3507740</wp:posOffset>
            </wp:positionV>
            <wp:extent cx="15690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28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360" w:type="dxa"/>
            <w:vAlign w:val="bottom"/>
            <w:shd w:val="clear" w:color="auto" w:fill="C00000"/>
          </w:tcPr>
          <w:p>
            <w:pPr>
              <w:spacing w:after="0"/>
              <w:rPr>
                <w:sz w:val="14"/>
                <w:szCs w:val="14"/>
                <w:color w:val="auto"/>
              </w:rPr>
            </w:pPr>
          </w:p>
        </w:tc>
        <w:tc>
          <w:tcPr>
            <w:tcW w:w="2100" w:type="dxa"/>
            <w:vAlign w:val="bottom"/>
            <w:gridSpan w:val="4"/>
            <w:shd w:val="clear" w:color="auto" w:fill="C00000"/>
          </w:tcPr>
          <w:p>
            <w:pPr>
              <w:ind w:left="260"/>
              <w:spacing w:after="0"/>
              <w:rPr>
                <w:sz w:val="20"/>
                <w:szCs w:val="20"/>
                <w:color w:val="auto"/>
              </w:rPr>
            </w:pPr>
            <w:r>
              <w:rPr>
                <w:rFonts w:ascii="Arial" w:cs="Arial" w:eastAsia="Arial" w:hAnsi="Arial"/>
                <w:sz w:val="14"/>
                <w:szCs w:val="14"/>
                <w:b w:val="1"/>
                <w:bCs w:val="1"/>
                <w:color w:val="FFFFFF"/>
              </w:rPr>
              <w:t>Change in Control</w:t>
            </w:r>
          </w:p>
        </w:tc>
      </w:tr>
      <w:tr>
        <w:trPr>
          <w:trHeight w:val="162"/>
        </w:trPr>
        <w:tc>
          <w:tcPr>
            <w:tcW w:w="474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28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36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1200" w:type="dxa"/>
            <w:vAlign w:val="bottom"/>
            <w:gridSpan w:val="3"/>
            <w:shd w:val="clear" w:color="auto" w:fill="C00000"/>
          </w:tcPr>
          <w:p>
            <w:pPr>
              <w:ind w:left="200"/>
              <w:spacing w:after="0"/>
              <w:rPr>
                <w:sz w:val="20"/>
                <w:szCs w:val="20"/>
                <w:color w:val="auto"/>
              </w:rPr>
            </w:pPr>
            <w:r>
              <w:rPr>
                <w:rFonts w:ascii="Arial" w:cs="Arial" w:eastAsia="Arial" w:hAnsi="Arial"/>
                <w:sz w:val="14"/>
                <w:szCs w:val="14"/>
                <w:b w:val="1"/>
                <w:bCs w:val="1"/>
                <w:color w:val="FFFFFF"/>
              </w:rPr>
              <w:t>Termination</w:t>
            </w:r>
          </w:p>
        </w:tc>
      </w:tr>
      <w:tr>
        <w:trPr>
          <w:trHeight w:val="162"/>
        </w:trPr>
        <w:tc>
          <w:tcPr>
            <w:tcW w:w="474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80" w:type="dxa"/>
            <w:vAlign w:val="bottom"/>
            <w:shd w:val="clear" w:color="auto" w:fill="C00000"/>
          </w:tcPr>
          <w:p>
            <w:pPr>
              <w:spacing w:after="0"/>
              <w:rPr>
                <w:sz w:val="14"/>
                <w:szCs w:val="14"/>
                <w:color w:val="auto"/>
              </w:rPr>
            </w:pPr>
          </w:p>
        </w:tc>
        <w:tc>
          <w:tcPr>
            <w:tcW w:w="820" w:type="dxa"/>
            <w:vAlign w:val="bottom"/>
            <w:shd w:val="clear" w:color="auto" w:fill="C00000"/>
          </w:tcPr>
          <w:p>
            <w:pPr>
              <w:spacing w:after="0"/>
              <w:rPr>
                <w:sz w:val="14"/>
                <w:szCs w:val="14"/>
                <w:color w:val="auto"/>
              </w:rPr>
            </w:pPr>
          </w:p>
        </w:tc>
        <w:tc>
          <w:tcPr>
            <w:tcW w:w="28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1020" w:type="dxa"/>
            <w:vAlign w:val="bottom"/>
            <w:shd w:val="clear" w:color="auto" w:fill="C00000"/>
          </w:tcPr>
          <w:p>
            <w:pPr>
              <w:spacing w:after="0"/>
              <w:rPr>
                <w:sz w:val="14"/>
                <w:szCs w:val="14"/>
                <w:color w:val="auto"/>
              </w:rPr>
            </w:pPr>
          </w:p>
        </w:tc>
        <w:tc>
          <w:tcPr>
            <w:tcW w:w="36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Without Cause</w:t>
            </w:r>
          </w:p>
        </w:tc>
      </w:tr>
      <w:tr>
        <w:trPr>
          <w:trHeight w:val="162"/>
        </w:trPr>
        <w:tc>
          <w:tcPr>
            <w:tcW w:w="474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000" w:type="dxa"/>
            <w:vAlign w:val="bottom"/>
            <w:gridSpan w:val="2"/>
            <w:shd w:val="clear" w:color="auto" w:fill="C00000"/>
          </w:tcPr>
          <w:p>
            <w:pPr>
              <w:jc w:val="center"/>
              <w:ind w:right="9"/>
              <w:spacing w:after="0"/>
              <w:rPr>
                <w:sz w:val="20"/>
                <w:szCs w:val="20"/>
                <w:color w:val="auto"/>
              </w:rPr>
            </w:pPr>
            <w:r>
              <w:rPr>
                <w:rFonts w:ascii="Arial" w:cs="Arial" w:eastAsia="Arial" w:hAnsi="Arial"/>
                <w:sz w:val="14"/>
                <w:szCs w:val="14"/>
                <w:b w:val="1"/>
                <w:bCs w:val="1"/>
                <w:color w:val="FFFFFF"/>
                <w:w w:val="99"/>
              </w:rPr>
              <w:t>Voluntary</w:t>
            </w:r>
          </w:p>
        </w:tc>
        <w:tc>
          <w:tcPr>
            <w:tcW w:w="28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Involuntary</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Termination</w:t>
            </w:r>
          </w:p>
        </w:tc>
        <w:tc>
          <w:tcPr>
            <w:tcW w:w="360" w:type="dxa"/>
            <w:vAlign w:val="bottom"/>
            <w:shd w:val="clear" w:color="auto" w:fill="C00000"/>
          </w:tcPr>
          <w:p>
            <w:pPr>
              <w:spacing w:after="0"/>
              <w:rPr>
                <w:sz w:val="14"/>
                <w:szCs w:val="14"/>
                <w:color w:val="auto"/>
              </w:rPr>
            </w:pPr>
          </w:p>
        </w:tc>
        <w:tc>
          <w:tcPr>
            <w:tcW w:w="900" w:type="dxa"/>
            <w:vAlign w:val="bottom"/>
            <w:shd w:val="clear" w:color="auto" w:fill="C00000"/>
          </w:tcPr>
          <w:p>
            <w:pPr>
              <w:spacing w:after="0"/>
              <w:rPr>
                <w:sz w:val="14"/>
                <w:szCs w:val="14"/>
                <w:color w:val="auto"/>
              </w:rPr>
            </w:pP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by Toro or by</w:t>
            </w:r>
          </w:p>
        </w:tc>
      </w:tr>
      <w:tr>
        <w:trPr>
          <w:trHeight w:val="162"/>
        </w:trPr>
        <w:tc>
          <w:tcPr>
            <w:tcW w:w="474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0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Resignation/</w:t>
            </w:r>
          </w:p>
        </w:tc>
        <w:tc>
          <w:tcPr>
            <w:tcW w:w="10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Disability or</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Termination</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by Toro for</w:t>
            </w:r>
          </w:p>
        </w:tc>
        <w:tc>
          <w:tcPr>
            <w:tcW w:w="12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No Termination</w:t>
            </w: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Executive for</w:t>
            </w:r>
          </w:p>
        </w:tc>
      </w:tr>
      <w:tr>
        <w:trPr>
          <w:trHeight w:val="162"/>
        </w:trPr>
        <w:tc>
          <w:tcPr>
            <w:tcW w:w="474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1000" w:type="dxa"/>
            <w:vAlign w:val="bottom"/>
            <w:gridSpan w:val="2"/>
            <w:shd w:val="clear" w:color="auto" w:fill="C00000"/>
          </w:tcPr>
          <w:p>
            <w:pPr>
              <w:jc w:val="center"/>
              <w:spacing w:after="0" w:line="162" w:lineRule="exact"/>
              <w:rPr>
                <w:sz w:val="20"/>
                <w:szCs w:val="20"/>
                <w:color w:val="auto"/>
              </w:rPr>
            </w:pPr>
            <w:r>
              <w:rPr>
                <w:rFonts w:ascii="Arial" w:cs="Arial" w:eastAsia="Arial" w:hAnsi="Arial"/>
                <w:sz w:val="11"/>
                <w:szCs w:val="11"/>
                <w:b w:val="1"/>
                <w:bCs w:val="1"/>
                <w:color w:val="FFFFFF"/>
              </w:rPr>
              <w:t>Retirement</w:t>
            </w:r>
            <w:r>
              <w:rPr>
                <w:rFonts w:ascii="Arial" w:cs="Arial" w:eastAsia="Arial" w:hAnsi="Arial"/>
                <w:sz w:val="18"/>
                <w:szCs w:val="18"/>
                <w:b w:val="1"/>
                <w:bCs w:val="1"/>
                <w:color w:val="FFFFFF"/>
                <w:vertAlign w:val="superscript"/>
              </w:rPr>
              <w:t>(1)</w:t>
            </w:r>
          </w:p>
        </w:tc>
        <w:tc>
          <w:tcPr>
            <w:tcW w:w="280" w:type="dxa"/>
            <w:vAlign w:val="bottom"/>
            <w:shd w:val="clear" w:color="auto" w:fill="C00000"/>
          </w:tcPr>
          <w:p>
            <w:pPr>
              <w:spacing w:after="0"/>
              <w:rPr>
                <w:sz w:val="14"/>
                <w:szCs w:val="14"/>
                <w:color w:val="auto"/>
              </w:rPr>
            </w:pPr>
          </w:p>
        </w:tc>
        <w:tc>
          <w:tcPr>
            <w:tcW w:w="780" w:type="dxa"/>
            <w:vAlign w:val="bottom"/>
            <w:shd w:val="clear" w:color="auto" w:fill="C00000"/>
          </w:tcPr>
          <w:p>
            <w:pPr>
              <w:jc w:val="center"/>
              <w:ind w:right="190"/>
              <w:spacing w:after="0"/>
              <w:rPr>
                <w:sz w:val="20"/>
                <w:szCs w:val="20"/>
                <w:color w:val="auto"/>
              </w:rPr>
            </w:pPr>
            <w:r>
              <w:rPr>
                <w:rFonts w:ascii="Arial" w:cs="Arial" w:eastAsia="Arial" w:hAnsi="Arial"/>
                <w:sz w:val="14"/>
                <w:szCs w:val="14"/>
                <w:b w:val="1"/>
                <w:bCs w:val="1"/>
                <w:color w:val="FFFFFF"/>
              </w:rPr>
              <w:t>Death</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7"/>
              </w:rPr>
              <w:t>by Toro</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Cause</w:t>
            </w:r>
          </w:p>
        </w:tc>
        <w:tc>
          <w:tcPr>
            <w:tcW w:w="360" w:type="dxa"/>
            <w:vAlign w:val="bottom"/>
            <w:shd w:val="clear" w:color="auto" w:fill="C00000"/>
          </w:tcPr>
          <w:p>
            <w:pPr>
              <w:spacing w:after="0"/>
              <w:rPr>
                <w:sz w:val="14"/>
                <w:szCs w:val="14"/>
                <w:color w:val="auto"/>
              </w:rPr>
            </w:pPr>
          </w:p>
        </w:tc>
        <w:tc>
          <w:tcPr>
            <w:tcW w:w="900" w:type="dxa"/>
            <w:vAlign w:val="bottom"/>
            <w:shd w:val="clear" w:color="auto" w:fill="C00000"/>
          </w:tcPr>
          <w:p>
            <w:pPr>
              <w:jc w:val="center"/>
              <w:ind w:right="269"/>
              <w:spacing w:after="0"/>
              <w:rPr>
                <w:sz w:val="20"/>
                <w:szCs w:val="20"/>
                <w:color w:val="auto"/>
              </w:rPr>
            </w:pPr>
            <w:r>
              <w:rPr>
                <w:rFonts w:ascii="Arial" w:cs="Arial" w:eastAsia="Arial" w:hAnsi="Arial"/>
                <w:sz w:val="14"/>
                <w:szCs w:val="14"/>
                <w:b w:val="1"/>
                <w:bCs w:val="1"/>
                <w:color w:val="FFFFFF"/>
              </w:rPr>
              <w:t>Event</w:t>
            </w:r>
          </w:p>
        </w:tc>
        <w:tc>
          <w:tcPr>
            <w:tcW w:w="1200" w:type="dxa"/>
            <w:vAlign w:val="bottom"/>
            <w:gridSpan w:val="3"/>
            <w:shd w:val="clear" w:color="auto" w:fill="C00000"/>
          </w:tcPr>
          <w:p>
            <w:pPr>
              <w:jc w:val="center"/>
              <w:spacing w:after="0"/>
              <w:rPr>
                <w:sz w:val="20"/>
                <w:szCs w:val="20"/>
                <w:color w:val="auto"/>
              </w:rPr>
            </w:pPr>
            <w:r>
              <w:rPr>
                <w:rFonts w:ascii="Arial" w:cs="Arial" w:eastAsia="Arial" w:hAnsi="Arial"/>
                <w:sz w:val="14"/>
                <w:szCs w:val="14"/>
                <w:b w:val="1"/>
                <w:bCs w:val="1"/>
                <w:color w:val="FFFFFF"/>
              </w:rPr>
              <w:t>Good Reason</w:t>
            </w:r>
          </w:p>
        </w:tc>
      </w:tr>
      <w:tr>
        <w:trPr>
          <w:trHeight w:val="189"/>
        </w:trPr>
        <w:tc>
          <w:tcPr>
            <w:tcW w:w="47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Name/Payment Type</w:t>
            </w:r>
          </w:p>
        </w:tc>
        <w:tc>
          <w:tcPr>
            <w:tcW w:w="120" w:type="dxa"/>
            <w:vAlign w:val="bottom"/>
            <w:shd w:val="clear" w:color="auto" w:fill="C00000"/>
          </w:tcPr>
          <w:p>
            <w:pPr>
              <w:spacing w:after="0"/>
              <w:rPr>
                <w:sz w:val="16"/>
                <w:szCs w:val="16"/>
                <w:color w:val="auto"/>
              </w:rPr>
            </w:pPr>
          </w:p>
        </w:tc>
        <w:tc>
          <w:tcPr>
            <w:tcW w:w="180" w:type="dxa"/>
            <w:vAlign w:val="bottom"/>
            <w:shd w:val="clear" w:color="auto" w:fill="C00000"/>
          </w:tcPr>
          <w:p>
            <w:pPr>
              <w:spacing w:after="0"/>
              <w:rPr>
                <w:sz w:val="16"/>
                <w:szCs w:val="16"/>
                <w:color w:val="auto"/>
              </w:rPr>
            </w:pPr>
          </w:p>
        </w:tc>
        <w:tc>
          <w:tcPr>
            <w:tcW w:w="82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C00000"/>
          </w:tcPr>
          <w:p>
            <w:pPr>
              <w:spacing w:after="0"/>
              <w:rPr>
                <w:sz w:val="16"/>
                <w:szCs w:val="16"/>
                <w:color w:val="auto"/>
              </w:rPr>
            </w:pPr>
          </w:p>
        </w:tc>
        <w:tc>
          <w:tcPr>
            <w:tcW w:w="780" w:type="dxa"/>
            <w:vAlign w:val="bottom"/>
            <w:shd w:val="clear" w:color="auto" w:fill="C00000"/>
          </w:tcPr>
          <w:p>
            <w:pPr>
              <w:jc w:val="center"/>
              <w:ind w:right="210"/>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C00000"/>
          </w:tcPr>
          <w:p>
            <w:pPr>
              <w:spacing w:after="0"/>
              <w:rPr>
                <w:sz w:val="16"/>
                <w:szCs w:val="16"/>
                <w:color w:val="auto"/>
              </w:rPr>
            </w:pPr>
          </w:p>
        </w:tc>
        <w:tc>
          <w:tcPr>
            <w:tcW w:w="900" w:type="dxa"/>
            <w:vAlign w:val="bottom"/>
            <w:shd w:val="clear" w:color="auto" w:fill="C00000"/>
          </w:tcPr>
          <w:p>
            <w:pPr>
              <w:jc w:val="center"/>
              <w:ind w:right="289"/>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C00000"/>
          </w:tcPr>
          <w:p>
            <w:pPr>
              <w:spacing w:after="0"/>
              <w:rPr>
                <w:sz w:val="16"/>
                <w:szCs w:val="16"/>
                <w:color w:val="auto"/>
              </w:rPr>
            </w:pPr>
          </w:p>
        </w:tc>
        <w:tc>
          <w:tcPr>
            <w:tcW w:w="760" w:type="dxa"/>
            <w:vAlign w:val="bottom"/>
            <w:shd w:val="clear" w:color="auto" w:fill="C00000"/>
          </w:tcPr>
          <w:p>
            <w:pPr>
              <w:jc w:val="center"/>
              <w:ind w:right="190"/>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C00000"/>
          </w:tcPr>
          <w:p>
            <w:pPr>
              <w:spacing w:after="0"/>
              <w:rPr>
                <w:sz w:val="16"/>
                <w:szCs w:val="16"/>
                <w:color w:val="auto"/>
              </w:rPr>
            </w:pPr>
          </w:p>
        </w:tc>
      </w:tr>
      <w:tr>
        <w:trPr>
          <w:trHeight w:val="159"/>
        </w:trPr>
        <w:tc>
          <w:tcPr>
            <w:tcW w:w="4740" w:type="dxa"/>
            <w:vAlign w:val="bottom"/>
            <w:shd w:val="clear" w:color="auto" w:fill="D9D9D9"/>
          </w:tcPr>
          <w:p>
            <w:pPr>
              <w:spacing w:after="0" w:line="159" w:lineRule="exact"/>
              <w:rPr>
                <w:sz w:val="20"/>
                <w:szCs w:val="20"/>
                <w:color w:val="auto"/>
              </w:rPr>
            </w:pPr>
            <w:r>
              <w:rPr>
                <w:rFonts w:ascii="Arial" w:cs="Arial" w:eastAsia="Arial" w:hAnsi="Arial"/>
                <w:sz w:val="14"/>
                <w:szCs w:val="14"/>
                <w:color w:val="auto"/>
              </w:rPr>
              <w:t>William E. Brown, Jr.</w:t>
            </w:r>
          </w:p>
        </w:tc>
        <w:tc>
          <w:tcPr>
            <w:tcW w:w="12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r>
      <w:tr>
        <w:trPr>
          <w:trHeight w:val="162"/>
        </w:trPr>
        <w:tc>
          <w:tcPr>
            <w:tcW w:w="474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1,353,000</w:t>
            </w:r>
          </w:p>
        </w:tc>
        <w:tc>
          <w:tcPr>
            <w:tcW w:w="80" w:type="dxa"/>
            <w:vAlign w:val="bottom"/>
            <w:shd w:val="clear" w:color="auto" w:fill="D9D9D9"/>
          </w:tcPr>
          <w:p>
            <w:pPr>
              <w:spacing w:after="0"/>
              <w:rPr>
                <w:sz w:val="14"/>
                <w:szCs w:val="14"/>
                <w:color w:val="auto"/>
              </w:rPr>
            </w:pPr>
          </w:p>
        </w:tc>
      </w:tr>
      <w:tr>
        <w:trPr>
          <w:trHeight w:val="165"/>
        </w:trPr>
        <w:tc>
          <w:tcPr>
            <w:tcW w:w="4740" w:type="dxa"/>
            <w:vAlign w:val="bottom"/>
            <w:shd w:val="clear" w:color="auto" w:fill="D9D9D9"/>
          </w:tcPr>
          <w:p>
            <w:pPr>
              <w:ind w:left="160"/>
              <w:spacing w:after="0" w:line="164"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616,613</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616,613</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616,613</w:t>
            </w:r>
          </w:p>
        </w:tc>
        <w:tc>
          <w:tcPr>
            <w:tcW w:w="80" w:type="dxa"/>
            <w:vAlign w:val="bottom"/>
            <w:shd w:val="clear" w:color="auto" w:fill="D9D9D9"/>
          </w:tcPr>
          <w:p>
            <w:pPr>
              <w:spacing w:after="0"/>
              <w:rPr>
                <w:sz w:val="14"/>
                <w:szCs w:val="14"/>
                <w:color w:val="auto"/>
              </w:rPr>
            </w:pPr>
          </w:p>
        </w:tc>
      </w:tr>
      <w:tr>
        <w:trPr>
          <w:trHeight w:val="159"/>
        </w:trPr>
        <w:tc>
          <w:tcPr>
            <w:tcW w:w="4740" w:type="dxa"/>
            <w:vAlign w:val="bottom"/>
            <w:shd w:val="clear" w:color="auto" w:fill="D9D9D9"/>
          </w:tcPr>
          <w:p>
            <w:pPr>
              <w:ind w:left="160"/>
              <w:spacing w:after="0" w:line="159" w:lineRule="exact"/>
              <w:rPr>
                <w:sz w:val="20"/>
                <w:szCs w:val="20"/>
                <w:color w:val="auto"/>
              </w:rPr>
            </w:pPr>
            <w:r>
              <w:rPr>
                <w:rFonts w:ascii="Arial" w:cs="Arial" w:eastAsia="Arial" w:hAnsi="Arial"/>
                <w:sz w:val="14"/>
                <w:szCs w:val="14"/>
                <w:color w:val="auto"/>
              </w:rPr>
              <w:t>Unvested &amp; Accelerated</w:t>
            </w:r>
          </w:p>
        </w:tc>
        <w:tc>
          <w:tcPr>
            <w:tcW w:w="12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r>
      <w:tr>
        <w:trPr>
          <w:trHeight w:val="178"/>
        </w:trPr>
        <w:tc>
          <w:tcPr>
            <w:tcW w:w="4740" w:type="dxa"/>
            <w:vAlign w:val="bottom"/>
            <w:shd w:val="clear" w:color="auto" w:fill="D9D9D9"/>
          </w:tcPr>
          <w:p>
            <w:pPr>
              <w:ind w:left="160"/>
              <w:spacing w:after="0" w:line="179" w:lineRule="exact"/>
              <w:rPr>
                <w:sz w:val="20"/>
                <w:szCs w:val="20"/>
                <w:color w:val="auto"/>
              </w:rPr>
            </w:pPr>
            <w:r>
              <w:rPr>
                <w:rFonts w:ascii="Arial" w:cs="Arial" w:eastAsia="Arial" w:hAnsi="Arial"/>
                <w:sz w:val="12"/>
                <w:szCs w:val="12"/>
                <w:color w:val="auto"/>
              </w:rPr>
              <w:t>Restricted Stock Units</w:t>
            </w:r>
            <w:r>
              <w:rPr>
                <w:rFonts w:ascii="Arial" w:cs="Arial" w:eastAsia="Arial" w:hAnsi="Arial"/>
                <w:sz w:val="20"/>
                <w:szCs w:val="20"/>
                <w:color w:val="auto"/>
                <w:vertAlign w:val="superscript"/>
              </w:rPr>
              <w:t>(9)</w:t>
            </w:r>
          </w:p>
        </w:tc>
        <w:tc>
          <w:tcPr>
            <w:tcW w:w="120" w:type="dxa"/>
            <w:vAlign w:val="bottom"/>
            <w:shd w:val="clear" w:color="auto" w:fill="D9D9D9"/>
          </w:tcPr>
          <w:p>
            <w:pPr>
              <w:spacing w:after="0"/>
              <w:rPr>
                <w:sz w:val="15"/>
                <w:szCs w:val="15"/>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389,839</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389,839</w:t>
            </w:r>
          </w:p>
        </w:tc>
        <w:tc>
          <w:tcPr>
            <w:tcW w:w="80" w:type="dxa"/>
            <w:vAlign w:val="bottom"/>
            <w:shd w:val="clear" w:color="auto" w:fill="D9D9D9"/>
          </w:tcPr>
          <w:p>
            <w:pPr>
              <w:spacing w:after="0"/>
              <w:rPr>
                <w:sz w:val="15"/>
                <w:szCs w:val="15"/>
                <w:color w:val="auto"/>
              </w:rPr>
            </w:pPr>
          </w:p>
        </w:tc>
      </w:tr>
      <w:tr>
        <w:trPr>
          <w:trHeight w:val="167"/>
        </w:trPr>
        <w:tc>
          <w:tcPr>
            <w:tcW w:w="4740" w:type="dxa"/>
            <w:vAlign w:val="bottom"/>
            <w:shd w:val="clear" w:color="auto" w:fill="D9D9D9"/>
          </w:tcPr>
          <w:p>
            <w:pPr>
              <w:ind w:left="160"/>
              <w:spacing w:after="0"/>
              <w:rPr>
                <w:sz w:val="20"/>
                <w:szCs w:val="20"/>
                <w:color w:val="auto"/>
              </w:rPr>
            </w:pPr>
            <w:r>
              <w:rPr>
                <w:rFonts w:ascii="Arial" w:cs="Arial" w:eastAsia="Arial" w:hAnsi="Arial"/>
                <w:sz w:val="14"/>
                <w:szCs w:val="14"/>
                <w:color w:val="auto"/>
              </w:rPr>
              <w:t>Accelerated Performance</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8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76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r>
      <w:tr>
        <w:trPr>
          <w:trHeight w:val="168"/>
        </w:trPr>
        <w:tc>
          <w:tcPr>
            <w:tcW w:w="474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Share Award Payouts</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line="168" w:lineRule="exact"/>
              <w:rPr>
                <w:sz w:val="20"/>
                <w:szCs w:val="20"/>
                <w:color w:val="auto"/>
              </w:rPr>
            </w:pPr>
            <w:r>
              <w:rPr>
                <w:rFonts w:ascii="Arial" w:cs="Arial" w:eastAsia="Arial" w:hAnsi="Arial"/>
                <w:sz w:val="12"/>
                <w:szCs w:val="12"/>
                <w:color w:val="auto"/>
              </w:rPr>
              <w:t>390,988</w:t>
            </w:r>
            <w:r>
              <w:rPr>
                <w:rFonts w:ascii="Arial" w:cs="Arial" w:eastAsia="Arial" w:hAnsi="Arial"/>
                <w:sz w:val="19"/>
                <w:szCs w:val="19"/>
                <w:color w:val="auto"/>
                <w:vertAlign w:val="superscript"/>
              </w:rPr>
              <w:t>(4)</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line="168" w:lineRule="exact"/>
              <w:rPr>
                <w:sz w:val="20"/>
                <w:szCs w:val="20"/>
                <w:color w:val="auto"/>
              </w:rPr>
            </w:pPr>
            <w:r>
              <w:rPr>
                <w:rFonts w:ascii="Arial" w:cs="Arial" w:eastAsia="Arial" w:hAnsi="Arial"/>
                <w:sz w:val="12"/>
                <w:szCs w:val="12"/>
                <w:color w:val="auto"/>
              </w:rPr>
              <w:t>390,988</w:t>
            </w:r>
            <w:r>
              <w:rPr>
                <w:rFonts w:ascii="Arial" w:cs="Arial" w:eastAsia="Arial" w:hAnsi="Arial"/>
                <w:sz w:val="19"/>
                <w:szCs w:val="19"/>
                <w:color w:val="auto"/>
                <w:vertAlign w:val="superscript"/>
              </w:rPr>
              <w:t>(4)</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line="168" w:lineRule="exact"/>
              <w:rPr>
                <w:sz w:val="20"/>
                <w:szCs w:val="20"/>
                <w:color w:val="auto"/>
              </w:rPr>
            </w:pPr>
            <w:r>
              <w:rPr>
                <w:rFonts w:ascii="Arial" w:cs="Arial" w:eastAsia="Arial" w:hAnsi="Arial"/>
                <w:sz w:val="12"/>
                <w:szCs w:val="12"/>
                <w:color w:val="auto"/>
              </w:rPr>
              <w:t>670,320</w:t>
            </w:r>
            <w:r>
              <w:rPr>
                <w:rFonts w:ascii="Arial" w:cs="Arial" w:eastAsia="Arial" w:hAnsi="Arial"/>
                <w:sz w:val="19"/>
                <w:szCs w:val="19"/>
                <w:color w:val="auto"/>
                <w:vertAlign w:val="superscript"/>
              </w:rPr>
              <w:t>(5)</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D9D9D9"/>
          </w:tcPr>
          <w:p>
            <w:pPr>
              <w:jc w:val="right"/>
              <w:ind w:right="80"/>
              <w:spacing w:after="0" w:line="168" w:lineRule="exact"/>
              <w:rPr>
                <w:sz w:val="20"/>
                <w:szCs w:val="20"/>
                <w:color w:val="auto"/>
              </w:rPr>
            </w:pPr>
            <w:r>
              <w:rPr>
                <w:rFonts w:ascii="Arial" w:cs="Arial" w:eastAsia="Arial" w:hAnsi="Arial"/>
                <w:sz w:val="12"/>
                <w:szCs w:val="12"/>
                <w:color w:val="auto"/>
              </w:rPr>
              <w:t>670,320</w:t>
            </w:r>
            <w:r>
              <w:rPr>
                <w:rFonts w:ascii="Arial" w:cs="Arial" w:eastAsia="Arial" w:hAnsi="Arial"/>
                <w:sz w:val="19"/>
                <w:szCs w:val="19"/>
                <w:color w:val="auto"/>
                <w:vertAlign w:val="superscript"/>
              </w:rPr>
              <w:t>(5)</w:t>
            </w:r>
          </w:p>
        </w:tc>
      </w:tr>
      <w:tr>
        <w:trPr>
          <w:trHeight w:val="162"/>
        </w:trPr>
        <w:tc>
          <w:tcPr>
            <w:tcW w:w="474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55,368</w:t>
            </w:r>
          </w:p>
        </w:tc>
      </w:tr>
      <w:tr>
        <w:trPr>
          <w:trHeight w:val="162"/>
        </w:trPr>
        <w:tc>
          <w:tcPr>
            <w:tcW w:w="474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30,000</w:t>
            </w:r>
          </w:p>
        </w:tc>
      </w:tr>
      <w:tr>
        <w:trPr>
          <w:trHeight w:val="165"/>
        </w:trPr>
        <w:tc>
          <w:tcPr>
            <w:tcW w:w="4740" w:type="dxa"/>
            <w:vAlign w:val="bottom"/>
            <w:tcBorders>
              <w:bottom w:val="single" w:sz="8" w:color="D9D9D9"/>
            </w:tcBorders>
            <w:shd w:val="clear" w:color="auto" w:fill="D9D9D9"/>
          </w:tcPr>
          <w:p>
            <w:pPr>
              <w:ind w:left="160"/>
              <w:spacing w:after="0" w:line="164" w:lineRule="exact"/>
              <w:rPr>
                <w:sz w:val="20"/>
                <w:szCs w:val="20"/>
                <w:color w:val="auto"/>
              </w:rPr>
            </w:pPr>
            <w:r>
              <w:rPr>
                <w:rFonts w:ascii="Arial" w:cs="Arial" w:eastAsia="Arial" w:hAnsi="Arial"/>
                <w:sz w:val="12"/>
                <w:szCs w:val="12"/>
                <w:color w:val="auto"/>
              </w:rPr>
              <w:t>Perquisites</w:t>
            </w:r>
            <w:r>
              <w:rPr>
                <w:rFonts w:ascii="Arial" w:cs="Arial" w:eastAsia="Arial" w:hAnsi="Arial"/>
                <w:sz w:val="19"/>
                <w:szCs w:val="19"/>
                <w:color w:val="auto"/>
                <w:vertAlign w:val="superscript"/>
              </w:rPr>
              <w:t>(8)</w:t>
            </w:r>
          </w:p>
        </w:tc>
        <w:tc>
          <w:tcPr>
            <w:tcW w:w="12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9D9D9"/>
          </w:tcPr>
          <w:p>
            <w:pPr>
              <w:jc w:val="right"/>
              <w:ind w:right="9"/>
              <w:spacing w:after="0"/>
              <w:rPr>
                <w:sz w:val="20"/>
                <w:szCs w:val="20"/>
                <w:color w:val="auto"/>
              </w:rPr>
            </w:pPr>
            <w:r>
              <w:rPr>
                <w:rFonts w:ascii="Arial" w:cs="Arial" w:eastAsia="Arial" w:hAnsi="Arial"/>
                <w:sz w:val="14"/>
                <w:szCs w:val="14"/>
                <w:color w:val="auto"/>
              </w:rPr>
              <w:t>29,322</w:t>
            </w:r>
          </w:p>
        </w:tc>
        <w:tc>
          <w:tcPr>
            <w:tcW w:w="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Borders>
              <w:bottom w:val="single" w:sz="8" w:color="auto"/>
            </w:tcBorders>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9D9D9"/>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tcBorders>
              <w:bottom w:val="single" w:sz="8" w:color="auto"/>
            </w:tcBorders>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D9D9D9"/>
            </w:tcBorders>
            <w:shd w:val="clear" w:color="auto" w:fill="D9D9D9"/>
          </w:tcPr>
          <w:p>
            <w:pPr>
              <w:spacing w:after="0"/>
              <w:rPr>
                <w:sz w:val="14"/>
                <w:szCs w:val="14"/>
                <w:color w:val="auto"/>
              </w:rPr>
            </w:pPr>
          </w:p>
        </w:tc>
      </w:tr>
      <w:tr>
        <w:trPr>
          <w:trHeight w:val="169"/>
        </w:trPr>
        <w:tc>
          <w:tcPr>
            <w:tcW w:w="4740" w:type="dxa"/>
            <w:vAlign w:val="bottom"/>
            <w:shd w:val="clear" w:color="auto" w:fill="D9D9D9"/>
          </w:tcPr>
          <w:p>
            <w:pPr>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9"/>
              <w:spacing w:after="0"/>
              <w:rPr>
                <w:sz w:val="20"/>
                <w:szCs w:val="20"/>
                <w:color w:val="auto"/>
              </w:rPr>
            </w:pPr>
            <w:r>
              <w:rPr>
                <w:rFonts w:ascii="Arial" w:cs="Arial" w:eastAsia="Arial" w:hAnsi="Arial"/>
                <w:sz w:val="14"/>
                <w:szCs w:val="14"/>
                <w:color w:val="auto"/>
              </w:rPr>
              <w:t>420,310</w:t>
            </w:r>
          </w:p>
        </w:tc>
        <w:tc>
          <w:tcPr>
            <w:tcW w:w="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ind w:right="30"/>
              <w:spacing w:after="0"/>
              <w:rPr>
                <w:sz w:val="20"/>
                <w:szCs w:val="20"/>
                <w:color w:val="auto"/>
              </w:rPr>
            </w:pPr>
            <w:r>
              <w:rPr>
                <w:rFonts w:ascii="Arial" w:cs="Arial" w:eastAsia="Arial" w:hAnsi="Arial"/>
                <w:sz w:val="14"/>
                <w:szCs w:val="14"/>
                <w:color w:val="auto"/>
              </w:rPr>
              <w:t>1,007,601</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1,676,772</w:t>
            </w:r>
          </w:p>
        </w:tc>
        <w:tc>
          <w:tcPr>
            <w:tcW w:w="3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3,115,140</w:t>
            </w:r>
          </w:p>
        </w:tc>
        <w:tc>
          <w:tcPr>
            <w:tcW w:w="80" w:type="dxa"/>
            <w:vAlign w:val="bottom"/>
            <w:shd w:val="clear" w:color="auto" w:fill="D9D9D9"/>
          </w:tcPr>
          <w:p>
            <w:pPr>
              <w:spacing w:after="0"/>
              <w:rPr>
                <w:sz w:val="14"/>
                <w:szCs w:val="14"/>
                <w:color w:val="auto"/>
              </w:rPr>
            </w:pPr>
          </w:p>
        </w:tc>
      </w:tr>
      <w:tr>
        <w:trPr>
          <w:trHeight w:val="159"/>
        </w:trPr>
        <w:tc>
          <w:tcPr>
            <w:tcW w:w="4740" w:type="dxa"/>
            <w:vAlign w:val="bottom"/>
          </w:tcPr>
          <w:p>
            <w:pPr>
              <w:spacing w:after="0" w:line="159" w:lineRule="exact"/>
              <w:rPr>
                <w:sz w:val="20"/>
                <w:szCs w:val="20"/>
                <w:color w:val="auto"/>
              </w:rPr>
            </w:pPr>
            <w:r>
              <w:rPr>
                <w:rFonts w:ascii="Arial" w:cs="Arial" w:eastAsia="Arial" w:hAnsi="Arial"/>
                <w:sz w:val="14"/>
                <w:szCs w:val="14"/>
                <w:color w:val="auto"/>
              </w:rPr>
              <w:t>Timothy P. Dordell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40" w:type="dxa"/>
            <w:vAlign w:val="bottom"/>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1,271,000</w:t>
            </w:r>
          </w:p>
        </w:tc>
        <w:tc>
          <w:tcPr>
            <w:tcW w:w="80" w:type="dxa"/>
            <w:vAlign w:val="bottom"/>
          </w:tcPr>
          <w:p>
            <w:pPr>
              <w:spacing w:after="0"/>
              <w:rPr>
                <w:sz w:val="14"/>
                <w:szCs w:val="14"/>
                <w:color w:val="auto"/>
              </w:rPr>
            </w:pPr>
          </w:p>
        </w:tc>
      </w:tr>
      <w:tr>
        <w:trPr>
          <w:trHeight w:val="170"/>
        </w:trPr>
        <w:tc>
          <w:tcPr>
            <w:tcW w:w="4740" w:type="dxa"/>
            <w:vAlign w:val="bottom"/>
          </w:tcPr>
          <w:p>
            <w:pPr>
              <w:ind w:left="160"/>
              <w:spacing w:after="0" w:line="170"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618,945</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618,945</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618,945</w:t>
            </w:r>
          </w:p>
        </w:tc>
        <w:tc>
          <w:tcPr>
            <w:tcW w:w="80" w:type="dxa"/>
            <w:vAlign w:val="bottom"/>
          </w:tcPr>
          <w:p>
            <w:pPr>
              <w:spacing w:after="0"/>
              <w:rPr>
                <w:sz w:val="14"/>
                <w:szCs w:val="14"/>
                <w:color w:val="auto"/>
              </w:rPr>
            </w:pPr>
          </w:p>
        </w:tc>
      </w:tr>
      <w:tr>
        <w:trPr>
          <w:trHeight w:val="162"/>
        </w:trPr>
        <w:tc>
          <w:tcPr>
            <w:tcW w:w="4740" w:type="dxa"/>
            <w:vAlign w:val="bottom"/>
          </w:tcPr>
          <w:p>
            <w:pPr>
              <w:ind w:left="160"/>
              <w:spacing w:after="0"/>
              <w:rPr>
                <w:sz w:val="20"/>
                <w:szCs w:val="20"/>
                <w:color w:val="auto"/>
              </w:rPr>
            </w:pPr>
            <w:r>
              <w:rPr>
                <w:rFonts w:ascii="Arial" w:cs="Arial" w:eastAsia="Arial" w:hAnsi="Arial"/>
                <w:sz w:val="14"/>
                <w:szCs w:val="14"/>
                <w:color w:val="auto"/>
              </w:rPr>
              <w:t>Accelerated Performance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740" w:type="dxa"/>
            <w:vAlign w:val="bottom"/>
          </w:tcPr>
          <w:p>
            <w:pPr>
              <w:ind w:left="160"/>
              <w:spacing w:after="0"/>
              <w:rPr>
                <w:sz w:val="20"/>
                <w:szCs w:val="20"/>
                <w:color w:val="auto"/>
              </w:rPr>
            </w:pPr>
            <w:r>
              <w:rPr>
                <w:rFonts w:ascii="Arial" w:cs="Arial" w:eastAsia="Arial" w:hAnsi="Arial"/>
                <w:sz w:val="14"/>
                <w:szCs w:val="14"/>
                <w:color w:val="auto"/>
              </w:rPr>
              <w:t>Share Award Payouts</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line="168" w:lineRule="exact"/>
              <w:rPr>
                <w:sz w:val="20"/>
                <w:szCs w:val="20"/>
                <w:color w:val="auto"/>
              </w:rPr>
            </w:pPr>
            <w:r>
              <w:rPr>
                <w:rFonts w:ascii="Arial" w:cs="Arial" w:eastAsia="Arial" w:hAnsi="Arial"/>
                <w:sz w:val="12"/>
                <w:szCs w:val="12"/>
                <w:color w:val="auto"/>
              </w:rPr>
              <w:t>406,980</w:t>
            </w:r>
            <w:r>
              <w:rPr>
                <w:rFonts w:ascii="Arial" w:cs="Arial" w:eastAsia="Arial" w:hAnsi="Arial"/>
                <w:sz w:val="19"/>
                <w:szCs w:val="19"/>
                <w:color w:val="auto"/>
                <w:vertAlign w:val="superscript"/>
              </w:rPr>
              <w:t>(4)</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line="168" w:lineRule="exact"/>
              <w:rPr>
                <w:sz w:val="20"/>
                <w:szCs w:val="20"/>
                <w:color w:val="auto"/>
              </w:rPr>
            </w:pPr>
            <w:r>
              <w:rPr>
                <w:rFonts w:ascii="Arial" w:cs="Arial" w:eastAsia="Arial" w:hAnsi="Arial"/>
                <w:sz w:val="12"/>
                <w:szCs w:val="12"/>
                <w:color w:val="auto"/>
              </w:rPr>
              <w:t>679,896</w:t>
            </w:r>
            <w:r>
              <w:rPr>
                <w:rFonts w:ascii="Arial" w:cs="Arial" w:eastAsia="Arial" w:hAnsi="Arial"/>
                <w:sz w:val="19"/>
                <w:szCs w:val="19"/>
                <w:color w:val="auto"/>
                <w:vertAlign w:val="superscript"/>
              </w:rPr>
              <w:t>(5)</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68" w:lineRule="exact"/>
              <w:rPr>
                <w:sz w:val="20"/>
                <w:szCs w:val="20"/>
                <w:color w:val="auto"/>
              </w:rPr>
            </w:pPr>
            <w:r>
              <w:rPr>
                <w:rFonts w:ascii="Arial" w:cs="Arial" w:eastAsia="Arial" w:hAnsi="Arial"/>
                <w:sz w:val="12"/>
                <w:szCs w:val="12"/>
                <w:color w:val="auto"/>
              </w:rPr>
              <w:t>679,896</w:t>
            </w:r>
            <w:r>
              <w:rPr>
                <w:rFonts w:ascii="Arial" w:cs="Arial" w:eastAsia="Arial" w:hAnsi="Arial"/>
                <w:sz w:val="19"/>
                <w:szCs w:val="19"/>
                <w:color w:val="auto"/>
                <w:vertAlign w:val="superscript"/>
              </w:rPr>
              <w:t>(5)</w:t>
            </w:r>
          </w:p>
        </w:tc>
      </w:tr>
      <w:tr>
        <w:trPr>
          <w:trHeight w:val="162"/>
        </w:trPr>
        <w:tc>
          <w:tcPr>
            <w:tcW w:w="4740" w:type="dxa"/>
            <w:vAlign w:val="bottom"/>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35,427</w:t>
            </w:r>
          </w:p>
        </w:tc>
      </w:tr>
      <w:tr>
        <w:trPr>
          <w:trHeight w:val="165"/>
        </w:trPr>
        <w:tc>
          <w:tcPr>
            <w:tcW w:w="4740" w:type="dxa"/>
            <w:vAlign w:val="bottom"/>
          </w:tcPr>
          <w:p>
            <w:pPr>
              <w:ind w:left="160"/>
              <w:spacing w:after="0" w:line="16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19"/>
                <w:szCs w:val="19"/>
                <w:color w:val="auto"/>
                <w:vertAlign w:val="superscript"/>
              </w:rPr>
              <w:t>(7)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4"/>
                <w:szCs w:val="14"/>
                <w:color w:val="auto"/>
              </w:rPr>
            </w:pPr>
          </w:p>
        </w:tc>
      </w:tr>
      <w:tr>
        <w:trPr>
          <w:trHeight w:val="184"/>
        </w:trPr>
        <w:tc>
          <w:tcPr>
            <w:tcW w:w="474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1,025,925</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$ 0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1,298,841</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2,635,268</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-2658745</wp:posOffset>
            </wp:positionV>
            <wp:extent cx="15690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69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26073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3"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Hoffman and Mr. Brown are the only named executive officers who met the retirement criteria on October 31, 2016.</w:t>
      </w:r>
    </w:p>
    <w:p>
      <w:pPr>
        <w:spacing w:after="0" w:line="238" w:lineRule="exact"/>
        <w:rPr>
          <w:rFonts w:ascii="Arial" w:cs="Arial" w:eastAsia="Arial" w:hAnsi="Arial"/>
          <w:sz w:val="18"/>
          <w:szCs w:val="18"/>
          <w:color w:val="auto"/>
        </w:rPr>
      </w:pPr>
    </w:p>
    <w:p>
      <w:pPr>
        <w:ind w:left="460" w:right="200" w:hanging="452"/>
        <w:spacing w:after="0" w:line="23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Hoffman since he was CEO on October 31, 2016) the sum of the named executive officer’s (a) then current annual base salary (based on twelve times the highest monthly base salary paid to the named executive officer during the fiscal year ended October 31, 2016) and (b) then current target annual cash incentive award. Effective November 1, 2016, in connection with Mr. Olson’s promotion to CEO and Mr. Hoffman’s election as Chairman of the Board (i) the applicable multiplier used to determine the lump sum cash severance payment under the CIC policy is three times the sum of the then current annual base salary and target annual cash incentive award for Mr. Olson and (ii) under the applicable definition of “Executive” in the CIC policy, Mr. Hoffman is no longer covered under the CIC policy.</w:t>
      </w:r>
    </w:p>
    <w:p>
      <w:pPr>
        <w:spacing w:after="0" w:line="230" w:lineRule="exact"/>
        <w:rPr>
          <w:rFonts w:ascii="Arial" w:cs="Arial" w:eastAsia="Arial" w:hAnsi="Arial"/>
          <w:sz w:val="18"/>
          <w:szCs w:val="18"/>
          <w:color w:val="auto"/>
        </w:rPr>
      </w:pPr>
    </w:p>
    <w:p>
      <w:pPr>
        <w:ind w:left="460" w:right="160" w:hanging="452"/>
        <w:spacing w:after="0" w:line="23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31, 2016, and (b) the exercise price of the stock options. Because each of Mr. Hoffman and Mr. Brown meets the retirement criteria on October 31, 2016, any unvested stock options held would continue to vest for four additional years, but such extended vesting is not quantified in the above table, “Voluntary Resignation / Retirement” column.</w:t>
      </w:r>
    </w:p>
    <w:p>
      <w:pPr>
        <w:spacing w:after="0" w:line="229"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named executive officer’s fiscal 2015 to fiscal 2017 performance share awards (based on two years of the three-year performance period completed as of October 31, 2016) and one-third of the named executive officer’s fiscal 2016 to fiscal 2018 performance share awards (based on the completion of one year of the three-year performance period completed as of October 31, 2016), assuming that the Compensation &amp; Human Resources Committee approves the payout at financial plan levels of performance.</w:t>
      </w:r>
    </w:p>
    <w:p>
      <w:pPr>
        <w:spacing w:after="0" w:line="229" w:lineRule="exact"/>
        <w:rPr>
          <w:rFonts w:ascii="Arial" w:cs="Arial" w:eastAsia="Arial" w:hAnsi="Arial"/>
          <w:sz w:val="18"/>
          <w:szCs w:val="18"/>
          <w:color w:val="auto"/>
        </w:rPr>
      </w:pPr>
    </w:p>
    <w:p>
      <w:pPr>
        <w:ind w:left="460" w:right="60" w:hanging="452"/>
        <w:spacing w:after="0" w:line="257"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Amounts reported represents the value of the immediate payout of the target number of shares of our common stock that the named executive officer would have been entitled to receive as payout for performance share awards for each of the fiscal 2015 to fiscal 2017 performance period and the fiscal 2016 to fiscal 2018 performance period. The value is based on: (a) the number of outstanding performance share awards at target as of October 31, 2016, multiplied by (b) the market price of our common stock on October 31, 2016.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40" w:hanging="452"/>
        <w:spacing w:after="0" w:line="246"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2016.</w:t>
      </w:r>
    </w:p>
    <w:p>
      <w:pPr>
        <w:spacing w:after="0" w:line="223"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spacing w:after="0" w:line="21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ind w:left="46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238" w:lineRule="exact"/>
        <w:rPr>
          <w:rFonts w:ascii="Arial" w:cs="Arial" w:eastAsia="Arial" w:hAnsi="Arial"/>
          <w:sz w:val="18"/>
          <w:szCs w:val="18"/>
          <w:color w:val="auto"/>
        </w:rPr>
      </w:pPr>
    </w:p>
    <w:p>
      <w:pPr>
        <w:jc w:val="both"/>
        <w:ind w:left="460" w:right="1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as of October 31, 2016.</w:t>
      </w:r>
    </w:p>
    <w:p>
      <w:pPr>
        <w:spacing w:after="0" w:line="181"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2000 Plan and the related stock option agreements contain a “clawback” provision which provides that if,</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one year 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participant and granted under the 2000 Plan and demand the return of the economic value of any stock option which was realized or obtained by such participant during the period beginning on the date that is 12 months prior to the date of termination to the date of the last exercise.</w:t>
      </w:r>
    </w:p>
    <w:p>
      <w:pPr>
        <w:spacing w:after="0" w:line="201"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addition, under the Amended and Restated 2010 Plan and related award agreements, if a participant is determined by the Compensation &amp; Human Resources Committee to have taken any adverse action similar to those actions described above, all rights of such participant under the Amended and Restated 2010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must reimburse us for the amount of any award received by such individual under the Amended and Restated 2010 Plan during the 12 -month period following the first public issuance or filing with the SEC, as the case may be, of the financial document embodying such financial reporting requirement. These clawback provisions are in addition to any automatic clawback or forfeiture law, rule or regulation of which our named executive officers may be subject, including under the Sarbanes-Oxley Act of 2002 and the Dodd-Frank Act, as well as any policy that may be adopted by us.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p>
      <w:pPr>
        <w:jc w:val="both"/>
        <w:ind w:right="160" w:firstLine="456"/>
        <w:spacing w:after="0"/>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2016, the last day of fiscal 2016. Share amounts set forth in the table and footnotes below reflect the impact of our two-for-one stock split that was effective September 16,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shd w:val="clear" w:color="auto" w:fill="C00000"/>
          </w:tcPr>
          <w:p>
            <w:pPr>
              <w:spacing w:after="0"/>
              <w:rPr>
                <w:sz w:val="14"/>
                <w:szCs w:val="14"/>
                <w:color w:val="auto"/>
              </w:rPr>
            </w:pPr>
          </w:p>
        </w:tc>
        <w:tc>
          <w:tcPr>
            <w:tcW w:w="2320" w:type="dxa"/>
            <w:vAlign w:val="bottom"/>
            <w:shd w:val="clear" w:color="auto" w:fill="C00000"/>
          </w:tcPr>
          <w:p>
            <w:pPr>
              <w:spacing w:after="0"/>
              <w:rPr>
                <w:sz w:val="14"/>
                <w:szCs w:val="14"/>
                <w:color w:val="auto"/>
              </w:rPr>
            </w:pPr>
          </w:p>
        </w:tc>
        <w:tc>
          <w:tcPr>
            <w:tcW w:w="1680" w:type="dxa"/>
            <w:vAlign w:val="bottom"/>
            <w:shd w:val="clear" w:color="auto" w:fill="C00000"/>
          </w:tcPr>
          <w:p>
            <w:pPr>
              <w:spacing w:after="0"/>
              <w:rPr>
                <w:sz w:val="14"/>
                <w:szCs w:val="14"/>
                <w:color w:val="auto"/>
              </w:rPr>
            </w:pPr>
          </w:p>
        </w:tc>
        <w:tc>
          <w:tcPr>
            <w:tcW w:w="202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5400" w:type="dxa"/>
            <w:vAlign w:val="bottom"/>
            <w:shd w:val="clear" w:color="auto" w:fill="C00000"/>
          </w:tcPr>
          <w:p>
            <w:pPr>
              <w:spacing w:after="0"/>
              <w:rPr>
                <w:sz w:val="14"/>
                <w:szCs w:val="14"/>
                <w:color w:val="auto"/>
              </w:rPr>
            </w:pPr>
          </w:p>
        </w:tc>
        <w:tc>
          <w:tcPr>
            <w:tcW w:w="2320" w:type="dxa"/>
            <w:vAlign w:val="bottom"/>
            <w:shd w:val="clear" w:color="auto" w:fill="C00000"/>
          </w:tcPr>
          <w:p>
            <w:pPr>
              <w:jc w:val="center"/>
              <w:ind w:left="382"/>
              <w:spacing w:after="0"/>
              <w:rPr>
                <w:sz w:val="20"/>
                <w:szCs w:val="20"/>
                <w:color w:val="auto"/>
              </w:rPr>
            </w:pPr>
            <w:r>
              <w:rPr>
                <w:rFonts w:ascii="Arial" w:cs="Arial" w:eastAsia="Arial" w:hAnsi="Arial"/>
                <w:sz w:val="14"/>
                <w:szCs w:val="14"/>
                <w:b w:val="1"/>
                <w:bCs w:val="1"/>
                <w:color w:val="FFFFFF"/>
              </w:rPr>
              <w:t>Number of Securities to</w:t>
            </w:r>
          </w:p>
        </w:tc>
        <w:tc>
          <w:tcPr>
            <w:tcW w:w="1680" w:type="dxa"/>
            <w:vAlign w:val="bottom"/>
            <w:shd w:val="clear" w:color="auto" w:fill="C00000"/>
          </w:tcPr>
          <w:p>
            <w:pPr>
              <w:spacing w:after="0"/>
              <w:rPr>
                <w:sz w:val="14"/>
                <w:szCs w:val="14"/>
                <w:color w:val="auto"/>
              </w:rPr>
            </w:pPr>
          </w:p>
        </w:tc>
        <w:tc>
          <w:tcPr>
            <w:tcW w:w="202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5400" w:type="dxa"/>
            <w:vAlign w:val="bottom"/>
            <w:shd w:val="clear" w:color="auto" w:fill="C00000"/>
          </w:tcPr>
          <w:p>
            <w:pPr>
              <w:spacing w:after="0"/>
              <w:rPr>
                <w:sz w:val="14"/>
                <w:szCs w:val="14"/>
                <w:color w:val="auto"/>
              </w:rPr>
            </w:pPr>
          </w:p>
        </w:tc>
        <w:tc>
          <w:tcPr>
            <w:tcW w:w="2320" w:type="dxa"/>
            <w:vAlign w:val="bottom"/>
            <w:shd w:val="clear" w:color="auto" w:fill="C00000"/>
          </w:tcPr>
          <w:p>
            <w:pPr>
              <w:jc w:val="center"/>
              <w:ind w:left="402"/>
              <w:spacing w:after="0"/>
              <w:rPr>
                <w:sz w:val="20"/>
                <w:szCs w:val="20"/>
                <w:color w:val="auto"/>
              </w:rPr>
            </w:pPr>
            <w:r>
              <w:rPr>
                <w:rFonts w:ascii="Arial" w:cs="Arial" w:eastAsia="Arial" w:hAnsi="Arial"/>
                <w:sz w:val="14"/>
                <w:szCs w:val="14"/>
                <w:b w:val="1"/>
                <w:bCs w:val="1"/>
                <w:color w:val="FFFFFF"/>
              </w:rPr>
              <w:t>be Issued Upon</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020" w:type="dxa"/>
            <w:vAlign w:val="bottom"/>
            <w:shd w:val="clear" w:color="auto" w:fill="C00000"/>
          </w:tcPr>
          <w:p>
            <w:pPr>
              <w:jc w:val="center"/>
              <w:ind w:left="23"/>
              <w:spacing w:after="0"/>
              <w:rPr>
                <w:sz w:val="20"/>
                <w:szCs w:val="20"/>
                <w:color w:val="auto"/>
              </w:rPr>
            </w:pPr>
            <w:r>
              <w:rPr>
                <w:rFonts w:ascii="Arial" w:cs="Arial" w:eastAsia="Arial" w:hAnsi="Arial"/>
                <w:sz w:val="14"/>
                <w:szCs w:val="14"/>
                <w:b w:val="1"/>
                <w:bCs w:val="1"/>
                <w:color w:val="FFFFFF"/>
              </w:rPr>
              <w:t>Future Issuance Under</w:t>
            </w:r>
          </w:p>
        </w:tc>
      </w:tr>
      <w:tr>
        <w:trPr>
          <w:trHeight w:val="162"/>
        </w:trPr>
        <w:tc>
          <w:tcPr>
            <w:tcW w:w="5400" w:type="dxa"/>
            <w:vAlign w:val="bottom"/>
            <w:shd w:val="clear" w:color="auto" w:fill="C00000"/>
          </w:tcPr>
          <w:p>
            <w:pPr>
              <w:spacing w:after="0"/>
              <w:rPr>
                <w:sz w:val="14"/>
                <w:szCs w:val="14"/>
                <w:color w:val="auto"/>
              </w:rPr>
            </w:pPr>
          </w:p>
        </w:tc>
        <w:tc>
          <w:tcPr>
            <w:tcW w:w="2320" w:type="dxa"/>
            <w:vAlign w:val="bottom"/>
            <w:shd w:val="clear" w:color="auto" w:fill="C00000"/>
          </w:tcPr>
          <w:p>
            <w:pPr>
              <w:jc w:val="center"/>
              <w:ind w:left="402"/>
              <w:spacing w:after="0"/>
              <w:rPr>
                <w:sz w:val="20"/>
                <w:szCs w:val="20"/>
                <w:color w:val="auto"/>
              </w:rPr>
            </w:pPr>
            <w:r>
              <w:rPr>
                <w:rFonts w:ascii="Arial" w:cs="Arial" w:eastAsia="Arial" w:hAnsi="Arial"/>
                <w:sz w:val="14"/>
                <w:szCs w:val="14"/>
                <w:b w:val="1"/>
                <w:bCs w:val="1"/>
                <w:color w:val="FFFFFF"/>
              </w:rPr>
              <w:t>Exercise of</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02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Equity Compensation Plans</w:t>
            </w:r>
          </w:p>
        </w:tc>
      </w:tr>
      <w:tr>
        <w:trPr>
          <w:trHeight w:val="162"/>
        </w:trPr>
        <w:tc>
          <w:tcPr>
            <w:tcW w:w="5400" w:type="dxa"/>
            <w:vAlign w:val="bottom"/>
            <w:shd w:val="clear" w:color="auto" w:fill="C00000"/>
          </w:tcPr>
          <w:p>
            <w:pPr>
              <w:spacing w:after="0"/>
              <w:rPr>
                <w:sz w:val="14"/>
                <w:szCs w:val="14"/>
                <w:color w:val="auto"/>
              </w:rPr>
            </w:pPr>
          </w:p>
        </w:tc>
        <w:tc>
          <w:tcPr>
            <w:tcW w:w="2320" w:type="dxa"/>
            <w:vAlign w:val="bottom"/>
            <w:shd w:val="clear" w:color="auto" w:fill="C00000"/>
          </w:tcPr>
          <w:p>
            <w:pPr>
              <w:jc w:val="center"/>
              <w:ind w:left="402"/>
              <w:spacing w:after="0"/>
              <w:rPr>
                <w:sz w:val="20"/>
                <w:szCs w:val="20"/>
                <w:color w:val="auto"/>
              </w:rPr>
            </w:pPr>
            <w:r>
              <w:rPr>
                <w:rFonts w:ascii="Arial" w:cs="Arial" w:eastAsia="Arial" w:hAnsi="Arial"/>
                <w:sz w:val="14"/>
                <w:szCs w:val="14"/>
                <w:b w:val="1"/>
                <w:bCs w:val="1"/>
                <w:color w:val="FFFFFF"/>
              </w:rPr>
              <w:t>Outstanding Options,</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(excluding securities</w:t>
            </w:r>
          </w:p>
        </w:tc>
      </w:tr>
      <w:tr>
        <w:trPr>
          <w:trHeight w:val="162"/>
        </w:trPr>
        <w:tc>
          <w:tcPr>
            <w:tcW w:w="5400" w:type="dxa"/>
            <w:vAlign w:val="bottom"/>
            <w:shd w:val="clear" w:color="auto" w:fill="C00000"/>
          </w:tcPr>
          <w:p>
            <w:pPr>
              <w:spacing w:after="0"/>
              <w:rPr>
                <w:sz w:val="14"/>
                <w:szCs w:val="14"/>
                <w:color w:val="auto"/>
              </w:rPr>
            </w:pPr>
          </w:p>
        </w:tc>
        <w:tc>
          <w:tcPr>
            <w:tcW w:w="2320" w:type="dxa"/>
            <w:vAlign w:val="bottom"/>
            <w:shd w:val="clear" w:color="auto" w:fill="C00000"/>
          </w:tcPr>
          <w:p>
            <w:pPr>
              <w:jc w:val="center"/>
              <w:ind w:left="402"/>
              <w:spacing w:after="0"/>
              <w:rPr>
                <w:sz w:val="20"/>
                <w:szCs w:val="20"/>
                <w:color w:val="auto"/>
              </w:rPr>
            </w:pPr>
            <w:r>
              <w:rPr>
                <w:rFonts w:ascii="Arial" w:cs="Arial" w:eastAsia="Arial" w:hAnsi="Arial"/>
                <w:sz w:val="14"/>
                <w:szCs w:val="14"/>
                <w:b w:val="1"/>
                <w:bCs w:val="1"/>
                <w:color w:val="FFFFFF"/>
              </w:rPr>
              <w:t>Warrants and Rights</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reflected in column (a))</w:t>
            </w:r>
          </w:p>
        </w:tc>
      </w:tr>
      <w:tr>
        <w:trPr>
          <w:trHeight w:val="189"/>
        </w:trPr>
        <w:tc>
          <w:tcPr>
            <w:tcW w:w="540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Plan Category</w:t>
            </w:r>
          </w:p>
        </w:tc>
        <w:tc>
          <w:tcPr>
            <w:tcW w:w="2320" w:type="dxa"/>
            <w:vAlign w:val="bottom"/>
            <w:shd w:val="clear" w:color="auto" w:fill="C00000"/>
          </w:tcPr>
          <w:p>
            <w:pPr>
              <w:jc w:val="center"/>
              <w:ind w:left="382"/>
              <w:spacing w:after="0"/>
              <w:rPr>
                <w:sz w:val="20"/>
                <w:szCs w:val="20"/>
                <w:color w:val="auto"/>
              </w:rPr>
            </w:pPr>
            <w:r>
              <w:rPr>
                <w:rFonts w:ascii="Arial" w:cs="Arial" w:eastAsia="Arial" w:hAnsi="Arial"/>
                <w:sz w:val="14"/>
                <w:szCs w:val="14"/>
                <w:b w:val="1"/>
                <w:bCs w:val="1"/>
                <w:color w:val="FFFFFF"/>
              </w:rPr>
              <w:t>(a)</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w:t>
            </w:r>
          </w:p>
        </w:tc>
        <w:tc>
          <w:tcPr>
            <w:tcW w:w="202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(c)</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2320" w:type="dxa"/>
            <w:vAlign w:val="bottom"/>
          </w:tcPr>
          <w:p>
            <w:pPr>
              <w:jc w:val="center"/>
              <w:ind w:left="382"/>
              <w:spacing w:after="0" w:line="202" w:lineRule="exact"/>
              <w:rPr>
                <w:sz w:val="20"/>
                <w:szCs w:val="20"/>
                <w:color w:val="auto"/>
              </w:rPr>
            </w:pPr>
            <w:r>
              <w:rPr>
                <w:rFonts w:ascii="Arial" w:cs="Arial" w:eastAsia="Arial" w:hAnsi="Arial"/>
                <w:sz w:val="18"/>
                <w:szCs w:val="18"/>
                <w:color w:val="auto"/>
                <w:w w:val="99"/>
              </w:rPr>
              <w:t>5,794,645</w:t>
            </w:r>
            <w:r>
              <w:rPr>
                <w:rFonts w:ascii="Arial" w:cs="Arial" w:eastAsia="Arial" w:hAnsi="Arial"/>
                <w:sz w:val="15"/>
                <w:szCs w:val="15"/>
                <w:color w:val="auto"/>
                <w:w w:val="99"/>
              </w:rPr>
              <w:t>(1)</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$20.07</w:t>
            </w:r>
            <w:r>
              <w:rPr>
                <w:rFonts w:ascii="Arial" w:cs="Arial" w:eastAsia="Arial" w:hAnsi="Arial"/>
                <w:sz w:val="15"/>
                <w:szCs w:val="15"/>
                <w:color w:val="auto"/>
              </w:rPr>
              <w:t>(2)</w:t>
            </w:r>
          </w:p>
        </w:tc>
        <w:tc>
          <w:tcPr>
            <w:tcW w:w="2020" w:type="dxa"/>
            <w:vAlign w:val="bottom"/>
          </w:tcPr>
          <w:p>
            <w:pPr>
              <w:jc w:val="center"/>
              <w:ind w:left="43"/>
              <w:spacing w:after="0" w:line="202" w:lineRule="exact"/>
              <w:rPr>
                <w:sz w:val="20"/>
                <w:szCs w:val="20"/>
                <w:color w:val="auto"/>
              </w:rPr>
            </w:pPr>
            <w:r>
              <w:rPr>
                <w:rFonts w:ascii="Arial" w:cs="Arial" w:eastAsia="Arial" w:hAnsi="Arial"/>
                <w:sz w:val="18"/>
                <w:szCs w:val="18"/>
                <w:color w:val="auto"/>
                <w:w w:val="99"/>
              </w:rPr>
              <w:t>6,158,207</w:t>
            </w:r>
            <w:r>
              <w:rPr>
                <w:rFonts w:ascii="Arial" w:cs="Arial" w:eastAsia="Arial" w:hAnsi="Arial"/>
                <w:sz w:val="15"/>
                <w:szCs w:val="15"/>
                <w:color w:val="auto"/>
                <w:w w:val="99"/>
              </w:rPr>
              <w:t>(3)</w:t>
            </w:r>
          </w:p>
        </w:tc>
      </w:tr>
      <w:tr>
        <w:trPr>
          <w:trHeight w:val="203"/>
        </w:trPr>
        <w:tc>
          <w:tcPr>
            <w:tcW w:w="54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2320" w:type="dxa"/>
            <w:vAlign w:val="bottom"/>
            <w:shd w:val="clear" w:color="auto" w:fill="D9D9D9"/>
          </w:tcPr>
          <w:p>
            <w:pPr>
              <w:jc w:val="center"/>
              <w:ind w:left="382"/>
              <w:spacing w:after="0" w:line="202" w:lineRule="exact"/>
              <w:rPr>
                <w:sz w:val="20"/>
                <w:szCs w:val="20"/>
                <w:color w:val="auto"/>
              </w:rPr>
            </w:pPr>
            <w:r>
              <w:rPr>
                <w:rFonts w:ascii="Arial" w:cs="Arial" w:eastAsia="Arial" w:hAnsi="Arial"/>
                <w:sz w:val="18"/>
                <w:szCs w:val="18"/>
                <w:color w:val="auto"/>
                <w:w w:val="99"/>
              </w:rPr>
              <w:t>N/A</w:t>
            </w:r>
          </w:p>
        </w:tc>
        <w:tc>
          <w:tcPr>
            <w:tcW w:w="1680" w:type="dxa"/>
            <w:vAlign w:val="bottom"/>
            <w:shd w:val="clear" w:color="auto" w:fill="D9D9D9"/>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020" w:type="dxa"/>
            <w:vAlign w:val="bottom"/>
            <w:shd w:val="clear" w:color="auto" w:fill="D9D9D9"/>
          </w:tcPr>
          <w:p>
            <w:pPr>
              <w:jc w:val="center"/>
              <w:ind w:left="43"/>
              <w:spacing w:after="0" w:line="202" w:lineRule="exact"/>
              <w:rPr>
                <w:sz w:val="20"/>
                <w:szCs w:val="20"/>
                <w:color w:val="auto"/>
              </w:rPr>
            </w:pPr>
            <w:r>
              <w:rPr>
                <w:rFonts w:ascii="Arial" w:cs="Arial" w:eastAsia="Arial" w:hAnsi="Arial"/>
                <w:sz w:val="18"/>
                <w:szCs w:val="18"/>
                <w:color w:val="auto"/>
                <w:w w:val="99"/>
              </w:rPr>
              <w:t>N/A</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2320" w:type="dxa"/>
            <w:vAlign w:val="bottom"/>
          </w:tcPr>
          <w:p>
            <w:pPr>
              <w:jc w:val="center"/>
              <w:ind w:left="382"/>
              <w:spacing w:after="0"/>
              <w:rPr>
                <w:sz w:val="20"/>
                <w:szCs w:val="20"/>
                <w:color w:val="auto"/>
              </w:rPr>
            </w:pPr>
            <w:r>
              <w:rPr>
                <w:rFonts w:ascii="Arial" w:cs="Arial" w:eastAsia="Arial" w:hAnsi="Arial"/>
                <w:sz w:val="18"/>
                <w:szCs w:val="18"/>
                <w:color w:val="auto"/>
                <w:w w:val="99"/>
              </w:rPr>
              <w:t>5,794,645</w:t>
            </w:r>
            <w:r>
              <w:rPr>
                <w:rFonts w:ascii="Arial" w:cs="Arial" w:eastAsia="Arial" w:hAnsi="Arial"/>
                <w:sz w:val="15"/>
                <w:szCs w:val="15"/>
                <w:color w:val="auto"/>
                <w:w w:val="99"/>
              </w:rPr>
              <w:t>(1)</w:t>
            </w:r>
          </w:p>
        </w:tc>
        <w:tc>
          <w:tcPr>
            <w:tcW w:w="1680" w:type="dxa"/>
            <w:vAlign w:val="bottom"/>
          </w:tcPr>
          <w:p>
            <w:pPr>
              <w:jc w:val="center"/>
              <w:spacing w:after="0"/>
              <w:rPr>
                <w:sz w:val="20"/>
                <w:szCs w:val="20"/>
                <w:color w:val="auto"/>
              </w:rPr>
            </w:pPr>
            <w:r>
              <w:rPr>
                <w:rFonts w:ascii="Arial" w:cs="Arial" w:eastAsia="Arial" w:hAnsi="Arial"/>
                <w:sz w:val="18"/>
                <w:szCs w:val="18"/>
                <w:color w:val="auto"/>
              </w:rPr>
              <w:t>$20.07</w:t>
            </w:r>
            <w:r>
              <w:rPr>
                <w:rFonts w:ascii="Arial" w:cs="Arial" w:eastAsia="Arial" w:hAnsi="Arial"/>
                <w:sz w:val="15"/>
                <w:szCs w:val="15"/>
                <w:color w:val="auto"/>
              </w:rPr>
              <w:t>(2)</w:t>
            </w:r>
          </w:p>
        </w:tc>
        <w:tc>
          <w:tcPr>
            <w:tcW w:w="2020" w:type="dxa"/>
            <w:vAlign w:val="bottom"/>
          </w:tcPr>
          <w:p>
            <w:pPr>
              <w:jc w:val="center"/>
              <w:ind w:left="43"/>
              <w:spacing w:after="0"/>
              <w:rPr>
                <w:sz w:val="20"/>
                <w:szCs w:val="20"/>
                <w:color w:val="auto"/>
              </w:rPr>
            </w:pPr>
            <w:r>
              <w:rPr>
                <w:rFonts w:ascii="Arial" w:cs="Arial" w:eastAsia="Arial" w:hAnsi="Arial"/>
                <w:sz w:val="18"/>
                <w:szCs w:val="18"/>
                <w:color w:val="auto"/>
                <w:w w:val="99"/>
              </w:rPr>
              <w:t>6,158,207</w:t>
            </w:r>
            <w:r>
              <w:rPr>
                <w:rFonts w:ascii="Arial" w:cs="Arial" w:eastAsia="Arial" w:hAnsi="Arial"/>
                <w:sz w:val="15"/>
                <w:szCs w:val="15"/>
                <w:color w:val="auto"/>
                <w:w w:val="9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6073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4" w:lineRule="exact"/>
        <w:rPr>
          <w:sz w:val="20"/>
          <w:szCs w:val="20"/>
          <w:color w:val="auto"/>
        </w:rPr>
      </w:pPr>
    </w:p>
    <w:p>
      <w:pPr>
        <w:ind w:left="460" w:right="120" w:hanging="452"/>
        <w:spacing w:after="0" w:line="23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 includes: 1,207,918 outstanding stock options under the 2000 Plan; 163,264 outstanding stock options under the 2000 Directors Stock Plan; 3,508,802 outstanding stock options under the Amended and Restated 2010 Plan; 278,961 outstanding restricted stock unit awards under the Amended and Restated 2010 Plan, including share dividend equivalents that have been issued on such outstanding restricted stock units; and 635,700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232" w:lineRule="exact"/>
        <w:rPr>
          <w:rFonts w:ascii="Arial" w:cs="Arial" w:eastAsia="Arial" w:hAnsi="Arial"/>
          <w:sz w:val="18"/>
          <w:szCs w:val="18"/>
          <w:color w:val="auto"/>
        </w:rPr>
      </w:pPr>
    </w:p>
    <w:p>
      <w:pPr>
        <w:ind w:left="460" w:right="100" w:hanging="452"/>
        <w:spacing w:after="0" w:line="24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spacing w:after="0" w:line="223" w:lineRule="exact"/>
        <w:rPr>
          <w:rFonts w:ascii="Arial" w:cs="Arial" w:eastAsia="Arial" w:hAnsi="Arial"/>
          <w:sz w:val="18"/>
          <w:szCs w:val="18"/>
          <w:color w:val="auto"/>
        </w:rPr>
      </w:pPr>
    </w:p>
    <w:p>
      <w:pPr>
        <w:ind w:left="460" w:right="40" w:hanging="452"/>
        <w:spacing w:after="0" w:line="23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Amended and Restated 2010 Plan, which includes: 11,000,000 shares approved by our shareholders at the Annual Meeting of Shareholders held on March 16, 2010; 600,000 shares approved by our shareholders at the Annual Meeting of Shareholders held on March 17, 2015; and 796,486 shares that were subject to outstanding awards under the 2000 Plan, The Toro Company Performance Share Plan and the 2000 Directors Stock Plan (collectively, the “Prior Plans”) as of March 16, 2010, the date of adoption of the 2010 Plan, but only to the extent such outstanding awards under the Prior Plans were forfeited, expired or otherwise terminated without the issuance of such shares (the “Carryover Shares”) consisting of (a) 52,632 shares that were previously subject to awards under the 2000 Plan plus (b) 738,818 shares that were previously subject to awards under The Toro Company Performance Share Plan plus (c) 5,036 shares that were previously subject to awards under the 2000 Directors Stock Plan, less any shares issued or surrendered and not again available for issuance under the Amended and Restated 2010 Plan. The Carryover Shares may now be issued under the Amended and Restated 2010 Plan.</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FFFF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Shareholder Proposals and Director Nominations for the 2018 Annual Meeting</w:t>
      </w:r>
    </w:p>
    <w:p>
      <w:pPr>
        <w:spacing w:after="0" w:line="234"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The 2018 Annual Meeting of Shareholders is expected to be held on March 20, 2018. In order for a shareholder proposal to be included in our proxy statement for the 2018 Annual Meeting, (i) our Vice President, Secretary and General Counsel must receive such proposal no later than the close of business on October 10, 2017, unless the date of the 2018 Annual Meeting is delayed by more than 30 calendar days; and</w:t>
      </w:r>
    </w:p>
    <w:p>
      <w:pPr>
        <w:spacing w:after="0" w:line="2" w:lineRule="exact"/>
        <w:rPr>
          <w:sz w:val="20"/>
          <w:szCs w:val="20"/>
          <w:color w:val="auto"/>
        </w:rPr>
      </w:pPr>
    </w:p>
    <w:p>
      <w:pPr>
        <w:ind w:right="140" w:firstLine="8"/>
        <w:spacing w:after="0" w:line="246" w:lineRule="auto"/>
        <w:tabs>
          <w:tab w:leader="none" w:pos="2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proposal must satisfy all of the requirements of, and not otherwise be permitted to be excluded under, Rule 14a-8 promulgated by the SEC and our Amended and Restated Bylaws.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Under our Amended and Restated Bylaws, in order for a shareholder to nominate one or more persons for election to the Board at the 2018 Annual Meeting of Shareholders or propose any other business to be brought before the 2018 Annual Meeting, complete and timely notice must be given in writing and in proper form to our Vice President, Secretary and General Counsel not later than December 21, 2017, nor earlier than November 21, 2017. However, if the date of the 2018 Annual Meeting is advanced by more than 30 days or delayed by more than 60 days from the first anniversary date of the 2017 Annual Meeting of Shareholders, such notice must be delivered not earlier than the 120th day prior to the date of the rescheduled 2018 Annual Meeting and not later than the close of business on the later of the 90th day prior to the date of the rescheduled 2018 Annual Meeting or the 10th day following the day on which we first make a public announcement of the date of the rescheduled 2018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2018 Annual Meeting and as of the date that is 10 business days prior to the date of the 2018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2018 Annual Meeting. If a nomination or proposal is nonetheless brought before the 2018 Annual Meeting and the Chairman does not exercise the power and duty to declare the nomination or proposal defective, the persons named in the proxy may use their discretionary voting with respect to such nomination or proposal.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Householding of Annual Meeting Materials</w:t>
      </w:r>
    </w:p>
    <w:p>
      <w:pPr>
        <w:spacing w:after="0" w:line="23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Annual Report</w:t>
      </w:r>
    </w:p>
    <w:p>
      <w:pPr>
        <w:spacing w:after="0" w:line="212" w:lineRule="exact"/>
        <w:rPr>
          <w:sz w:val="20"/>
          <w:szCs w:val="20"/>
          <w:color w:val="auto"/>
        </w:rPr>
      </w:pPr>
    </w:p>
    <w:p>
      <w:pPr>
        <w:ind w:right="60" w:firstLine="456"/>
        <w:spacing w:after="0" w:line="242" w:lineRule="auto"/>
        <w:rPr>
          <w:sz w:val="20"/>
          <w:szCs w:val="20"/>
          <w:color w:val="auto"/>
        </w:rPr>
      </w:pPr>
      <w:r>
        <w:rPr>
          <w:rFonts w:ascii="Arial" w:cs="Arial" w:eastAsia="Arial" w:hAnsi="Arial"/>
          <w:sz w:val="18"/>
          <w:szCs w:val="18"/>
          <w:b w:val="1"/>
          <w:bCs w:val="1"/>
          <w:color w:val="auto"/>
        </w:rPr>
        <w:t>A copy of Toro’s Annual Report on Form 10-K for the fiscal year ended October 31, 2016,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2016 Annual Report, which contains information about our business but is not part of our disclosure deemed to be filed with the SEC, also is available on our website at www.thetorocompany.com/proxy.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Cost and Method of Solicitation</w:t>
      </w:r>
    </w:p>
    <w:p>
      <w:pPr>
        <w:spacing w:after="0" w:line="234" w:lineRule="exact"/>
        <w:rPr>
          <w:sz w:val="20"/>
          <w:szCs w:val="20"/>
          <w:color w:val="auto"/>
        </w:rPr>
      </w:pPr>
    </w:p>
    <w:p>
      <w:pPr>
        <w:ind w:firstLine="456"/>
        <w:spacing w:after="0" w:line="255" w:lineRule="auto"/>
        <w:rPr>
          <w:sz w:val="20"/>
          <w:szCs w:val="20"/>
          <w:color w:val="auto"/>
        </w:rPr>
      </w:pPr>
      <w:r>
        <w:rPr>
          <w:rFonts w:ascii="Arial" w:cs="Arial" w:eastAsia="Arial" w:hAnsi="Arial"/>
          <w:sz w:val="17"/>
          <w:szCs w:val="17"/>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 -employee directors, executive officers and other employees will not receive compensation for such services other than regular non-employee director or employee compensation. We have retained Morrow Sodali LLC, 470 West Avenue,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Stamford, Connecticut, 06902, for an estimated fee of $8,000, plus out of pocket expenses, to assist in distributing proxy materials and soliciting proxies in connection with our 2017 Annual Meeting of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2017</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74930</wp:posOffset>
            </wp:positionV>
            <wp:extent cx="1543685" cy="4032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6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180"/>
        <w:spacing w:after="0"/>
        <w:rPr>
          <w:sz w:val="20"/>
          <w:szCs w:val="20"/>
          <w:color w:val="auto"/>
        </w:rPr>
      </w:pPr>
      <w:r>
        <w:rPr>
          <w:rFonts w:ascii="Arial" w:cs="Arial" w:eastAsia="Arial" w:hAnsi="Arial"/>
          <w:sz w:val="18"/>
          <w:szCs w:val="18"/>
          <w:color w:val="C00000"/>
        </w:rPr>
        <w:t>TIMOTHY P. DORDELL</w:t>
      </w:r>
    </w:p>
    <w:p>
      <w:pPr>
        <w:spacing w:after="0" w:line="5"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Vice President, Secretary</w:t>
      </w:r>
    </w:p>
    <w:p>
      <w:pPr>
        <w:jc w:val="center"/>
        <w:ind w:left="4820"/>
        <w:spacing w:after="0"/>
        <w:rPr>
          <w:sz w:val="20"/>
          <w:szCs w:val="20"/>
          <w:color w:val="auto"/>
        </w:rPr>
      </w:pPr>
      <w:r>
        <w:rPr>
          <w:rFonts w:ascii="Arial" w:cs="Arial" w:eastAsia="Arial" w:hAnsi="Arial"/>
          <w:sz w:val="18"/>
          <w:szCs w:val="18"/>
          <w:color w:val="auto"/>
        </w:rPr>
        <w:t>and General Counsel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00"/>
          </w:cols>
          <w:pgMar w:left="240" w:top="459" w:right="9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694690" cy="4546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4690" cy="454660"/>
                    </a:xfrm>
                    <a:prstGeom prst="rect">
                      <a:avLst/>
                    </a:prstGeom>
                    <a:noFill/>
                  </pic:spPr>
                </pic:pic>
              </a:graphicData>
            </a:graphic>
          </wp:anchor>
        </w:drawing>
      </w:r>
    </w:p>
    <w:p>
      <w:pPr>
        <w:spacing w:after="0" w:line="216" w:lineRule="auto"/>
        <w:rPr>
          <w:sz w:val="20"/>
          <w:szCs w:val="20"/>
          <w:color w:val="auto"/>
        </w:rPr>
      </w:pPr>
      <w:r>
        <w:rPr>
          <w:rFonts w:ascii="Arial" w:cs="Arial" w:eastAsia="Arial" w:hAnsi="Arial"/>
          <w:sz w:val="13"/>
          <w:szCs w:val="13"/>
          <w:b w:val="1"/>
          <w:bCs w:val="1"/>
          <w:i w:val="1"/>
          <w:iCs w:val="1"/>
          <w:color w:val="auto"/>
        </w:rPr>
        <w:t>8111 LYNDALE AVENUE SOUTH</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BLOOMINGTON, MN 55420-1196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Use the Internet to transmit your voting instructions up until 11:59 P.M. Eastern Time on March 20, 2017. Have your proxy card in hand when you access the web site and follow the instructions to obtain your records and to create an electronic voting instruction form.</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15"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If you would like to reduce the costs incurred by The Toro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5"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March 20, 2017. Have your proxy card in hand when you call and then follow the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5"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3"/>
          <w:szCs w:val="13"/>
          <w:color w:val="auto"/>
        </w:rPr>
        <w:t>E16933-P85055-Z69113</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center"/>
        <w:spacing w:after="0" w:line="228" w:lineRule="auto"/>
        <w:rPr>
          <w:sz w:val="20"/>
          <w:szCs w:val="20"/>
          <w:color w:val="auto"/>
        </w:rPr>
      </w:pPr>
      <w:r>
        <w:rPr>
          <w:rFonts w:ascii="Arial" w:cs="Arial" w:eastAsia="Arial" w:hAnsi="Arial"/>
          <w:sz w:val="18"/>
          <w:szCs w:val="18"/>
          <w:color w:val="auto"/>
        </w:rPr>
        <w:t>—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7263765" cy="41421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41421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THE TORO COMPANY</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The Board of Directors recommends you vote</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FOR the following:</w:t>
      </w:r>
    </w:p>
    <w:p>
      <w:pPr>
        <w:spacing w:after="0" w:line="76" w:lineRule="exact"/>
        <w:rPr>
          <w:sz w:val="20"/>
          <w:szCs w:val="20"/>
          <w:color w:val="auto"/>
        </w:rPr>
      </w:pPr>
    </w:p>
    <w:p>
      <w:pPr>
        <w:ind w:left="840" w:hanging="413"/>
        <w:spacing w:after="0"/>
        <w:tabs>
          <w:tab w:leader="none" w:pos="8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Election of Directors</w:t>
      </w:r>
    </w:p>
    <w:p>
      <w:pPr>
        <w:spacing w:after="0" w:line="91"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1"/>
          <w:szCs w:val="11"/>
          <w:b w:val="1"/>
          <w:bCs w:val="1"/>
          <w:color w:val="auto"/>
        </w:rPr>
        <w:t>Nominees:</w:t>
      </w:r>
    </w:p>
    <w:p>
      <w:pPr>
        <w:spacing w:after="0" w:line="102" w:lineRule="exact"/>
        <w:rPr>
          <w:sz w:val="20"/>
          <w:szCs w:val="20"/>
          <w:color w:val="auto"/>
        </w:rPr>
      </w:pPr>
    </w:p>
    <w:p>
      <w:pPr>
        <w:ind w:left="1260" w:hanging="428"/>
        <w:spacing w:after="0"/>
        <w:tabs>
          <w:tab w:leader="none" w:pos="1260" w:val="left"/>
        </w:tabs>
        <w:numPr>
          <w:ilvl w:val="0"/>
          <w:numId w:val="75"/>
        </w:numPr>
        <w:rPr>
          <w:rFonts w:ascii="Arial" w:cs="Arial" w:eastAsia="Arial" w:hAnsi="Arial"/>
          <w:sz w:val="11"/>
          <w:szCs w:val="11"/>
          <w:color w:val="auto"/>
        </w:rPr>
      </w:pPr>
      <w:r>
        <w:rPr>
          <w:rFonts w:ascii="Arial" w:cs="Arial" w:eastAsia="Arial" w:hAnsi="Arial"/>
          <w:sz w:val="11"/>
          <w:szCs w:val="11"/>
          <w:color w:val="auto"/>
        </w:rPr>
        <w:t>Jeffrey M. Ettinger</w:t>
      </w:r>
    </w:p>
    <w:p>
      <w:pPr>
        <w:spacing w:after="0" w:line="4" w:lineRule="exact"/>
        <w:rPr>
          <w:sz w:val="20"/>
          <w:szCs w:val="20"/>
          <w:color w:val="auto"/>
        </w:rPr>
      </w:pPr>
    </w:p>
    <w:p>
      <w:pPr>
        <w:ind w:left="1260" w:hanging="428"/>
        <w:spacing w:after="0"/>
        <w:tabs>
          <w:tab w:leader="none" w:pos="1260" w:val="left"/>
        </w:tabs>
        <w:numPr>
          <w:ilvl w:val="0"/>
          <w:numId w:val="76"/>
        </w:numPr>
        <w:rPr>
          <w:rFonts w:ascii="Arial" w:cs="Arial" w:eastAsia="Arial" w:hAnsi="Arial"/>
          <w:sz w:val="11"/>
          <w:szCs w:val="11"/>
          <w:color w:val="auto"/>
        </w:rPr>
      </w:pPr>
      <w:r>
        <w:rPr>
          <w:rFonts w:ascii="Arial" w:cs="Arial" w:eastAsia="Arial" w:hAnsi="Arial"/>
          <w:sz w:val="11"/>
          <w:szCs w:val="11"/>
          <w:color w:val="auto"/>
        </w:rPr>
        <w:t>Katherine J. Harless</w:t>
      </w:r>
    </w:p>
    <w:p>
      <w:pPr>
        <w:ind w:left="1260" w:hanging="428"/>
        <w:spacing w:after="0" w:line="230" w:lineRule="auto"/>
        <w:tabs>
          <w:tab w:leader="none" w:pos="1260" w:val="left"/>
        </w:tabs>
        <w:numPr>
          <w:ilvl w:val="0"/>
          <w:numId w:val="77"/>
        </w:numPr>
        <w:rPr>
          <w:rFonts w:ascii="Arial" w:cs="Arial" w:eastAsia="Arial" w:hAnsi="Arial"/>
          <w:sz w:val="11"/>
          <w:szCs w:val="11"/>
          <w:color w:val="auto"/>
        </w:rPr>
      </w:pPr>
      <w:r>
        <w:rPr>
          <w:rFonts w:ascii="Arial" w:cs="Arial" w:eastAsia="Arial" w:hAnsi="Arial"/>
          <w:sz w:val="11"/>
          <w:szCs w:val="11"/>
          <w:color w:val="auto"/>
        </w:rPr>
        <w:t>Michael J. Hoffman</w:t>
      </w:r>
    </w:p>
    <w:p>
      <w:pPr>
        <w:ind w:left="1260" w:hanging="428"/>
        <w:spacing w:after="0"/>
        <w:tabs>
          <w:tab w:leader="none" w:pos="1260" w:val="left"/>
        </w:tabs>
        <w:numPr>
          <w:ilvl w:val="0"/>
          <w:numId w:val="78"/>
        </w:numPr>
        <w:rPr>
          <w:rFonts w:ascii="Arial" w:cs="Arial" w:eastAsia="Arial" w:hAnsi="Arial"/>
          <w:sz w:val="11"/>
          <w:szCs w:val="11"/>
          <w:color w:val="auto"/>
        </w:rPr>
      </w:pPr>
      <w:r>
        <w:rPr>
          <w:rFonts w:ascii="Arial" w:cs="Arial" w:eastAsia="Arial" w:hAnsi="Arial"/>
          <w:sz w:val="11"/>
          <w:szCs w:val="11"/>
          <w:color w:val="auto"/>
        </w:rPr>
        <w:t>D. Christian Koch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80" w:type="dxa"/>
            <w:vAlign w:val="bottom"/>
          </w:tcPr>
          <w:p>
            <w:pPr>
              <w:jc w:val="center"/>
              <w:ind w:right="37"/>
              <w:spacing w:after="0"/>
              <w:rPr>
                <w:sz w:val="20"/>
                <w:szCs w:val="20"/>
                <w:color w:val="auto"/>
              </w:rPr>
            </w:pPr>
            <w:r>
              <w:rPr>
                <w:rFonts w:ascii="Arial" w:cs="Arial" w:eastAsia="Arial" w:hAnsi="Arial"/>
                <w:sz w:val="11"/>
                <w:szCs w:val="11"/>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7"/>
              </w:rPr>
              <w:t>Withhold</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 All</w:t>
            </w:r>
          </w:p>
        </w:tc>
        <w:tc>
          <w:tcPr>
            <w:tcW w:w="3340" w:type="dxa"/>
            <w:vAlign w:val="bottom"/>
            <w:gridSpan w:val="2"/>
          </w:tcPr>
          <w:p>
            <w:pPr>
              <w:ind w:left="220"/>
              <w:spacing w:after="0"/>
              <w:rPr>
                <w:sz w:val="20"/>
                <w:szCs w:val="20"/>
                <w:color w:val="auto"/>
              </w:rPr>
            </w:pPr>
            <w:r>
              <w:rPr>
                <w:rFonts w:ascii="Arial" w:cs="Arial" w:eastAsia="Arial" w:hAnsi="Arial"/>
                <w:sz w:val="11"/>
                <w:szCs w:val="11"/>
                <w:color w:val="auto"/>
                <w:w w:val="99"/>
              </w:rPr>
              <w:t>To withhold authority to vote for any individual nominee(s), mark</w:t>
            </w:r>
          </w:p>
        </w:tc>
      </w:tr>
      <w:tr>
        <w:trPr>
          <w:trHeight w:val="134"/>
        </w:trPr>
        <w:tc>
          <w:tcPr>
            <w:tcW w:w="280" w:type="dxa"/>
            <w:vAlign w:val="bottom"/>
          </w:tcPr>
          <w:p>
            <w:pPr>
              <w:jc w:val="center"/>
              <w:ind w:right="37"/>
              <w:spacing w:after="0"/>
              <w:rPr>
                <w:sz w:val="20"/>
                <w:szCs w:val="20"/>
                <w:color w:val="auto"/>
              </w:rPr>
            </w:pPr>
            <w:r>
              <w:rPr>
                <w:rFonts w:ascii="Arial" w:cs="Arial" w:eastAsia="Arial" w:hAnsi="Arial"/>
                <w:sz w:val="11"/>
                <w:szCs w:val="11"/>
                <w:b w:val="1"/>
                <w:bCs w:val="1"/>
                <w:color w:val="auto"/>
                <w:w w:val="99"/>
              </w:rPr>
              <w:t>All</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5"/>
              </w:rPr>
              <w:t>All</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Except</w:t>
            </w:r>
          </w:p>
        </w:tc>
        <w:tc>
          <w:tcPr>
            <w:tcW w:w="3340" w:type="dxa"/>
            <w:vAlign w:val="bottom"/>
            <w:gridSpan w:val="2"/>
          </w:tcPr>
          <w:p>
            <w:pPr>
              <w:ind w:left="220"/>
              <w:spacing w:after="0"/>
              <w:rPr>
                <w:sz w:val="20"/>
                <w:szCs w:val="20"/>
                <w:color w:val="auto"/>
              </w:rPr>
            </w:pPr>
            <w:r>
              <w:rPr>
                <w:rFonts w:ascii="Arial" w:cs="Arial" w:eastAsia="Arial" w:hAnsi="Arial"/>
                <w:sz w:val="11"/>
                <w:szCs w:val="11"/>
                <w:color w:val="auto"/>
                <w:w w:val="97"/>
              </w:rPr>
              <w:t>“For All Except” and write the number(s) of the nominee(s) on the</w:t>
            </w:r>
          </w:p>
        </w:tc>
      </w:tr>
      <w:tr>
        <w:trPr>
          <w:trHeight w:val="130"/>
        </w:trPr>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40" w:type="dxa"/>
            <w:vAlign w:val="bottom"/>
            <w:gridSpan w:val="2"/>
          </w:tcPr>
          <w:p>
            <w:pPr>
              <w:ind w:left="220"/>
              <w:spacing w:after="0"/>
              <w:rPr>
                <w:sz w:val="20"/>
                <w:szCs w:val="20"/>
                <w:color w:val="auto"/>
              </w:rPr>
            </w:pPr>
            <w:r>
              <w:rPr>
                <w:rFonts w:ascii="Arial" w:cs="Arial" w:eastAsia="Arial" w:hAnsi="Arial"/>
                <w:sz w:val="11"/>
                <w:szCs w:val="11"/>
                <w:color w:val="auto"/>
              </w:rPr>
              <w:t>line below.</w:t>
            </w:r>
          </w:p>
        </w:tc>
      </w:tr>
      <w:tr>
        <w:trPr>
          <w:trHeight w:val="434"/>
        </w:trPr>
        <w:tc>
          <w:tcPr>
            <w:tcW w:w="280" w:type="dxa"/>
            <w:vAlign w:val="bottom"/>
          </w:tcPr>
          <w:p>
            <w:pPr>
              <w:jc w:val="center"/>
              <w:ind w:right="37"/>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6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2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pacing w:after="0" w:line="1012" w:lineRule="exact"/>
        <w:rPr>
          <w:sz w:val="20"/>
          <w:szCs w:val="20"/>
          <w:color w:val="auto"/>
        </w:rPr>
      </w:pPr>
    </w:p>
    <w:p>
      <w:pPr>
        <w:sectPr>
          <w:pgSz w:w="11900" w:h="16838" w:orient="portrait"/>
          <w:cols w:equalWidth="0" w:num="2">
            <w:col w:w="3240" w:space="720"/>
            <w:col w:w="7460"/>
          </w:cols>
          <w:pgMar w:left="240" w:top="459" w:right="239" w:bottom="1440" w:gutter="0" w:footer="0" w:header="0"/>
          <w:type w:val="continuous"/>
        </w:sectPr>
      </w:pPr>
    </w:p>
    <w:p>
      <w:pPr>
        <w:spacing w:after="0" w:line="161"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7820" w:type="dxa"/>
            <w:vAlign w:val="bottom"/>
            <w:gridSpan w:val="2"/>
          </w:tcPr>
          <w:p>
            <w:pPr>
              <w:spacing w:after="0"/>
              <w:rPr>
                <w:sz w:val="20"/>
                <w:szCs w:val="20"/>
                <w:color w:val="auto"/>
              </w:rPr>
            </w:pPr>
            <w:r>
              <w:rPr>
                <w:rFonts w:ascii="Arial" w:cs="Arial" w:eastAsia="Arial" w:hAnsi="Arial"/>
                <w:sz w:val="11"/>
                <w:szCs w:val="11"/>
                <w:b w:val="1"/>
                <w:bCs w:val="1"/>
                <w:color w:val="auto"/>
              </w:rPr>
              <w:t>The Board of Directors recommends you vote FOR proposals 2 and 3.</w:t>
            </w:r>
          </w:p>
        </w:tc>
        <w:tc>
          <w:tcPr>
            <w:tcW w:w="1180" w:type="dxa"/>
            <w:vAlign w:val="bottom"/>
          </w:tcPr>
          <w:p>
            <w:pPr>
              <w:spacing w:after="0"/>
              <w:rPr>
                <w:sz w:val="13"/>
                <w:szCs w:val="13"/>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480" w:type="dxa"/>
            <w:vAlign w:val="bottom"/>
          </w:tcPr>
          <w:p>
            <w:pPr>
              <w:jc w:val="center"/>
              <w:ind w:left="10"/>
              <w:spacing w:after="0"/>
              <w:rPr>
                <w:sz w:val="20"/>
                <w:szCs w:val="20"/>
                <w:color w:val="auto"/>
              </w:rPr>
            </w:pPr>
            <w:r>
              <w:rPr>
                <w:rFonts w:ascii="Arial" w:cs="Arial" w:eastAsia="Arial" w:hAnsi="Arial"/>
                <w:sz w:val="11"/>
                <w:szCs w:val="11"/>
                <w:b w:val="1"/>
                <w:bCs w:val="1"/>
                <w:color w:val="auto"/>
                <w:w w:val="99"/>
              </w:rPr>
              <w:t>Abstain</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0"/>
                <w:szCs w:val="20"/>
                <w:color w:val="auto"/>
              </w:rPr>
            </w:pPr>
            <w:r>
              <w:rPr>
                <w:rFonts w:ascii="Arial" w:cs="Arial" w:eastAsia="Arial" w:hAnsi="Arial"/>
                <w:sz w:val="11"/>
                <w:szCs w:val="11"/>
                <w:color w:val="auto"/>
              </w:rPr>
              <w:t>2.</w:t>
            </w:r>
          </w:p>
        </w:tc>
        <w:tc>
          <w:tcPr>
            <w:tcW w:w="7560" w:type="dxa"/>
            <w:vAlign w:val="bottom"/>
          </w:tcPr>
          <w:p>
            <w:pPr>
              <w:ind w:left="160"/>
              <w:spacing w:after="0"/>
              <w:rPr>
                <w:sz w:val="20"/>
                <w:szCs w:val="20"/>
                <w:color w:val="auto"/>
              </w:rPr>
            </w:pPr>
            <w:r>
              <w:rPr>
                <w:rFonts w:ascii="Arial" w:cs="Arial" w:eastAsia="Arial" w:hAnsi="Arial"/>
                <w:sz w:val="11"/>
                <w:szCs w:val="11"/>
                <w:color w:val="auto"/>
              </w:rPr>
              <w:t>Ratification of the selection of KPMG LLP as our independent registered public accounting firm for our fiscal year ending October 31, 2017.</w:t>
            </w:r>
          </w:p>
        </w:tc>
        <w:tc>
          <w:tcPr>
            <w:tcW w:w="1180" w:type="dxa"/>
            <w:vAlign w:val="bottom"/>
          </w:tcPr>
          <w:p>
            <w:pPr>
              <w:spacing w:after="0"/>
              <w:rPr>
                <w:sz w:val="24"/>
                <w:szCs w:val="24"/>
                <w:color w:val="auto"/>
              </w:rPr>
            </w:pPr>
          </w:p>
        </w:tc>
        <w:tc>
          <w:tcPr>
            <w:tcW w:w="5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80" w:type="dxa"/>
            <w:vAlign w:val="bottom"/>
            <w:vMerge w:val="restart"/>
          </w:tcPr>
          <w:p>
            <w:pPr>
              <w:jc w:val="center"/>
              <w:ind w:left="3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7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20"/>
                <w:szCs w:val="20"/>
                <w:color w:val="auto"/>
              </w:rPr>
            </w:pPr>
            <w:r>
              <w:rPr>
                <w:rFonts w:ascii="Arial" w:cs="Arial" w:eastAsia="Arial" w:hAnsi="Arial"/>
                <w:sz w:val="11"/>
                <w:szCs w:val="11"/>
                <w:color w:val="auto"/>
              </w:rPr>
              <w:t>3.</w:t>
            </w:r>
          </w:p>
        </w:tc>
        <w:tc>
          <w:tcPr>
            <w:tcW w:w="7560" w:type="dxa"/>
            <w:vAlign w:val="bottom"/>
          </w:tcPr>
          <w:p>
            <w:pPr>
              <w:ind w:left="160"/>
              <w:spacing w:after="0"/>
              <w:rPr>
                <w:sz w:val="20"/>
                <w:szCs w:val="20"/>
                <w:color w:val="auto"/>
              </w:rPr>
            </w:pPr>
            <w:r>
              <w:rPr>
                <w:rFonts w:ascii="Arial" w:cs="Arial" w:eastAsia="Arial" w:hAnsi="Arial"/>
                <w:sz w:val="11"/>
                <w:szCs w:val="11"/>
                <w:color w:val="auto"/>
              </w:rPr>
              <w:t>Approval of, on an advisory basis, our executive compensation.</w:t>
            </w:r>
          </w:p>
        </w:tc>
        <w:tc>
          <w:tcPr>
            <w:tcW w:w="1180" w:type="dxa"/>
            <w:vAlign w:val="bottom"/>
          </w:tcPr>
          <w:p>
            <w:pPr>
              <w:spacing w:after="0"/>
              <w:rPr>
                <w:sz w:val="19"/>
                <w:szCs w:val="19"/>
                <w:color w:val="auto"/>
              </w:rPr>
            </w:pPr>
          </w:p>
        </w:tc>
        <w:tc>
          <w:tcPr>
            <w:tcW w:w="5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80" w:type="dxa"/>
            <w:vAlign w:val="bottom"/>
            <w:vMerge w:val="restart"/>
          </w:tcPr>
          <w:p>
            <w:pPr>
              <w:jc w:val="center"/>
              <w:ind w:left="3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7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6"/>
        </w:trPr>
        <w:tc>
          <w:tcPr>
            <w:tcW w:w="7820" w:type="dxa"/>
            <w:vAlign w:val="bottom"/>
            <w:gridSpan w:val="2"/>
          </w:tcPr>
          <w:p>
            <w:pPr>
              <w:spacing w:after="0"/>
              <w:rPr>
                <w:sz w:val="20"/>
                <w:szCs w:val="20"/>
                <w:color w:val="auto"/>
              </w:rPr>
            </w:pPr>
            <w:r>
              <w:rPr>
                <w:rFonts w:ascii="Arial" w:cs="Arial" w:eastAsia="Arial" w:hAnsi="Arial"/>
                <w:sz w:val="11"/>
                <w:szCs w:val="11"/>
                <w:b w:val="1"/>
                <w:bCs w:val="1"/>
                <w:color w:val="auto"/>
              </w:rPr>
              <w:t>The Board of Directors recommends you vote 1 YEAR on the following proposal:</w:t>
            </w:r>
          </w:p>
        </w:tc>
        <w:tc>
          <w:tcPr>
            <w:tcW w:w="1180" w:type="dxa"/>
            <w:vAlign w:val="bottom"/>
          </w:tcPr>
          <w:p>
            <w:pPr>
              <w:jc w:val="center"/>
              <w:ind w:left="632"/>
              <w:spacing w:after="0"/>
              <w:rPr>
                <w:sz w:val="20"/>
                <w:szCs w:val="20"/>
                <w:color w:val="auto"/>
              </w:rPr>
            </w:pPr>
            <w:r>
              <w:rPr>
                <w:rFonts w:ascii="Arial" w:cs="Arial" w:eastAsia="Arial" w:hAnsi="Arial"/>
                <w:sz w:val="11"/>
                <w:szCs w:val="11"/>
                <w:b w:val="1"/>
                <w:bCs w:val="1"/>
                <w:color w:val="auto"/>
                <w:w w:val="96"/>
              </w:rPr>
              <w:t>1 Year</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2 Year</w:t>
            </w:r>
            <w:r>
              <w:rPr>
                <w:rFonts w:ascii="Arial" w:cs="Arial" w:eastAsia="Arial" w:hAnsi="Arial"/>
                <w:sz w:val="11"/>
                <w:szCs w:val="11"/>
                <w:color w:val="auto"/>
              </w:rPr>
              <w:t>s</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3"/>
              </w:rPr>
              <w:t>3 Year</w:t>
            </w:r>
            <w:r>
              <w:rPr>
                <w:rFonts w:ascii="Arial" w:cs="Arial" w:eastAsia="Arial" w:hAnsi="Arial"/>
                <w:sz w:val="11"/>
                <w:szCs w:val="11"/>
                <w:color w:val="auto"/>
                <w:w w:val="93"/>
              </w:rPr>
              <w:t>s</w:t>
            </w:r>
          </w:p>
        </w:tc>
        <w:tc>
          <w:tcPr>
            <w:tcW w:w="480" w:type="dxa"/>
            <w:vAlign w:val="bottom"/>
          </w:tcPr>
          <w:p>
            <w:pPr>
              <w:jc w:val="center"/>
              <w:ind w:left="10"/>
              <w:spacing w:after="0"/>
              <w:rPr>
                <w:sz w:val="20"/>
                <w:szCs w:val="20"/>
                <w:color w:val="auto"/>
              </w:rPr>
            </w:pPr>
            <w:r>
              <w:rPr>
                <w:rFonts w:ascii="Arial" w:cs="Arial" w:eastAsia="Arial" w:hAnsi="Arial"/>
                <w:sz w:val="11"/>
                <w:szCs w:val="11"/>
                <w:b w:val="1"/>
                <w:bCs w:val="1"/>
                <w:color w:val="auto"/>
                <w:w w:val="99"/>
              </w:rPr>
              <w:t>Abstain</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0"/>
                <w:szCs w:val="20"/>
                <w:color w:val="auto"/>
              </w:rPr>
            </w:pPr>
            <w:r>
              <w:rPr>
                <w:rFonts w:ascii="Arial" w:cs="Arial" w:eastAsia="Arial" w:hAnsi="Arial"/>
                <w:sz w:val="11"/>
                <w:szCs w:val="11"/>
                <w:color w:val="auto"/>
              </w:rPr>
              <w:t>4.</w:t>
            </w:r>
          </w:p>
        </w:tc>
        <w:tc>
          <w:tcPr>
            <w:tcW w:w="7560" w:type="dxa"/>
            <w:vAlign w:val="bottom"/>
          </w:tcPr>
          <w:p>
            <w:pPr>
              <w:ind w:left="160"/>
              <w:spacing w:after="0"/>
              <w:rPr>
                <w:sz w:val="20"/>
                <w:szCs w:val="20"/>
                <w:color w:val="auto"/>
              </w:rPr>
            </w:pPr>
            <w:r>
              <w:rPr>
                <w:rFonts w:ascii="Arial" w:cs="Arial" w:eastAsia="Arial" w:hAnsi="Arial"/>
                <w:sz w:val="11"/>
                <w:szCs w:val="11"/>
                <w:color w:val="auto"/>
              </w:rPr>
              <w:t>Approval of, on advisory basis, the frequency of the advisory approval of our executive compensation.</w:t>
            </w:r>
          </w:p>
        </w:tc>
        <w:tc>
          <w:tcPr>
            <w:tcW w:w="1180" w:type="dxa"/>
            <w:vAlign w:val="bottom"/>
            <w:vMerge w:val="restart"/>
          </w:tcPr>
          <w:p>
            <w:pPr>
              <w:jc w:val="center"/>
              <w:ind w:left="612"/>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80" w:type="dxa"/>
            <w:vAlign w:val="bottom"/>
            <w:vMerge w:val="restart"/>
          </w:tcPr>
          <w:p>
            <w:pPr>
              <w:jc w:val="center"/>
              <w:ind w:left="3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75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In their discretion, the proxies are authorized to vote on any other business properly brought before the annual meeting or any adjournment or postponement of the annual meeting.</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166"/>
        </w:trPr>
        <w:tc>
          <w:tcPr>
            <w:tcW w:w="3760" w:type="dxa"/>
            <w:vAlign w:val="bottom"/>
          </w:tcPr>
          <w:p>
            <w:pPr>
              <w:spacing w:after="0"/>
              <w:rPr>
                <w:sz w:val="20"/>
                <w:szCs w:val="20"/>
                <w:color w:val="auto"/>
              </w:rPr>
            </w:pPr>
            <w:r>
              <w:rPr>
                <w:rFonts w:ascii="Arial" w:cs="Arial" w:eastAsia="Arial" w:hAnsi="Arial"/>
                <w:sz w:val="11"/>
                <w:szCs w:val="11"/>
                <w:color w:val="auto"/>
              </w:rPr>
              <w:t>For address changes, mark here. (see reverse for instructions)</w:t>
            </w:r>
          </w:p>
        </w:tc>
        <w:tc>
          <w:tcPr>
            <w:tcW w:w="920" w:type="dxa"/>
            <w:vAlign w:val="bottom"/>
            <w:vMerge w:val="restart"/>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88"/>
        </w:trPr>
        <w:tc>
          <w:tcPr>
            <w:tcW w:w="37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Please sign exactly as your name(s) appear(s) on this proxy. If held in joint tenancy, all persons must sign. Trustees, administrators, etc., should include title and authority.</w:t>
      </w:r>
    </w:p>
    <w:p>
      <w:pPr>
        <w:ind w:left="420"/>
        <w:spacing w:after="0"/>
        <w:rPr>
          <w:sz w:val="20"/>
          <w:szCs w:val="20"/>
          <w:color w:val="auto"/>
        </w:rPr>
      </w:pPr>
      <w:r>
        <w:rPr>
          <w:rFonts w:ascii="Arial" w:cs="Arial" w:eastAsia="Arial" w:hAnsi="Arial"/>
          <w:sz w:val="11"/>
          <w:szCs w:val="11"/>
          <w:color w:val="auto"/>
        </w:rPr>
        <w:t>Corporations should provide full name of corporation and title of authorized officer signing the Proxy.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spacing w:after="0"/>
        <w:tabs>
          <w:tab w:leader="none" w:pos="3100" w:val="left"/>
          <w:tab w:leader="none" w:pos="5740" w:val="left"/>
          <w:tab w:leader="none" w:pos="8360" w:val="left"/>
        </w:tabs>
        <w:rPr>
          <w:sz w:val="20"/>
          <w:szCs w:val="20"/>
          <w:color w:val="auto"/>
        </w:rPr>
      </w:pPr>
      <w:r>
        <w:rPr>
          <w:rFonts w:ascii="Arial" w:cs="Arial" w:eastAsia="Arial" w:hAnsi="Arial"/>
          <w:sz w:val="11"/>
          <w:szCs w:val="11"/>
          <w:color w:val="auto"/>
        </w:rPr>
        <w:t>Signature [PLEASE SIGN WITHIN BOX]</w:t>
      </w:r>
      <w:r>
        <w:rPr>
          <w:sz w:val="20"/>
          <w:szCs w:val="20"/>
          <w:color w:val="auto"/>
        </w:rPr>
        <w:tab/>
      </w: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Signature (Joint Owners)</w:t>
      </w:r>
      <w:r>
        <w:rPr>
          <w:sz w:val="20"/>
          <w:szCs w:val="20"/>
          <w:color w:val="auto"/>
        </w:rPr>
        <w:tab/>
      </w:r>
      <w:r>
        <w:rPr>
          <w:rFonts w:ascii="Arial" w:cs="Arial" w:eastAsia="Arial" w:hAnsi="Arial"/>
          <w:sz w:val="10"/>
          <w:szCs w:val="10"/>
          <w:color w:val="auto"/>
        </w:rPr>
        <w:t>Date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V.1.1</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TORO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ANNUAL MEETING OF SHAREHOLDERS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Tuesday, March 21, 2017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1:30 p.m. CDT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Toro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8111 Lyndale Avenue South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Bloomington, MN 55420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Important Notice Regarding the Availability of Proxy Materials for the Annual Meeting:</w:t>
      </w:r>
    </w:p>
    <w:p>
      <w:pPr>
        <w:jc w:val="center"/>
        <w:spacing w:after="0" w:line="219" w:lineRule="auto"/>
        <w:rPr>
          <w:sz w:val="20"/>
          <w:szCs w:val="20"/>
          <w:color w:val="auto"/>
        </w:rPr>
      </w:pPr>
      <w:r>
        <w:rPr>
          <w:rFonts w:ascii="Arial" w:cs="Arial" w:eastAsia="Arial" w:hAnsi="Arial"/>
          <w:sz w:val="13"/>
          <w:szCs w:val="13"/>
          <w:color w:val="auto"/>
        </w:rPr>
        <w:t>The Notice &amp; Proxy Statement for the Annual Meeting of Shareholders on March 21, 2017, and</w:t>
      </w:r>
    </w:p>
    <w:p>
      <w:pPr>
        <w:jc w:val="center"/>
        <w:spacing w:after="0"/>
        <w:rPr>
          <w:sz w:val="20"/>
          <w:szCs w:val="20"/>
          <w:color w:val="auto"/>
        </w:rPr>
      </w:pPr>
      <w:r>
        <w:rPr>
          <w:rFonts w:ascii="Arial" w:cs="Arial" w:eastAsia="Arial" w:hAnsi="Arial"/>
          <w:sz w:val="13"/>
          <w:szCs w:val="13"/>
          <w:color w:val="auto"/>
        </w:rPr>
        <w:t>our 2016 Annual Report are available at www.thetorocompany.com/proxy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w:t>
      </w:r>
    </w:p>
    <w:p>
      <w:pPr>
        <w:ind w:left="10240"/>
        <w:spacing w:after="0"/>
        <w:rPr>
          <w:sz w:val="20"/>
          <w:szCs w:val="20"/>
          <w:color w:val="auto"/>
        </w:rPr>
      </w:pPr>
      <w:r>
        <w:rPr>
          <w:rFonts w:ascii="Arial" w:cs="Arial" w:eastAsia="Arial" w:hAnsi="Arial"/>
          <w:sz w:val="10"/>
          <w:szCs w:val="10"/>
          <w:color w:val="auto"/>
        </w:rPr>
        <w:t>E16934-P85055-Z69113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63765" cy="30099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30099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The Toro Company</w:t>
      </w:r>
    </w:p>
    <w:p>
      <w:pPr>
        <w:ind w:left="320"/>
        <w:spacing w:after="0" w:line="237" w:lineRule="auto"/>
        <w:rPr>
          <w:sz w:val="20"/>
          <w:szCs w:val="20"/>
          <w:color w:val="auto"/>
        </w:rPr>
      </w:pPr>
      <w:r>
        <w:rPr>
          <w:rFonts w:ascii="Arial" w:cs="Arial" w:eastAsia="Arial" w:hAnsi="Arial"/>
          <w:sz w:val="12"/>
          <w:szCs w:val="12"/>
          <w:b w:val="1"/>
          <w:bCs w:val="1"/>
          <w:color w:val="auto"/>
        </w:rPr>
        <w:t>8111 Lyndale Ave South</w:t>
      </w:r>
    </w:p>
    <w:p>
      <w:pPr>
        <w:ind w:left="320"/>
        <w:spacing w:after="0"/>
        <w:rPr>
          <w:sz w:val="20"/>
          <w:szCs w:val="20"/>
          <w:color w:val="auto"/>
        </w:rPr>
      </w:pPr>
      <w:r>
        <w:rPr>
          <w:rFonts w:ascii="Arial" w:cs="Arial" w:eastAsia="Arial" w:hAnsi="Arial"/>
          <w:sz w:val="12"/>
          <w:szCs w:val="12"/>
          <w:b w:val="1"/>
          <w:bCs w:val="1"/>
          <w:color w:val="auto"/>
        </w:rPr>
        <w:t>Bloomington, MN 55420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Proxy</w:t>
      </w:r>
    </w:p>
    <w:p>
      <w:pPr>
        <w:spacing w:after="0" w:line="202" w:lineRule="exact"/>
        <w:rPr>
          <w:sz w:val="20"/>
          <w:szCs w:val="20"/>
          <w:color w:val="auto"/>
        </w:rPr>
      </w:pPr>
    </w:p>
    <w:p>
      <w:pPr>
        <w:sectPr>
          <w:pgSz w:w="11900" w:h="16838" w:orient="portrait"/>
          <w:cols w:equalWidth="0" w:num="2">
            <w:col w:w="10020" w:space="720"/>
            <w:col w:w="680"/>
          </w:cols>
          <w:pgMar w:left="240" w:top="459" w:right="239" w:bottom="1440" w:gutter="0" w:footer="0" w:header="0"/>
          <w:type w:val="continuous"/>
        </w:sectPr>
      </w:pPr>
    </w:p>
    <w:p>
      <w:pPr>
        <w:spacing w:after="0" w:line="5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This Proxy is solicited on behalf of the Board of Directors for use at the Annual Meeting on March 21, 2017.</w:t>
      </w:r>
    </w:p>
    <w:p>
      <w:pPr>
        <w:spacing w:after="0" w:line="123" w:lineRule="exact"/>
        <w:rPr>
          <w:sz w:val="20"/>
          <w:szCs w:val="20"/>
          <w:color w:val="auto"/>
        </w:rPr>
      </w:pPr>
    </w:p>
    <w:p>
      <w:pPr>
        <w:jc w:val="both"/>
        <w:ind w:left="320" w:right="340"/>
        <w:spacing w:after="0" w:line="230" w:lineRule="auto"/>
        <w:rPr>
          <w:sz w:val="20"/>
          <w:szCs w:val="20"/>
          <w:color w:val="auto"/>
        </w:rPr>
      </w:pPr>
      <w:r>
        <w:rPr>
          <w:rFonts w:ascii="Arial" w:cs="Arial" w:eastAsia="Arial" w:hAnsi="Arial"/>
          <w:sz w:val="13"/>
          <w:szCs w:val="13"/>
          <w:color w:val="auto"/>
        </w:rPr>
        <w:t>The shares of stock held in this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If no choice is specified, the Proxy will be voted “For” all nominees for Director, “For” Proposals 2 and 3 and “1 Year” for Proposal 4.</w:t>
      </w:r>
    </w:p>
    <w:p>
      <w:pPr>
        <w:spacing w:after="0" w:line="123" w:lineRule="exact"/>
        <w:rPr>
          <w:sz w:val="20"/>
          <w:szCs w:val="20"/>
          <w:color w:val="auto"/>
        </w:rPr>
      </w:pPr>
    </w:p>
    <w:p>
      <w:pPr>
        <w:jc w:val="both"/>
        <w:ind w:left="320" w:right="320"/>
        <w:spacing w:after="0" w:line="225" w:lineRule="auto"/>
        <w:rPr>
          <w:sz w:val="20"/>
          <w:szCs w:val="20"/>
          <w:color w:val="auto"/>
        </w:rPr>
      </w:pPr>
      <w:r>
        <w:rPr>
          <w:rFonts w:ascii="Arial" w:cs="Arial" w:eastAsia="Arial" w:hAnsi="Arial"/>
          <w:sz w:val="13"/>
          <w:szCs w:val="13"/>
          <w:color w:val="auto"/>
        </w:rPr>
        <w:t>By signing, dating and returning this proxy card, you revoke all prior proxies, including any Proxy previously given by telephone or Internet, and appoint M. J. Hoffman, R. M. Olson and T. P. Dordell, or any one of them, with full power of substitution, to vote these shares on the matters shown on the reverse side and on any other business properly brought before the annual meeting or any adjournment or postponement of the annual meeting.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Address Changes:</w:t>
      </w:r>
    </w:p>
    <w:p>
      <w:pPr>
        <w:spacing w:after="0" w:line="200" w:lineRule="exact"/>
        <w:rPr>
          <w:sz w:val="20"/>
          <w:szCs w:val="20"/>
          <w:color w:val="auto"/>
        </w:rPr>
      </w:pP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(If you noted any Address Changes above, please mark corresponding box on the reverse side.)</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V.1.1</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lvl w:ilvl="1">
      <w:lvlJc w:val="left"/>
      <w:lvlText w:val="(%2)"/>
      <w:numFmt w:val="decimal"/>
      <w:start w:val="1"/>
    </w:lvl>
  </w:abstractNum>
  <w:abstractNum w:abstractNumId="3">
    <w:nsid w:val="153EA438"/>
    <w:multiLevelType w:val="hybridMultilevel"/>
    <w:lvl w:ilvl="0">
      <w:lvlJc w:val="left"/>
      <w:lvlText w:val="☐"/>
      <w:numFmt w:val="bullet"/>
      <w:start w:val="1"/>
    </w:lvl>
    <w:lvl w:ilvl="1">
      <w:lvlJc w:val="left"/>
      <w:lvlText w:val="(%2)"/>
      <w:numFmt w:val="decimal"/>
      <w:start w:val="1"/>
    </w:lvl>
  </w:abstractNum>
  <w:abstractNum w:abstractNumId="4">
    <w:nsid w:val="3855585C"/>
    <w:multiLevelType w:val="hybridMultilevel"/>
    <w:lvl w:ilvl="0">
      <w:lvlJc w:val="left"/>
      <w:lvlText w:val="%1."/>
      <w:numFmt w:val="decimal"/>
      <w:start w:val="2"/>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lowerRoman"/>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3"/>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lowerLetter"/>
      <w:start w:val="2"/>
    </w:lvl>
  </w:abstractNum>
  <w:abstractNum w:abstractNumId="24">
    <w:nsid w:val="79A1DEAA"/>
    <w:multiLevelType w:val="hybridMultilevel"/>
    <w:lvl w:ilvl="0">
      <w:lvlJc w:val="left"/>
      <w:lvlText w:val="(%1)"/>
      <w:numFmt w:val="lowerRoman"/>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lvl w:ilvl="1">
      <w:lvlJc w:val="left"/>
      <w:lvlText w:val="\endash "/>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4"/>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lvl w:ilvl="1">
      <w:lvlJc w:val="left"/>
      <w:lvlText w:val="\endash "/>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3"/>
    </w:lvl>
  </w:abstractNum>
  <w:abstractNum w:abstractNumId="51">
    <w:nsid w:val="2F305DEF"/>
    <w:multiLevelType w:val="hybridMultilevel"/>
    <w:lvl w:ilvl="0">
      <w:lvlJc w:val="left"/>
      <w:lvlText w:val="(%1)"/>
      <w:numFmt w:val="decimal"/>
      <w:start w:val="4"/>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2"/>
    </w:lvl>
  </w:abstractNum>
  <w:abstractNum w:abstractNumId="60">
    <w:nsid w:val="15014ACB"/>
    <w:multiLevelType w:val="hybridMultilevel"/>
    <w:lvl w:ilvl="0">
      <w:lvlJc w:val="left"/>
      <w:lvlText w:val="(%1)"/>
      <w:numFmt w:val="decimal"/>
      <w:start w:val="4"/>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decimal"/>
      <w:start w:val="6"/>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lowerRoman"/>
      <w:start w:val="2"/>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2"/>
    </w:lvl>
  </w:abstractNum>
  <w:abstractNum w:abstractNumId="76">
    <w:nsid w:val="42963E5A"/>
    <w:multiLevelType w:val="hybridMultilevel"/>
    <w:lvl w:ilvl="0">
      <w:lvlJc w:val="left"/>
      <w:lvlText w:val="%1)"/>
      <w:numFmt w:val="decimal"/>
      <w:start w:val="3"/>
    </w:lvl>
  </w:abstractNum>
  <w:abstractNum w:abstractNumId="77">
    <w:nsid w:val="A0382C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2019-12-05T11:28:38Z</dcterms:created>
  <dcterms:modified xsi:type="dcterms:W3CDTF">2019-12-05T11:28:38Z</dcterms:modified>
</cp:coreProperties>
</file>