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603250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517525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257810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186055</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180340</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172720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ectPr>
          <w:pgSz w:w="11900" w:h="16838" w:orient="portrait"/>
          <w:cols w:equalWidth="0" w:num="1">
            <w:col w:w="11440"/>
          </w:cols>
          <w:pgMar w:left="240" w:top="1039" w:right="219" w:bottom="1440" w:gutter="0" w:footer="0" w:header="0"/>
        </w:sectPr>
      </w:pPr>
    </w:p>
    <w:p>
      <w:pPr>
        <w:spacing w:after="0" w:line="200" w:lineRule="exact"/>
        <w:rPr>
          <w:sz w:val="24"/>
          <w:szCs w:val="24"/>
          <w:color w:val="auto"/>
        </w:rPr>
      </w:pPr>
    </w:p>
    <w:p>
      <w:pPr>
        <w:spacing w:after="0" w:line="229"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3">
            <w:col w:w="4700" w:space="720"/>
            <w:col w:w="2740" w:space="720"/>
            <w:col w:w="2560"/>
          </w:cols>
          <w:pgMar w:left="240" w:top="1039" w:right="219" w:bottom="1440" w:gutter="0" w:footer="0" w:header="0"/>
          <w:type w:val="continuous"/>
        </w:sectPr>
      </w:pPr>
    </w:p>
    <w:p>
      <w:pPr>
        <w:ind w:left="6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40" w:space="720"/>
            <w:col w:w="3300"/>
          </w:cols>
          <w:pgMar w:left="240" w:top="1039" w:right="219" w:bottom="1440" w:gutter="0" w:footer="0" w:header="0"/>
          <w:type w:val="continuous"/>
        </w:sectPr>
      </w:pP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Bloomington, Minnesota 55420-1196</w:t>
      </w:r>
    </w:p>
    <w:p>
      <w:pPr>
        <w:jc w:val="center"/>
        <w:ind w:right="20"/>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172720</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20"/>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4"/>
          <w:szCs w:val="24"/>
          <w:color w:val="auto"/>
        </w:rPr>
      </w:pPr>
    </w:p>
    <w:p>
      <w:pPr>
        <w:jc w:val="both"/>
        <w:ind w:right="40"/>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ind w:left="91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77" w:lineRule="exact"/>
        <w:rPr>
          <w:sz w:val="24"/>
          <w:szCs w:val="24"/>
          <w:color w:val="auto"/>
        </w:rPr>
      </w:pPr>
    </w:p>
    <w:p>
      <w:pPr>
        <w:jc w:val="both"/>
        <w:ind w:right="20"/>
        <w:spacing w:after="0" w:line="239"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157480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71755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40"/>
          </w:cols>
          <w:pgMar w:left="240" w:top="1039"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On March 5, 2020, The Toro Company announced its earnings for the three months ended January 31, 2020.</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49"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640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440" w:type="dxa"/>
            <w:vAlign w:val="bottom"/>
            <w:tcBorders>
              <w:bottom w:val="single" w:sz="8" w:color="0000FF"/>
            </w:tcBorders>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Press release dated March 5, 2020 (furnished herewith).</w:t>
              </w:r>
            </w:hyperlink>
          </w:p>
        </w:tc>
        <w:tc>
          <w:tcPr>
            <w:tcW w:w="1960" w:type="dxa"/>
            <w:vAlign w:val="bottom"/>
          </w:tcPr>
          <w:p>
            <w:pPr>
              <w:spacing w:after="0"/>
              <w:rPr>
                <w:sz w:val="20"/>
                <w:szCs w:val="20"/>
                <w:color w:val="auto"/>
              </w:rPr>
            </w:pPr>
          </w:p>
        </w:tc>
      </w:tr>
      <w:tr>
        <w:trPr>
          <w:trHeight w:val="308"/>
        </w:trPr>
        <w:tc>
          <w:tcPr>
            <w:tcW w:w="2200" w:type="dxa"/>
            <w:vAlign w:val="bottom"/>
          </w:tcPr>
          <w:p>
            <w:pPr>
              <w:spacing w:after="0"/>
              <w:rPr>
                <w:sz w:val="20"/>
                <w:szCs w:val="20"/>
                <w:color w:val="auto"/>
              </w:rPr>
            </w:pPr>
            <w:r>
              <w:rPr>
                <w:rFonts w:ascii="Arial" w:cs="Arial" w:eastAsia="Arial" w:hAnsi="Arial"/>
                <w:sz w:val="20"/>
                <w:szCs w:val="20"/>
                <w:color w:val="auto"/>
              </w:rPr>
              <w:t>104</w:t>
            </w:r>
          </w:p>
        </w:tc>
        <w:tc>
          <w:tcPr>
            <w:tcW w:w="6400" w:type="dxa"/>
            <w:vAlign w:val="bottom"/>
            <w:gridSpan w:val="2"/>
          </w:tcPr>
          <w:p>
            <w:pPr>
              <w:spacing w:after="0"/>
              <w:rPr>
                <w:sz w:val="20"/>
                <w:szCs w:val="20"/>
                <w:color w:val="auto"/>
              </w:rPr>
            </w:pPr>
            <w:r>
              <w:rPr>
                <w:rFonts w:ascii="Arial" w:cs="Arial" w:eastAsia="Arial" w:hAnsi="Arial"/>
                <w:sz w:val="20"/>
                <w:szCs w:val="20"/>
                <w:color w:val="auto"/>
                <w:w w:val="90"/>
              </w:rPr>
              <w:t>Cover Page Interactive Data File (embedded within the Inline XBRL document).</w:t>
            </w:r>
          </w:p>
        </w:tc>
      </w:tr>
    </w:tbl>
    <w:p>
      <w:pPr>
        <w:sectPr>
          <w:pgSz w:w="11900" w:h="16838" w:orient="portrait"/>
          <w:cols w:equalWidth="0" w:num="1">
            <w:col w:w="10219"/>
          </w:cols>
          <w:pgMar w:left="240" w:top="54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March 5, 2020</w:t>
      </w:r>
      <w:r>
        <w:rPr>
          <w:sz w:val="20"/>
          <w:szCs w:val="20"/>
          <w:color w:val="auto"/>
        </w:rPr>
        <w:tab/>
      </w:r>
      <w:r>
        <w:rPr>
          <w:rFonts w:ascii="Arial" w:cs="Arial" w:eastAsia="Arial" w:hAnsi="Arial"/>
          <w:sz w:val="16"/>
          <w:szCs w:val="16"/>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5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99504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The Toro Company Reports First Quarter Fiscal </w:t>
      </w:r>
      <w:r>
        <w:rPr>
          <w:rFonts w:ascii="Arial" w:cs="Arial" w:eastAsia="Arial" w:hAnsi="Arial"/>
          <w:sz w:val="19"/>
          <w:szCs w:val="19"/>
          <w:b w:val="1"/>
          <w:bCs w:val="1"/>
          <w:color w:val="auto"/>
        </w:rPr>
        <w:t>2020</w:t>
      </w:r>
      <w:r>
        <w:rPr>
          <w:rFonts w:ascii="Arial" w:cs="Arial" w:eastAsia="Arial" w:hAnsi="Arial"/>
          <w:sz w:val="22"/>
          <w:szCs w:val="22"/>
          <w:b w:val="1"/>
          <w:bCs w:val="1"/>
          <w:color w:val="auto"/>
        </w:rPr>
        <w:t xml:space="preserve"> Results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Charles Machine Works and Residential Segment Key Drivers of Strong Q1 Performance</w:t>
      </w:r>
    </w:p>
    <w:p>
      <w:pPr>
        <w:spacing w:after="0" w:line="3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increased 27.3% compared to the same prior-year period</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diluted EPS up 18.2%, and *adjusted diluted EPS up 20.8%, compared to the same prior-year period</w:t>
      </w:r>
    </w:p>
    <w:p>
      <w:pPr>
        <w:ind w:left="660" w:right="940" w:hanging="328"/>
        <w:spacing w:after="0" w:line="247"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Maintains full-year adjusted EPS guidance range of $3.33 to $3.40 per diluted share, which includes the recently completed Venture Products acquisition</w:t>
      </w:r>
    </w:p>
    <w:p>
      <w:pPr>
        <w:spacing w:after="0" w:line="200" w:lineRule="exact"/>
        <w:rPr>
          <w:sz w:val="20"/>
          <w:szCs w:val="20"/>
          <w:color w:val="auto"/>
        </w:rPr>
      </w:pPr>
    </w:p>
    <w:p>
      <w:pPr>
        <w:spacing w:after="0" w:line="370"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b w:val="1"/>
          <w:bCs w:val="1"/>
          <w:color w:val="auto"/>
        </w:rPr>
        <w:t>BLOOMINGTON, Minn.—(BUSINESS WIRE) —March 5, 2020—</w:t>
      </w:r>
      <w:r>
        <w:rPr>
          <w:rFonts w:ascii="Arial" w:cs="Arial" w:eastAsia="Arial" w:hAnsi="Arial"/>
          <w:sz w:val="20"/>
          <w:szCs w:val="20"/>
          <w:color w:val="auto"/>
        </w:rPr>
        <w:t>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ended January 31,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“Fiscal 2020 is off to a solid start, fueled by revenue growth and gross margin expansion in the quarter that builds on similar results last year,” said Richard M. Olson, chairman and chief executive officer. “The integration of Charles Machine Works is progressing ahead of our original expectations as we approach the first anniversary of the acquisition, and we are on track to achieve our synergy goals. Among the many key initiatives that we expect will contribute to our fiscal year, we are excited about expanding our residential product reach through our new placement with the Tractor Supply Company. In fact, we believe all our channel partners will benefit from the refreshed products, branding and marketing. Finally, we announced the closing of the acquisition of Venture Products earlier this week. We welcome the Venture Products team and the well-regarded Ventrac® product line to The Toro Company.”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Fiscal 2020 Financial Highlights</w:t>
      </w:r>
    </w:p>
    <w:p>
      <w:pPr>
        <w:spacing w:after="0" w:line="1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sales of $767.5 million, up 27.3% compared with $603.0 million in the first quarter of fiscal 2019.</w:t>
      </w:r>
    </w:p>
    <w:p>
      <w:pPr>
        <w:ind w:left="660" w:right="700" w:hanging="328"/>
        <w:spacing w:after="0" w:line="23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of $70.1 million, up 17.7% compared with $59.5 million in the first quarter of fiscal 2019; *Adjusted net earnings of $69.7 million, up 22.9% compared with $56.7 million in the same prior-year period.</w:t>
      </w:r>
    </w:p>
    <w:p>
      <w:pPr>
        <w:spacing w:after="0" w:line="1" w:lineRule="exact"/>
        <w:rPr>
          <w:rFonts w:ascii="Arial" w:cs="Arial" w:eastAsia="Arial" w:hAnsi="Arial"/>
          <w:sz w:val="20"/>
          <w:szCs w:val="20"/>
          <w:color w:val="auto"/>
        </w:rPr>
      </w:pPr>
    </w:p>
    <w:p>
      <w:pPr>
        <w:ind w:left="660" w:right="260" w:hanging="328"/>
        <w:spacing w:after="0" w:line="243"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Reported EPS of $0.65 per diluted share, up 18.2% compared with $0.55 per diluted share in the first quarter of fiscal 2019; *Adjusted EPS of $0.64 per diluted share, up 20.8% compared with $0.53 per diluted share in the same prior-year period.</w:t>
      </w:r>
    </w:p>
    <w:p>
      <w:pPr>
        <w:spacing w:after="0" w:line="20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adjusted non-GAAP net earnings and adjusted non-GAAP diluted earnings per share to</w:t>
      </w:r>
      <w:r>
        <w:rPr>
          <w:rFonts w:ascii="Arial" w:cs="Arial" w:eastAsia="Arial" w:hAnsi="Arial"/>
          <w:sz w:val="18"/>
          <w:szCs w:val="18"/>
          <w:color w:val="auto"/>
        </w:rPr>
        <w:t xml:space="preserve"> </w:t>
      </w:r>
      <w:r>
        <w:rPr>
          <w:rFonts w:ascii="Arial" w:cs="Arial" w:eastAsia="Arial" w:hAnsi="Arial"/>
          <w:sz w:val="18"/>
          <w:szCs w:val="18"/>
          <w:i w:val="1"/>
          <w:iCs w:val="1"/>
          <w:color w:val="auto"/>
        </w:rPr>
        <w:t>the comparable GAAP measures.</w:t>
      </w:r>
    </w:p>
    <w:p>
      <w:pPr>
        <w:sectPr>
          <w:pgSz w:w="11900" w:h="16838" w:orient="portrait"/>
          <w:cols w:equalWidth="0" w:num="1">
            <w:col w:w="11420"/>
          </w:cols>
          <w:pgMar w:left="240" w:top="1359" w:right="2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color w:val="auto"/>
        </w:rPr>
        <w:t>2 -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and Fiscal Year 2020 Outlook</w:t>
      </w:r>
    </w:p>
    <w:p>
      <w:pPr>
        <w:spacing w:after="0" w:line="15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“In addition to anticipated healthy demand for our core products in the golf, grounds, contractor and construction markets, there is considerable pre-season excitement for the new products we displayed at recent industry trade shows,” continued Olson. “The all-electric e-Dingo™ compact utility loader, Greensmaster® eTriFlex™ and 60V Flex-Force™ steel deck walk power mower enhance our lithium-ion battery-powered offerings and demonstrate our commitment to alternative energy solutions. At the Golf Industry Show, we showcased smart-connected and autonomous-enabled product concepts focused on helping customers be more productive.”</w:t>
      </w:r>
    </w:p>
    <w:p>
      <w:pPr>
        <w:spacing w:after="0" w:line="127" w:lineRule="exact"/>
        <w:rPr>
          <w:sz w:val="20"/>
          <w:szCs w:val="20"/>
          <w:color w:val="auto"/>
        </w:rPr>
      </w:pPr>
    </w:p>
    <w:p>
      <w:pPr>
        <w:jc w:val="both"/>
        <w:ind w:right="280"/>
        <w:spacing w:after="0" w:line="243" w:lineRule="auto"/>
        <w:rPr>
          <w:sz w:val="20"/>
          <w:szCs w:val="20"/>
          <w:color w:val="auto"/>
        </w:rPr>
      </w:pPr>
      <w:r>
        <w:rPr>
          <w:rFonts w:ascii="Arial" w:cs="Arial" w:eastAsia="Arial" w:hAnsi="Arial"/>
          <w:sz w:val="20"/>
          <w:szCs w:val="20"/>
          <w:color w:val="auto"/>
        </w:rPr>
        <w:t>“We are realizing productivity and synergy gains from the Charles Machine Works acquisition and seeing some benefit from the current commodity cost environment. This translated into higher gross margin in the first quarter and we expect to see full year gross margin expansion,” continued Olson.</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The company is maintaining its fiscal 2020 guidance, including net sales of about $3.6 billion and adjusted EPS of $3.33 to $3.40 per diluted share. For the second quarter, the company expects adjusted EPS of $1.28 to $1.33 per diluted share. Full year and second quarter 2020 guidance includes the benefit of Venture Products and nominal disruptions from coronavirus. Guidance excludes the benefit of the excess tax deduction for share-based compensation and acquisition and integration-related costs.</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“While we are optimistic about the year, there are several factors beyond our control that may affect our performance, such as unfavorable weather conditions and more significant disruptions from coronavirus. As always, we will concentrate on controlling what we can control, while being prepared to respond to those factors that we cannot, and continuing to focus on our key strategic priorities of accelerating profitable growth, driving productivity and operational excellence, and empowering our people,” concluded Olson.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159" w:lineRule="exact"/>
        <w:rPr>
          <w:sz w:val="20"/>
          <w:szCs w:val="20"/>
          <w:color w:val="auto"/>
        </w:rPr>
      </w:pPr>
    </w:p>
    <w:p>
      <w:pPr>
        <w:ind w:left="660" w:right="40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increased 30.7% to $594.7 million from $455.0 million in the same period last year. The addition of Charles Machine Works, improved net price realization, and strong early-season order activity for snow and ice management products were the primary drivers of the net sales growth, which was somewhat offset by lower shipments of landscape contractor zero-turn riding mowers as the company managed field inventory in advance of the key selling season.</w:t>
      </w:r>
    </w:p>
    <w:p>
      <w:pPr>
        <w:spacing w:after="0" w:line="128" w:lineRule="exact"/>
        <w:rPr>
          <w:rFonts w:ascii="Arial" w:cs="Arial" w:eastAsia="Arial" w:hAnsi="Arial"/>
          <w:sz w:val="20"/>
          <w:szCs w:val="20"/>
          <w:color w:val="auto"/>
        </w:rPr>
      </w:pPr>
    </w:p>
    <w:p>
      <w:pPr>
        <w:ind w:left="660" w:right="40" w:hanging="328"/>
        <w:spacing w:after="0" w:line="24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increased 16.5% to $102.5 million from $88.0 million in the same period last year, largely a result of the acquisition of Charles Machine Works.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159" w:lineRule="exact"/>
        <w:rPr>
          <w:sz w:val="20"/>
          <w:szCs w:val="20"/>
          <w:color w:val="auto"/>
        </w:rPr>
      </w:pPr>
    </w:p>
    <w:p>
      <w:pPr>
        <w:ind w:left="660" w:right="20" w:hanging="328"/>
        <w:spacing w:after="0" w:line="24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increased 14.3% to $165.8 million from $145.2 million in the same period last year, primarily driven by shipments of zero turn riding mowers to our new mass retail channel outlet.</w:t>
      </w:r>
    </w:p>
    <w:p>
      <w:pPr>
        <w:spacing w:after="0" w:line="120" w:lineRule="exact"/>
        <w:rPr>
          <w:rFonts w:ascii="Arial" w:cs="Arial" w:eastAsia="Arial" w:hAnsi="Arial"/>
          <w:sz w:val="20"/>
          <w:szCs w:val="20"/>
          <w:color w:val="auto"/>
        </w:rPr>
      </w:pPr>
    </w:p>
    <w:p>
      <w:pPr>
        <w:ind w:left="660" w:right="80" w:hanging="328"/>
        <w:spacing w:after="0" w:line="24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increased 65% to $21.6 million from $13.1 million in the same period last year, primarily due to favorable sales mix, productivity and synergy initiatives, lower commodity and tariff costs, and reductions in freight cost.</w:t>
      </w:r>
    </w:p>
    <w:p>
      <w:pPr>
        <w:sectPr>
          <w:pgSz w:w="11900" w:h="16838" w:orient="portrait"/>
          <w:cols w:equalWidth="0" w:num="1">
            <w:col w:w="11420"/>
          </w:cols>
          <w:pgMar w:left="240" w:top="517"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3 -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59"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Gross margin for the first quarter was 37.5% compared with 35.8% for the same prior-year period, an increase of 170 basis points. Adjusted gross margin for the first quarter was 37.6% compared with 35.8% for the first quarter of fiscal 2019. The increase in gross margin and adjusted gross margin for the first quarter of fiscal 2020 was primarily driven by productivity and synergy initiatives, improved net price realization, lower freight costs, and lower commodity and tariff costs.</w:t>
      </w:r>
    </w:p>
    <w:p>
      <w:pPr>
        <w:spacing w:after="0" w:line="126"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Selling, general and administrative (SG&amp;A) expense as a percent of sales for the first quarter increased 140 basis points to 25.6% from 24.2% in the same year-ago period, reflecting higher costs due to the addition of Charles Machine Works and increased indirect sales and marketing expense.</w:t>
      </w:r>
    </w:p>
    <w:p>
      <w:pPr>
        <w:spacing w:after="0" w:line="125"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Operating earnings as a percent of net sales were 11.9% for the first quarter, compared with 11.6% for the same period last year. Adjusted operating earnings as a percent of net sales were 12.1% in the quarter, compared with 11.9% in the same period last year.</w:t>
      </w:r>
    </w:p>
    <w:p>
      <w:pPr>
        <w:spacing w:after="0" w:line="125" w:lineRule="exact"/>
        <w:rPr>
          <w:sz w:val="20"/>
          <w:szCs w:val="20"/>
          <w:color w:val="auto"/>
        </w:rPr>
      </w:pPr>
    </w:p>
    <w:p>
      <w:pPr>
        <w:ind w:right="720"/>
        <w:spacing w:after="0" w:line="247" w:lineRule="auto"/>
        <w:rPr>
          <w:sz w:val="20"/>
          <w:szCs w:val="20"/>
          <w:color w:val="auto"/>
        </w:rPr>
      </w:pPr>
      <w:r>
        <w:rPr>
          <w:rFonts w:ascii="Arial" w:cs="Arial" w:eastAsia="Arial" w:hAnsi="Arial"/>
          <w:sz w:val="20"/>
          <w:szCs w:val="20"/>
          <w:color w:val="auto"/>
        </w:rPr>
        <w:t>Interest expense in the first quarter was $8.2 million compared with $4.7 million in the same prior-year period as a result of incremental borrowings to fund the purchase of Charles Machine Works.</w:t>
      </w:r>
    </w:p>
    <w:p>
      <w:pPr>
        <w:spacing w:after="0" w:line="121"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auto"/>
        </w:rPr>
        <w:t>The effective tax rate for the first quarter was 18.6%, compared with 15.0% for the first quarter of fiscal 2019, driven by a lower tax benefit related to the excess tax deduction for share-based compensation. The adjusted effective tax rate for the first quarter was 21.0%, compared with 20.9% for the first quarter of fiscal 2019.</w:t>
      </w:r>
    </w:p>
    <w:p>
      <w:pPr>
        <w:spacing w:after="0" w:line="125"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Working capital at the end of the first quarter was up, primarily driven by the addition of Charles Machine Works. Also contributing to higher working capital were increased residential segment inventory to support the expanded mass retail channel, various new product introductions, and higher landscape contractor finished goods as the company managed field inventory ahead of the key spring selling season. Accounts receivable at the end of the first quarter were $321.2 million, up 42.4% from last year. Net inventories were $739.0 million, up 77.4% from last year. Accounts payable were $348.0 million, up 23.6% from the comparable period last year.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5, 2020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approximately 10:00 a.m. CST on March 5, 2020.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563C1"/>
        </w:rPr>
        <w:t>www.thetorocompany.com.</w:t>
      </w:r>
    </w:p>
    <w:p>
      <w:pPr>
        <w:sectPr>
          <w:pgSz w:w="11900" w:h="16838" w:orient="portrait"/>
          <w:cols w:equalWidth="0" w:num="1">
            <w:col w:w="11420"/>
          </w:cols>
          <w:pgMar w:left="240" w:top="517"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4 -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5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This press release and our related earnings call references certain adjusted non-GAAP financial measures and metrics, which are not calculated or presented in accordance with U.S. GAAP, as information supplemental and in addition to the most directly comparable financial measures and metrics calculated and presented in accordance with U.S. GAAP. The adjusted non-GAAP financial measures and metrics included within this press release and our related earnings call consist of gross profit, gross margin, operating earnings, operating earnings before income taxes, net earnings, net earnings per diluted share, and the effective tax rate, each as adjusted, as measures and metrics of our operating performance.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Toro Company uses these adjusted non-GAAP financial measures and metrics in making operating decisions because we believe these adjusted non-GAAP financial measures and metrics provide meaningful supplemental information regarding core operational performance and provide us with a better understanding of how to allocate resources to both ongoing and prospective business initiatives. Additionally, these adjusted non-GAAP financial measures and metrics facilitate our internal comparisons to both our historical operating results and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Further, we believe that these adjusted non-GAAP financial measures and metrics, when considered in conjunction with the financial measures prepared in accordance with U.S. GAAP, provide investors with useful supplemental financial information to better understand our core operational performance.</w:t>
      </w:r>
    </w:p>
    <w:p>
      <w:pPr>
        <w:spacing w:after="0" w:line="120"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Reconciliations of historical adjusted non-GAAP financial measures and metrics to the most comparable U.S. GAAP financial measures and metrics are included in the financial tables contained in this press release. These adjusted non-GAAP financial measures and metrics, however, should not be considered superior to, as a substitute for, or as an alternative to, and should be considered in conjunction with, the U.S. GAAP financial measures and metrics included within this press release and our related earnings call. These adjusted non-GAAP financial measures and metrics may differ from similar measures used by other companies.</w:t>
      </w:r>
    </w:p>
    <w:p>
      <w:pPr>
        <w:spacing w:after="0" w:line="12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The Toro Company cannot provide quantitative reconciliations of forward-looking adjusted non-GAAP diluted EPS guidance to projected U.S. GAAP diluted EPS guidance or the adjusted non-GAAP effective tax rate guidance to projected U.S. GAAP effective tax rate guidance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commodities, components, parts, and accessories, including steel, engines, hydraulics and resins; the effect of abnormal weather patterns, including unfavorable weather</w:t>
      </w:r>
    </w:p>
    <w:p>
      <w:pPr>
        <w:sectPr>
          <w:pgSz w:w="11900" w:h="16838" w:orient="portrait"/>
          <w:cols w:equalWidth="0" w:num="1">
            <w:col w:w="11420"/>
          </w:cols>
          <w:pgMar w:left="240" w:top="517"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5 -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conditions exacerbated by global climate change or otherwise; the effect of natural disasters and global pandemics; the level of growth or contraction in our key markets; customer, government and municipal revenue, budget and spending levels; loss of any substantial customer, including mass retailers and home centers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or trade regulation and/or industry activity; foreign currency exchange rate fluctuations; our relationships with our distribution channel partners, including the financial viability of our distributors and dealers; risks associated with acquisitions, including those related to our recent acquisitions of Charles Machine Works and Venture Products, Inc., such as delays or failure by us in achieving the net sales, earnings and cost or revenue synergies expected from acquisitions, delays and challenges in integrating the businesses, business disruptions due to acquisitions, impacts as a result of purchase accounting adjustments and unanticipated liabilities or exposures for which we have not been indemnified or may not recover; impairment of goodwill or other intangible assets; delays or failures in implementing, and unanticipated charges, as a result of, restructuring activities;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00"/>
          </w:cols>
          <w:pgMar w:left="240" w:top="517" w:right="2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6 -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01" w:lineRule="exact"/>
        <w:rPr>
          <w:sz w:val="20"/>
          <w:szCs w:val="20"/>
          <w:color w:val="auto"/>
        </w:rPr>
      </w:pPr>
    </w:p>
    <w:p>
      <w:pPr>
        <w:ind w:left="918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right"/>
              <w:ind w:right="275"/>
              <w:spacing w:after="0"/>
              <w:rPr>
                <w:sz w:val="20"/>
                <w:szCs w:val="20"/>
                <w:color w:val="auto"/>
              </w:rPr>
            </w:pPr>
            <w:r>
              <w:rPr>
                <w:rFonts w:ascii="Arial" w:cs="Arial" w:eastAsia="Arial" w:hAnsi="Arial"/>
                <w:sz w:val="17"/>
                <w:szCs w:val="17"/>
                <w:b w:val="1"/>
                <w:bCs w:val="1"/>
                <w:color w:val="auto"/>
                <w:w w:val="98"/>
              </w:rPr>
              <w:t>January 31,</w:t>
            </w:r>
          </w:p>
        </w:tc>
        <w:tc>
          <w:tcPr>
            <w:tcW w:w="240" w:type="dxa"/>
            <w:vAlign w:val="bottom"/>
          </w:tcPr>
          <w:p>
            <w:pPr>
              <w:spacing w:after="0"/>
              <w:rPr>
                <w:sz w:val="17"/>
                <w:szCs w:val="17"/>
                <w:color w:val="auto"/>
              </w:rPr>
            </w:pPr>
          </w:p>
        </w:tc>
        <w:tc>
          <w:tcPr>
            <w:tcW w:w="1240" w:type="dxa"/>
            <w:vAlign w:val="bottom"/>
          </w:tcPr>
          <w:p>
            <w:pPr>
              <w:jc w:val="right"/>
              <w:ind w:right="215"/>
              <w:spacing w:after="0"/>
              <w:rPr>
                <w:sz w:val="20"/>
                <w:szCs w:val="20"/>
                <w:color w:val="auto"/>
              </w:rPr>
            </w:pPr>
            <w:r>
              <w:rPr>
                <w:rFonts w:ascii="Arial" w:cs="Arial" w:eastAsia="Arial" w:hAnsi="Arial"/>
                <w:sz w:val="17"/>
                <w:szCs w:val="17"/>
                <w:b w:val="1"/>
                <w:bCs w:val="1"/>
                <w:color w:val="auto"/>
              </w:rPr>
              <w:t>February 1,</w:t>
            </w:r>
          </w:p>
        </w:tc>
      </w:tr>
      <w:tr>
        <w:trPr>
          <w:trHeight w:val="222"/>
        </w:trPr>
        <w:tc>
          <w:tcPr>
            <w:tcW w:w="6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2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r>
      <w:tr>
        <w:trPr>
          <w:trHeight w:val="31"/>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767,483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602,956</w:t>
            </w:r>
          </w:p>
        </w:tc>
      </w:tr>
      <w:tr>
        <w:trPr>
          <w:trHeight w:val="239"/>
        </w:trPr>
        <w:tc>
          <w:tcPr>
            <w:tcW w:w="690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174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288,088</w:t>
            </w:r>
          </w:p>
        </w:tc>
        <w:tc>
          <w:tcPr>
            <w:tcW w:w="24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215,617</w:t>
            </w:r>
          </w:p>
        </w:tc>
      </w:tr>
      <w:tr>
        <w:trPr>
          <w:trHeight w:val="31"/>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margin</w:t>
            </w:r>
          </w:p>
        </w:tc>
        <w:tc>
          <w:tcPr>
            <w:tcW w:w="1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39"/>
        </w:trPr>
        <w:tc>
          <w:tcPr>
            <w:tcW w:w="690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174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196,959</w:t>
            </w:r>
          </w:p>
        </w:tc>
        <w:tc>
          <w:tcPr>
            <w:tcW w:w="24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145,563</w:t>
            </w:r>
          </w:p>
        </w:tc>
      </w:tr>
      <w:tr>
        <w:trPr>
          <w:trHeight w:val="31"/>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earnings</w:t>
            </w:r>
          </w:p>
        </w:tc>
        <w:tc>
          <w:tcPr>
            <w:tcW w:w="1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91,129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70,054</w:t>
            </w:r>
          </w:p>
        </w:tc>
      </w:tr>
      <w:tr>
        <w:trPr>
          <w:trHeight w:val="239"/>
        </w:trPr>
        <w:tc>
          <w:tcPr>
            <w:tcW w:w="690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174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(8,156)</w:t>
            </w:r>
          </w:p>
        </w:tc>
        <w:tc>
          <w:tcPr>
            <w:tcW w:w="24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(4,742)</w:t>
            </w:r>
          </w:p>
        </w:tc>
      </w:tr>
      <w:tr>
        <w:trPr>
          <w:trHeight w:val="31"/>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1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3,166</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4,708</w:t>
            </w:r>
          </w:p>
        </w:tc>
      </w:tr>
      <w:tr>
        <w:trPr>
          <w:trHeight w:val="233"/>
        </w:trPr>
        <w:tc>
          <w:tcPr>
            <w:tcW w:w="69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Earnings before income taxes</w:t>
            </w:r>
          </w:p>
        </w:tc>
        <w:tc>
          <w:tcPr>
            <w:tcW w:w="17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86,139</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70,020</w:t>
            </w:r>
          </w:p>
        </w:tc>
      </w:tr>
      <w:tr>
        <w:trPr>
          <w:trHeight w:val="31"/>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1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17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16,048</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10,480</w:t>
            </w:r>
          </w:p>
        </w:tc>
      </w:tr>
      <w:tr>
        <w:trPr>
          <w:trHeight w:val="233"/>
        </w:trPr>
        <w:tc>
          <w:tcPr>
            <w:tcW w:w="69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Net earnings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70,091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59,540</w:t>
            </w:r>
          </w:p>
        </w:tc>
      </w:tr>
      <w:tr>
        <w:trPr>
          <w:trHeight w:val="71"/>
        </w:trPr>
        <w:tc>
          <w:tcPr>
            <w:tcW w:w="69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78"/>
        </w:trPr>
        <w:tc>
          <w:tcPr>
            <w:tcW w:w="69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r>
      <w:tr>
        <w:trPr>
          <w:trHeight w:val="233"/>
        </w:trPr>
        <w:tc>
          <w:tcPr>
            <w:tcW w:w="6900" w:type="dxa"/>
            <w:vAlign w:val="bottom"/>
          </w:tcPr>
          <w:p>
            <w:pPr>
              <w:ind w:left="40"/>
              <w:spacing w:after="0"/>
              <w:rPr>
                <w:sz w:val="20"/>
                <w:szCs w:val="20"/>
                <w:color w:val="auto"/>
              </w:rPr>
            </w:pPr>
            <w:r>
              <w:rPr>
                <w:rFonts w:ascii="Arial" w:cs="Arial" w:eastAsia="Arial" w:hAnsi="Arial"/>
                <w:sz w:val="17"/>
                <w:szCs w:val="17"/>
                <w:color w:val="auto"/>
              </w:rPr>
              <w:t>Basic net earnings per share of common stock</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0.65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0.56</w:t>
            </w:r>
          </w:p>
        </w:tc>
      </w:tr>
      <w:tr>
        <w:trPr>
          <w:trHeight w:val="31"/>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69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r>
      <w:tr>
        <w:trPr>
          <w:trHeight w:val="233"/>
        </w:trPr>
        <w:tc>
          <w:tcPr>
            <w:tcW w:w="6900" w:type="dxa"/>
            <w:vAlign w:val="bottom"/>
          </w:tcPr>
          <w:p>
            <w:pPr>
              <w:ind w:left="40"/>
              <w:spacing w:after="0"/>
              <w:rPr>
                <w:sz w:val="20"/>
                <w:szCs w:val="20"/>
                <w:color w:val="auto"/>
              </w:rPr>
            </w:pPr>
            <w:r>
              <w:rPr>
                <w:rFonts w:ascii="Arial" w:cs="Arial" w:eastAsia="Arial" w:hAnsi="Arial"/>
                <w:sz w:val="17"/>
                <w:szCs w:val="17"/>
                <w:color w:val="auto"/>
              </w:rPr>
              <w:t>Diluted net earnings per share of common stock</w:t>
            </w: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0.65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0.55</w:t>
            </w:r>
          </w:p>
        </w:tc>
      </w:tr>
      <w:tr>
        <w:trPr>
          <w:trHeight w:val="31"/>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69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9"/>
        </w:trPr>
        <w:tc>
          <w:tcPr>
            <w:tcW w:w="6900" w:type="dxa"/>
            <w:vAlign w:val="bottom"/>
          </w:tcPr>
          <w:p>
            <w:pPr>
              <w:ind w:left="4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74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107,423</w:t>
            </w:r>
          </w:p>
        </w:tc>
        <w:tc>
          <w:tcPr>
            <w:tcW w:w="24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106,258</w:t>
            </w:r>
          </w:p>
        </w:tc>
      </w:tr>
      <w:tr>
        <w:trPr>
          <w:trHeight w:val="31"/>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69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9"/>
        </w:trPr>
        <w:tc>
          <w:tcPr>
            <w:tcW w:w="6900" w:type="dxa"/>
            <w:vAlign w:val="bottom"/>
          </w:tcPr>
          <w:p>
            <w:pPr>
              <w:ind w:left="4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74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108,655</w:t>
            </w:r>
          </w:p>
        </w:tc>
        <w:tc>
          <w:tcPr>
            <w:tcW w:w="24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107,781</w:t>
            </w:r>
          </w:p>
        </w:tc>
      </w:tr>
      <w:tr>
        <w:trPr>
          <w:trHeight w:val="31"/>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74"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2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January 31,</w:t>
            </w:r>
          </w:p>
        </w:tc>
        <w:tc>
          <w:tcPr>
            <w:tcW w:w="240" w:type="dxa"/>
            <w:vAlign w:val="bottom"/>
          </w:tcPr>
          <w:p>
            <w:pPr>
              <w:spacing w:after="0"/>
              <w:rPr>
                <w:sz w:val="17"/>
                <w:szCs w:val="17"/>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February 1,</w:t>
            </w:r>
          </w:p>
        </w:tc>
      </w:tr>
      <w:tr>
        <w:trPr>
          <w:trHeight w:val="222"/>
        </w:trPr>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Segment Net Sales</w:t>
            </w:r>
          </w:p>
        </w:tc>
        <w:tc>
          <w:tcPr>
            <w:tcW w:w="6300" w:type="dxa"/>
            <w:vAlign w:val="bottom"/>
          </w:tcPr>
          <w:p>
            <w:pPr>
              <w:spacing w:after="0"/>
              <w:rPr>
                <w:sz w:val="19"/>
                <w:szCs w:val="19"/>
                <w:color w:val="auto"/>
              </w:rPr>
            </w:pPr>
          </w:p>
        </w:tc>
        <w:tc>
          <w:tcPr>
            <w:tcW w:w="1220" w:type="dxa"/>
            <w:vAlign w:val="bottom"/>
          </w:tcPr>
          <w:p>
            <w:pPr>
              <w:jc w:val="center"/>
              <w:ind w:right="115"/>
              <w:spacing w:after="0"/>
              <w:rPr>
                <w:sz w:val="20"/>
                <w:szCs w:val="20"/>
                <w:color w:val="auto"/>
              </w:rPr>
            </w:pPr>
            <w:r>
              <w:rPr>
                <w:rFonts w:ascii="Arial" w:cs="Arial" w:eastAsia="Arial" w:hAnsi="Arial"/>
                <w:sz w:val="17"/>
                <w:szCs w:val="17"/>
                <w:b w:val="1"/>
                <w:bCs w:val="1"/>
                <w:color w:val="auto"/>
                <w:w w:val="89"/>
              </w:rPr>
              <w:t>2020</w:t>
            </w:r>
          </w:p>
        </w:tc>
        <w:tc>
          <w:tcPr>
            <w:tcW w:w="240" w:type="dxa"/>
            <w:vAlign w:val="bottom"/>
          </w:tcPr>
          <w:p>
            <w:pPr>
              <w:spacing w:after="0"/>
              <w:rPr>
                <w:sz w:val="19"/>
                <w:szCs w:val="19"/>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2019</w:t>
            </w:r>
          </w:p>
        </w:tc>
      </w:tr>
      <w:tr>
        <w:trPr>
          <w:trHeight w:val="31"/>
        </w:trPr>
        <w:tc>
          <w:tcPr>
            <w:tcW w:w="2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6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594,721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455,006</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6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165,848</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145,158</w:t>
            </w:r>
          </w:p>
        </w:tc>
      </w:tr>
      <w:tr>
        <w:trPr>
          <w:trHeight w:val="31"/>
        </w:trPr>
        <w:tc>
          <w:tcPr>
            <w:tcW w:w="24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6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6,914</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2,792</w:t>
            </w:r>
          </w:p>
        </w:tc>
      </w:tr>
      <w:tr>
        <w:trPr>
          <w:trHeight w:val="233"/>
        </w:trPr>
        <w:tc>
          <w:tcPr>
            <w:tcW w:w="2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net sales*</w:t>
            </w:r>
          </w:p>
        </w:tc>
        <w:tc>
          <w:tcPr>
            <w:tcW w:w="6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767,483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602,956</w:t>
            </w:r>
          </w:p>
        </w:tc>
      </w:tr>
      <w:tr>
        <w:trPr>
          <w:trHeight w:val="31"/>
        </w:trPr>
        <w:tc>
          <w:tcPr>
            <w:tcW w:w="2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05"/>
        </w:trPr>
        <w:tc>
          <w:tcPr>
            <w:tcW w:w="24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1"/>
                <w:shd w:val="clear" w:color="auto" w:fill="CCEEFF"/>
              </w:rPr>
              <w:t>*Includes international net sales of:</w:t>
            </w:r>
          </w:p>
        </w:tc>
        <w:tc>
          <w:tcPr>
            <w:tcW w:w="6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175,835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141,545</w:t>
            </w:r>
          </w:p>
        </w:tc>
      </w:tr>
      <w:tr>
        <w:trPr>
          <w:trHeight w:val="368"/>
        </w:trPr>
        <w:tc>
          <w:tcPr>
            <w:tcW w:w="2460" w:type="dxa"/>
            <w:vAlign w:val="bottom"/>
            <w:tcBorders>
              <w:top w:val="single" w:sz="8" w:color="auto"/>
            </w:tcBorders>
          </w:tcPr>
          <w:p>
            <w:pPr>
              <w:spacing w:after="0"/>
              <w:rPr>
                <w:sz w:val="24"/>
                <w:szCs w:val="24"/>
                <w:color w:val="auto"/>
              </w:rPr>
            </w:pPr>
          </w:p>
        </w:tc>
        <w:tc>
          <w:tcPr>
            <w:tcW w:w="630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gridSpan w:val="3"/>
          </w:tcPr>
          <w:p>
            <w:pPr>
              <w:jc w:val="right"/>
              <w:ind w:right="535"/>
              <w:spacing w:after="0"/>
              <w:rPr>
                <w:sz w:val="20"/>
                <w:szCs w:val="20"/>
                <w:color w:val="auto"/>
              </w:rPr>
            </w:pPr>
            <w:r>
              <w:rPr>
                <w:rFonts w:ascii="Arial" w:cs="Arial" w:eastAsia="Arial" w:hAnsi="Arial"/>
                <w:sz w:val="17"/>
                <w:szCs w:val="17"/>
                <w:b w:val="1"/>
                <w:bCs w:val="1"/>
                <w:color w:val="auto"/>
              </w:rPr>
              <w:t>Three Months Ended</w:t>
            </w:r>
          </w:p>
        </w:tc>
      </w:tr>
      <w:tr>
        <w:trPr>
          <w:trHeight w:val="31"/>
        </w:trPr>
        <w:tc>
          <w:tcPr>
            <w:tcW w:w="2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9"/>
        </w:trPr>
        <w:tc>
          <w:tcPr>
            <w:tcW w:w="24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2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January 31,</w:t>
            </w:r>
          </w:p>
        </w:tc>
        <w:tc>
          <w:tcPr>
            <w:tcW w:w="240" w:type="dxa"/>
            <w:vAlign w:val="bottom"/>
          </w:tcPr>
          <w:p>
            <w:pPr>
              <w:spacing w:after="0"/>
              <w:rPr>
                <w:sz w:val="17"/>
                <w:szCs w:val="17"/>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February 1,</w:t>
            </w:r>
          </w:p>
        </w:tc>
      </w:tr>
      <w:tr>
        <w:trPr>
          <w:trHeight w:val="222"/>
        </w:trPr>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Segment Earnings (Loss)</w:t>
            </w:r>
          </w:p>
        </w:tc>
        <w:tc>
          <w:tcPr>
            <w:tcW w:w="6300" w:type="dxa"/>
            <w:vAlign w:val="bottom"/>
          </w:tcPr>
          <w:p>
            <w:pPr>
              <w:spacing w:after="0"/>
              <w:rPr>
                <w:sz w:val="19"/>
                <w:szCs w:val="19"/>
                <w:color w:val="auto"/>
              </w:rPr>
            </w:pPr>
          </w:p>
        </w:tc>
        <w:tc>
          <w:tcPr>
            <w:tcW w:w="1220" w:type="dxa"/>
            <w:vAlign w:val="bottom"/>
          </w:tcPr>
          <w:p>
            <w:pPr>
              <w:jc w:val="center"/>
              <w:ind w:right="115"/>
              <w:spacing w:after="0"/>
              <w:rPr>
                <w:sz w:val="20"/>
                <w:szCs w:val="20"/>
                <w:color w:val="auto"/>
              </w:rPr>
            </w:pPr>
            <w:r>
              <w:rPr>
                <w:rFonts w:ascii="Arial" w:cs="Arial" w:eastAsia="Arial" w:hAnsi="Arial"/>
                <w:sz w:val="17"/>
                <w:szCs w:val="17"/>
                <w:b w:val="1"/>
                <w:bCs w:val="1"/>
                <w:color w:val="auto"/>
                <w:w w:val="89"/>
              </w:rPr>
              <w:t>2020</w:t>
            </w:r>
          </w:p>
        </w:tc>
        <w:tc>
          <w:tcPr>
            <w:tcW w:w="240" w:type="dxa"/>
            <w:vAlign w:val="bottom"/>
          </w:tcPr>
          <w:p>
            <w:pPr>
              <w:spacing w:after="0"/>
              <w:rPr>
                <w:sz w:val="19"/>
                <w:szCs w:val="19"/>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2019</w:t>
            </w:r>
          </w:p>
        </w:tc>
      </w:tr>
      <w:tr>
        <w:trPr>
          <w:trHeight w:val="31"/>
        </w:trPr>
        <w:tc>
          <w:tcPr>
            <w:tcW w:w="2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6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102,474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87,978</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6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21,566</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13,072</w:t>
            </w:r>
          </w:p>
        </w:tc>
      </w:tr>
      <w:tr>
        <w:trPr>
          <w:trHeight w:val="31"/>
        </w:trPr>
        <w:tc>
          <w:tcPr>
            <w:tcW w:w="24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6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(37,901)</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(31,030)</w:t>
            </w:r>
          </w:p>
        </w:tc>
      </w:tr>
      <w:tr>
        <w:trPr>
          <w:trHeight w:val="233"/>
        </w:trPr>
        <w:tc>
          <w:tcPr>
            <w:tcW w:w="2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segment earnings</w:t>
            </w:r>
          </w:p>
        </w:tc>
        <w:tc>
          <w:tcPr>
            <w:tcW w:w="6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86,139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70,020</w:t>
            </w:r>
          </w:p>
        </w:tc>
      </w:tr>
      <w:tr>
        <w:trPr>
          <w:trHeight w:val="31"/>
        </w:trPr>
        <w:tc>
          <w:tcPr>
            <w:tcW w:w="2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17"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7 -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195"/>
              <w:spacing w:after="0"/>
              <w:rPr>
                <w:sz w:val="20"/>
                <w:szCs w:val="20"/>
                <w:color w:val="auto"/>
              </w:rPr>
            </w:pPr>
            <w:r>
              <w:rPr>
                <w:rFonts w:ascii="Arial" w:cs="Arial" w:eastAsia="Arial" w:hAnsi="Arial"/>
                <w:sz w:val="17"/>
                <w:szCs w:val="17"/>
                <w:b w:val="1"/>
                <w:bCs w:val="1"/>
                <w:color w:val="auto"/>
                <w:w w:val="96"/>
              </w:rPr>
              <w:t>October 31,</w:t>
            </w: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5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January 31, 2020</w:t>
            </w:r>
          </w:p>
        </w:tc>
        <w:tc>
          <w:tcPr>
            <w:tcW w:w="1460" w:type="dxa"/>
            <w:vAlign w:val="bottom"/>
            <w:gridSpan w:val="2"/>
          </w:tcPr>
          <w:p>
            <w:pPr>
              <w:jc w:val="right"/>
              <w:spacing w:after="0"/>
              <w:rPr>
                <w:sz w:val="20"/>
                <w:szCs w:val="20"/>
                <w:color w:val="auto"/>
              </w:rPr>
            </w:pPr>
            <w:r>
              <w:rPr>
                <w:rFonts w:ascii="Arial" w:cs="Arial" w:eastAsia="Arial" w:hAnsi="Arial"/>
                <w:sz w:val="17"/>
                <w:szCs w:val="17"/>
                <w:b w:val="1"/>
                <w:bCs w:val="1"/>
                <w:color w:val="auto"/>
              </w:rPr>
              <w:t>February 1, 2019</w:t>
            </w:r>
          </w:p>
        </w:tc>
        <w:tc>
          <w:tcPr>
            <w:tcW w:w="240" w:type="dxa"/>
            <w:vAlign w:val="bottom"/>
          </w:tcPr>
          <w:p>
            <w:pPr>
              <w:spacing w:after="0"/>
              <w:rPr>
                <w:sz w:val="19"/>
                <w:szCs w:val="19"/>
                <w:color w:val="auto"/>
              </w:rPr>
            </w:pPr>
          </w:p>
        </w:tc>
        <w:tc>
          <w:tcPr>
            <w:tcW w:w="1200" w:type="dxa"/>
            <w:vAlign w:val="bottom"/>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98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108,914</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249,965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151,828</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Receivables, net</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321,192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225,528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268,768</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Inventories, net</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738,960</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416,650</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651,663</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51,442</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41,789</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50,632</w:t>
            </w:r>
          </w:p>
        </w:tc>
      </w:tr>
      <w:tr>
        <w:trPr>
          <w:trHeight w:val="233"/>
        </w:trPr>
        <w:tc>
          <w:tcPr>
            <w:tcW w:w="40" w:type="dxa"/>
            <w:vAlign w:val="bottom"/>
            <w:tcBorders>
              <w:top w:val="single" w:sz="8" w:color="auto"/>
            </w:tcBorders>
          </w:tcPr>
          <w:p>
            <w:pPr>
              <w:spacing w:after="0"/>
              <w:rPr>
                <w:sz w:val="20"/>
                <w:szCs w:val="20"/>
                <w:color w:val="auto"/>
              </w:rPr>
            </w:pPr>
          </w:p>
        </w:tc>
        <w:tc>
          <w:tcPr>
            <w:tcW w:w="694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assets</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1,220,508</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933,932</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1,122,891</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Property, plant, and equipment, net</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431,253</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279,270</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437,317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362,136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227,091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Other intangible assets, net</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347,643</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104,017</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352,374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Right-of-use assets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73,137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Investment in finance affiliate</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25,455</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25,430</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24,147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6,161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39,589</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6,251</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Other assets</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25,316</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13,485</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25,314</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2,491,609</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1,622,814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98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LIABILITIES AND STOCKHOLDERS' EQUITY</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860" w:type="dxa"/>
            <w:vAlign w:val="bottom"/>
            <w:tcBorders>
              <w:top w:val="single" w:sz="8" w:color="auto"/>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Current portion of long-term debt</w:t>
            </w:r>
          </w:p>
        </w:tc>
        <w:tc>
          <w:tcPr>
            <w:tcW w:w="4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113,903</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79,914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348,003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281,526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319,230</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Accrued liabilities</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348,027</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283,452</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357,826</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Short-term lease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14,374</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0" w:type="dxa"/>
            <w:vAlign w:val="bottom"/>
            <w:tcBorders>
              <w:top w:val="single" w:sz="8" w:color="auto"/>
            </w:tcBorders>
          </w:tcPr>
          <w:p>
            <w:pPr>
              <w:spacing w:after="0"/>
              <w:rPr>
                <w:sz w:val="20"/>
                <w:szCs w:val="20"/>
                <w:color w:val="auto"/>
              </w:rPr>
            </w:pPr>
          </w:p>
        </w:tc>
        <w:tc>
          <w:tcPr>
            <w:tcW w:w="694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liabilities</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824,307</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564,978</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756,970</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Long-term debt, less current portion</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601,016</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312,551</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620,899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Long-term lease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62,015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980" w:type="dxa"/>
            <w:vAlign w:val="bottom"/>
            <w:gridSpan w:val="4"/>
          </w:tcPr>
          <w:p>
            <w:pPr>
              <w:ind w:left="40"/>
              <w:spacing w:after="0"/>
              <w:rPr>
                <w:sz w:val="20"/>
                <w:szCs w:val="20"/>
                <w:color w:val="auto"/>
              </w:rPr>
            </w:pPr>
            <w:r>
              <w:rPr>
                <w:rFonts w:ascii="Arial" w:cs="Arial" w:eastAsia="Arial" w:hAnsi="Arial"/>
                <w:sz w:val="17"/>
                <w:szCs w:val="17"/>
                <w:color w:val="auto"/>
              </w:rPr>
              <w:t>Deferred income taxes</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50,676</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1,410</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50,579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41,545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49,478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42,521</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940" w:type="dxa"/>
            <w:vAlign w:val="bottom"/>
            <w:gridSpan w:val="3"/>
          </w:tcPr>
          <w:p>
            <w:pPr>
              <w:ind w:left="140"/>
              <w:spacing w:after="0"/>
              <w:rPr>
                <w:sz w:val="20"/>
                <w:szCs w:val="20"/>
                <w:color w:val="auto"/>
              </w:rPr>
            </w:pPr>
            <w:r>
              <w:rPr>
                <w:rFonts w:ascii="Arial" w:cs="Arial" w:eastAsia="Arial" w:hAnsi="Arial"/>
                <w:sz w:val="17"/>
                <w:szCs w:val="17"/>
                <w:color w:val="auto"/>
                <w:w w:val="94"/>
              </w:rPr>
              <w:t>Preferred stock, par value $1.00 per share, authorized 1,000,000 voting and 850,000 non-voting</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940" w:type="dxa"/>
            <w:vAlign w:val="bottom"/>
            <w:gridSpan w:val="3"/>
          </w:tcPr>
          <w:p>
            <w:pPr>
              <w:ind w:left="140"/>
              <w:spacing w:after="0"/>
              <w:rPr>
                <w:sz w:val="20"/>
                <w:szCs w:val="20"/>
                <w:color w:val="auto"/>
              </w:rPr>
            </w:pPr>
            <w:r>
              <w:rPr>
                <w:rFonts w:ascii="Arial" w:cs="Arial" w:eastAsia="Arial" w:hAnsi="Arial"/>
                <w:sz w:val="17"/>
                <w:szCs w:val="17"/>
                <w:color w:val="auto"/>
              </w:rPr>
              <w:t>shares, none issued and outstanding</w:t>
            </w:r>
          </w:p>
        </w:tc>
        <w:tc>
          <w:tcPr>
            <w:tcW w:w="46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40" w:type="dxa"/>
            <w:vAlign w:val="bottom"/>
            <w:shd w:val="clear" w:color="auto" w:fill="CCEEFF"/>
          </w:tcPr>
          <w:p>
            <w:pPr>
              <w:spacing w:after="0"/>
              <w:rPr>
                <w:sz w:val="18"/>
                <w:szCs w:val="18"/>
                <w:color w:val="auto"/>
              </w:rPr>
            </w:pP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1"/>
              </w:rPr>
              <w:t>Common stock, par value $1.00 per share, authorized 175,000,000 shares; issued and outstanding</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69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6"/>
              </w:rPr>
              <w:t>106,977,274 shares as of January 31, 2020, 105,746,538 shares as of February 1, 2019, and</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40" w:type="dxa"/>
            <w:vAlign w:val="bottom"/>
            <w:tcBorders>
              <w:bottom w:val="single" w:sz="8" w:color="CCEEFF"/>
            </w:tcBorders>
            <w:shd w:val="clear" w:color="auto" w:fill="CCEEFF"/>
          </w:tcPr>
          <w:p>
            <w:pPr>
              <w:spacing w:after="0"/>
              <w:rPr>
                <w:sz w:val="19"/>
                <w:szCs w:val="19"/>
                <w:color w:val="auto"/>
              </w:rPr>
            </w:pPr>
          </w:p>
        </w:tc>
        <w:tc>
          <w:tcPr>
            <w:tcW w:w="6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106,742,082 shares as of October 31, 2019</w:t>
            </w:r>
          </w:p>
        </w:tc>
        <w:tc>
          <w:tcPr>
            <w:tcW w:w="4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106,977</w:t>
            </w: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105,747</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106,742</w:t>
            </w:r>
          </w:p>
        </w:tc>
      </w:tr>
      <w:tr>
        <w:trPr>
          <w:trHeight w:val="239"/>
        </w:trPr>
        <w:tc>
          <w:tcPr>
            <w:tcW w:w="40" w:type="dxa"/>
            <w:vAlign w:val="bottom"/>
          </w:tcPr>
          <w:p>
            <w:pPr>
              <w:spacing w:after="0"/>
              <w:rPr>
                <w:sz w:val="20"/>
                <w:szCs w:val="20"/>
                <w:color w:val="auto"/>
              </w:rPr>
            </w:pPr>
          </w:p>
        </w:tc>
        <w:tc>
          <w:tcPr>
            <w:tcW w:w="6940" w:type="dxa"/>
            <w:vAlign w:val="bottom"/>
            <w:gridSpan w:val="3"/>
          </w:tcPr>
          <w:p>
            <w:pPr>
              <w:ind w:left="140"/>
              <w:spacing w:after="0"/>
              <w:rPr>
                <w:sz w:val="20"/>
                <w:szCs w:val="20"/>
                <w:color w:val="auto"/>
              </w:rPr>
            </w:pPr>
            <w:r>
              <w:rPr>
                <w:rFonts w:ascii="Arial" w:cs="Arial" w:eastAsia="Arial" w:hAnsi="Arial"/>
                <w:sz w:val="17"/>
                <w:szCs w:val="17"/>
                <w:color w:val="auto"/>
              </w:rPr>
              <w:t>Retained earnings</w:t>
            </w:r>
          </w:p>
        </w:tc>
        <w:tc>
          <w:tcPr>
            <w:tcW w:w="46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837,194</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613,165</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784,885</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(24,515)</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r>
      <w:tr>
        <w:trPr>
          <w:trHeight w:val="233"/>
        </w:trPr>
        <w:tc>
          <w:tcPr>
            <w:tcW w:w="40" w:type="dxa"/>
            <w:vAlign w:val="bottom"/>
            <w:tcBorders>
              <w:top w:val="single" w:sz="8" w:color="auto"/>
            </w:tcBorders>
          </w:tcPr>
          <w:p>
            <w:pPr>
              <w:spacing w:after="0"/>
              <w:rPr>
                <w:sz w:val="20"/>
                <w:szCs w:val="20"/>
                <w:color w:val="auto"/>
              </w:rPr>
            </w:pPr>
          </w:p>
        </w:tc>
        <w:tc>
          <w:tcPr>
            <w:tcW w:w="6940" w:type="dxa"/>
            <w:vAlign w:val="bottom"/>
            <w:tcBorders>
              <w:top w:val="single" w:sz="8" w:color="auto"/>
            </w:tcBorders>
            <w:gridSpan w:val="3"/>
          </w:tcPr>
          <w:p>
            <w:pPr>
              <w:ind w:left="240"/>
              <w:spacing w:after="0"/>
              <w:rPr>
                <w:sz w:val="20"/>
                <w:szCs w:val="20"/>
                <w:color w:val="auto"/>
              </w:rPr>
            </w:pPr>
            <w:r>
              <w:rPr>
                <w:rFonts w:ascii="Arial" w:cs="Arial" w:eastAsia="Arial" w:hAnsi="Arial"/>
                <w:sz w:val="17"/>
                <w:szCs w:val="17"/>
                <w:color w:val="auto"/>
              </w:rPr>
              <w:t>Total stockholders’ equity</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912,050</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694,397</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859,578</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Total liabilities and stockholders’ equity</w:t>
            </w:r>
          </w:p>
        </w:tc>
        <w:tc>
          <w:tcPr>
            <w:tcW w:w="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2,491,609</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1,622,814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17"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8 -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52"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jc w:val="right"/>
              <w:ind w:right="215"/>
              <w:spacing w:after="0"/>
              <w:rPr>
                <w:sz w:val="20"/>
                <w:szCs w:val="20"/>
                <w:color w:val="auto"/>
              </w:rPr>
            </w:pPr>
            <w:r>
              <w:rPr>
                <w:rFonts w:ascii="Arial" w:cs="Arial" w:eastAsia="Arial" w:hAnsi="Arial"/>
                <w:sz w:val="17"/>
                <w:szCs w:val="17"/>
                <w:b w:val="1"/>
                <w:bCs w:val="1"/>
                <w:color w:val="auto"/>
                <w:w w:val="96"/>
              </w:rPr>
              <w:t>January 31,</w:t>
            </w:r>
          </w:p>
        </w:tc>
        <w:tc>
          <w:tcPr>
            <w:tcW w:w="240" w:type="dxa"/>
            <w:vAlign w:val="bottom"/>
          </w:tcPr>
          <w:p>
            <w:pPr>
              <w:spacing w:after="0"/>
              <w:rPr>
                <w:sz w:val="17"/>
                <w:szCs w:val="17"/>
                <w:color w:val="auto"/>
              </w:rPr>
            </w:pPr>
          </w:p>
        </w:tc>
        <w:tc>
          <w:tcPr>
            <w:tcW w:w="1200" w:type="dxa"/>
            <w:vAlign w:val="bottom"/>
          </w:tcPr>
          <w:p>
            <w:pPr>
              <w:jc w:val="right"/>
              <w:ind w:right="195"/>
              <w:spacing w:after="0"/>
              <w:rPr>
                <w:sz w:val="20"/>
                <w:szCs w:val="20"/>
                <w:color w:val="auto"/>
              </w:rPr>
            </w:pPr>
            <w:r>
              <w:rPr>
                <w:rFonts w:ascii="Arial" w:cs="Arial" w:eastAsia="Arial" w:hAnsi="Arial"/>
                <w:sz w:val="17"/>
                <w:szCs w:val="17"/>
                <w:b w:val="1"/>
                <w:bCs w:val="1"/>
                <w:color w:val="auto"/>
                <w:w w:val="98"/>
              </w:rPr>
              <w:t>February 1,</w:t>
            </w:r>
          </w:p>
        </w:tc>
      </w:tr>
      <w:tr>
        <w:trPr>
          <w:trHeight w:val="222"/>
        </w:trPr>
        <w:tc>
          <w:tcPr>
            <w:tcW w:w="7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9"/>
                <w:szCs w:val="19"/>
                <w:color w:val="auto"/>
              </w:rPr>
            </w:pPr>
          </w:p>
        </w:tc>
        <w:tc>
          <w:tcPr>
            <w:tcW w:w="1200" w:type="dxa"/>
            <w:vAlign w:val="bottom"/>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31"/>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746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70,091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59,540</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earnings to net cash (used in) provided by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Non-cash income from finance affiliate</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(2,429)</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Distributions from (contributions to) finance affiliate, net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Depreciation of property, plant and equipment</w:t>
            </w:r>
          </w:p>
        </w:tc>
        <w:tc>
          <w:tcPr>
            <w:tcW w:w="1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18,089</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13,670</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intangible assets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4,714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1,913</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Fair value step-up adjustment to acquired inventory</w:t>
            </w:r>
          </w:p>
        </w:tc>
        <w:tc>
          <w:tcPr>
            <w:tcW w:w="1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470</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3,960</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3,924</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141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(1,225)</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175</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60" w:type="dxa"/>
            <w:vAlign w:val="bottom"/>
          </w:tcPr>
          <w:p>
            <w:pPr>
              <w:ind w:left="40"/>
              <w:spacing w:after="0"/>
              <w:rPr>
                <w:sz w:val="20"/>
                <w:szCs w:val="20"/>
                <w:color w:val="auto"/>
              </w:rPr>
            </w:pPr>
            <w:r>
              <w:rPr>
                <w:rFonts w:ascii="Arial" w:cs="Arial" w:eastAsia="Arial" w:hAnsi="Arial"/>
                <w:sz w:val="17"/>
                <w:szCs w:val="17"/>
                <w:color w:val="auto"/>
              </w:rPr>
              <w:t>Changes in operating assets and liabilities, net of effect of acquisitions:</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Receivables, net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(53,044)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(31,331)</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(88,557)</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(52,380)</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Prepaid expenses and other assets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237</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8,119</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21,734</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26,643</w:t>
            </w:r>
          </w:p>
        </w:tc>
      </w:tr>
      <w:tr>
        <w:trPr>
          <w:trHeight w:val="31"/>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provided by operating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(23,299)</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25,985</w:t>
            </w:r>
          </w:p>
        </w:tc>
      </w:tr>
      <w:tr>
        <w:trPr>
          <w:trHeight w:val="169"/>
        </w:trPr>
        <w:tc>
          <w:tcPr>
            <w:tcW w:w="7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Purchases of property, plant and equipment</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(11,821)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(14,180)</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asset disposals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Investment in unconsolidated entities</w:t>
            </w:r>
          </w:p>
        </w:tc>
        <w:tc>
          <w:tcPr>
            <w:tcW w:w="1300" w:type="dxa"/>
            <w:vAlign w:val="bottom"/>
          </w:tcPr>
          <w:p>
            <w:pPr>
              <w:spacing w:after="0"/>
              <w:rPr>
                <w:sz w:val="20"/>
                <w:szCs w:val="20"/>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Acquisitions, net of cash acquired</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(12,498)</w:t>
            </w:r>
          </w:p>
        </w:tc>
      </w:tr>
      <w:tr>
        <w:trPr>
          <w:trHeight w:val="233"/>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rPr>
              <w:t>Net cash used in investing activities</w:t>
            </w:r>
          </w:p>
        </w:tc>
        <w:tc>
          <w:tcPr>
            <w:tcW w:w="1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(11,796)</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(26,825)</w:t>
            </w:r>
          </w:p>
        </w:tc>
      </w:tr>
      <w:tr>
        <w:trPr>
          <w:trHeight w:val="31"/>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7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9"/>
        </w:trPr>
        <w:tc>
          <w:tcPr>
            <w:tcW w:w="746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Borrowings under debt arrangements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82,025</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Repayments under debt arrangements</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(68,025)</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6,710</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7,569</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Payments of withholding taxes for stock awards</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(1,361)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(1,872)</w:t>
            </w:r>
          </w:p>
        </w:tc>
      </w:tr>
      <w:tr>
        <w:trPr>
          <w:trHeight w:val="31"/>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Toro common stock</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(20,043)</w:t>
            </w:r>
          </w:p>
        </w:tc>
      </w:tr>
      <w:tr>
        <w:trPr>
          <w:trHeight w:val="239"/>
        </w:trPr>
        <w:tc>
          <w:tcPr>
            <w:tcW w:w="7460" w:type="dxa"/>
            <w:vAlign w:val="bottom"/>
          </w:tcPr>
          <w:p>
            <w:pPr>
              <w:ind w:left="180"/>
              <w:spacing w:after="0"/>
              <w:rPr>
                <w:sz w:val="20"/>
                <w:szCs w:val="20"/>
                <w:color w:val="auto"/>
              </w:rPr>
            </w:pPr>
            <w:r>
              <w:rPr>
                <w:rFonts w:ascii="Arial" w:cs="Arial" w:eastAsia="Arial" w:hAnsi="Arial"/>
                <w:sz w:val="17"/>
                <w:szCs w:val="17"/>
                <w:color w:val="auto"/>
              </w:rPr>
              <w:t>Dividends paid on Toro common stock</w:t>
            </w:r>
          </w:p>
        </w:tc>
        <w:tc>
          <w:tcPr>
            <w:tcW w:w="1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(26,856)</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(23,923)</w:t>
            </w:r>
          </w:p>
        </w:tc>
      </w:tr>
      <w:tr>
        <w:trPr>
          <w:trHeight w:val="31"/>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financing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(7,507)</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(38,269)</w:t>
            </w:r>
          </w:p>
        </w:tc>
      </w:tr>
      <w:tr>
        <w:trPr>
          <w:trHeight w:val="169"/>
        </w:trPr>
        <w:tc>
          <w:tcPr>
            <w:tcW w:w="7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169"/>
        </w:trPr>
        <w:tc>
          <w:tcPr>
            <w:tcW w:w="7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 cash and cash equivalents</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(42,914)</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(39,159)</w:t>
            </w:r>
          </w:p>
        </w:tc>
      </w:tr>
      <w:tr>
        <w:trPr>
          <w:trHeight w:val="233"/>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151,828</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289,124</w:t>
            </w:r>
          </w:p>
        </w:tc>
      </w:tr>
      <w:tr>
        <w:trPr>
          <w:trHeight w:val="31"/>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as of the end of the fiscal period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108,914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249,965</w:t>
            </w:r>
          </w:p>
        </w:tc>
      </w:tr>
      <w:tr>
        <w:trPr>
          <w:trHeight w:val="20"/>
        </w:trPr>
        <w:tc>
          <w:tcPr>
            <w:tcW w:w="7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17"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9 -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Reconciliation of Adjusted Non-GAAP Financial Measures and Metrics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provided adjusted non-GAAP financial measures and metrics, which are not calculated or presented in accordance with accounting principles generally accepted in the United States ("U.S. GAAP"), as information supplemental and in addition to the most directly comparable financial measures and metrics presented in the accompanying press release that are calculated and presented in accordance with U.S. GAAP. The company uses these adjusted non-GAAP financial measures and metrics in making operating decisions because the company believes these adjusted non-GAAP financial measures and metrics provide meaningful supplemental information regarding the company's core operational performance and provide the company with a better understanding of how to allocate resources to both ongoing and prospective business initiatives. Additionally, these adjusted non-GAAP financial measures and metrics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believes that such adjusted non-GAAP financial measures and metrics, when considered in conjunction with the company's financial measures and metrics prepared in accordance with U.S. GAAP, provide investors with useful supplemental financial information to better understand the company's core operational performance. Such adjusted non-GAAP financial measures and metrics should not be considered superior to, as a substitute for, or as an alternative to, and should be considered in conjunction with, the most directly comparable U.S. GAAP financial measures and metrics presented in the accompanying press release. The adjusted non-GAAP financial measures and metrics presented in the accompanying press release may differ from similar measures and metrics used by other companies.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a reconciliation of financial measures and metrics calculated and reported in accordance with U.S. GAAP to the most directly comparable adjusted non-GAAP financial measures and metrics included within the accompanying press release for the three month periods ended January 31, 2020 and February 1, 2019:</w:t>
      </w:r>
    </w:p>
    <w:p>
      <w:pPr>
        <w:spacing w:after="0" w:line="347" w:lineRule="exact"/>
        <w:rPr>
          <w:sz w:val="20"/>
          <w:szCs w:val="20"/>
          <w:color w:val="auto"/>
        </w:rPr>
      </w:pPr>
    </w:p>
    <w:p>
      <w:pPr>
        <w:ind w:left="918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19"/>
                <w:szCs w:val="19"/>
                <w:color w:val="auto"/>
              </w:rPr>
            </w:pPr>
          </w:p>
        </w:tc>
        <w:tc>
          <w:tcPr>
            <w:tcW w:w="39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January 31, 2020</w:t>
            </w:r>
          </w:p>
        </w:tc>
        <w:tc>
          <w:tcPr>
            <w:tcW w:w="14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February 1, 2019</w:t>
            </w:r>
          </w:p>
        </w:tc>
      </w:tr>
      <w:tr>
        <w:trPr>
          <w:trHeight w:val="31"/>
        </w:trPr>
        <w:tc>
          <w:tcPr>
            <w:tcW w:w="6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288,088</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215,617</w:t>
            </w:r>
          </w:p>
        </w:tc>
      </w:tr>
      <w:tr>
        <w:trPr>
          <w:trHeight w:val="270"/>
        </w:trPr>
        <w:tc>
          <w:tcPr>
            <w:tcW w:w="60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470</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gross profit</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288,558</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215,617</w:t>
            </w:r>
          </w:p>
        </w:tc>
      </w:tr>
      <w:tr>
        <w:trPr>
          <w:trHeight w:val="156"/>
        </w:trPr>
        <w:tc>
          <w:tcPr>
            <w:tcW w:w="6000" w:type="dxa"/>
            <w:vAlign w:val="bottom"/>
            <w:tcBorders>
              <w:top w:val="single" w:sz="8" w:color="auto"/>
              <w:bottom w:val="single" w:sz="8" w:color="auto"/>
            </w:tcBorders>
          </w:tcPr>
          <w:p>
            <w:pPr>
              <w:spacing w:after="0"/>
              <w:rPr>
                <w:sz w:val="13"/>
                <w:szCs w:val="13"/>
                <w:color w:val="auto"/>
              </w:rPr>
            </w:pPr>
          </w:p>
        </w:tc>
        <w:tc>
          <w:tcPr>
            <w:tcW w:w="28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2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70"/>
        </w:trPr>
        <w:tc>
          <w:tcPr>
            <w:tcW w:w="60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gross margin</w:t>
            </w:r>
          </w:p>
        </w:tc>
        <w:tc>
          <w:tcPr>
            <w:tcW w:w="28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37.6%</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156"/>
        </w:trPr>
        <w:tc>
          <w:tcPr>
            <w:tcW w:w="6000" w:type="dxa"/>
            <w:vAlign w:val="bottom"/>
            <w:tcBorders>
              <w:top w:val="single" w:sz="8" w:color="auto"/>
              <w:bottom w:val="single" w:sz="8" w:color="auto"/>
            </w:tcBorders>
          </w:tcPr>
          <w:p>
            <w:pPr>
              <w:spacing w:after="0"/>
              <w:rPr>
                <w:sz w:val="13"/>
                <w:szCs w:val="13"/>
                <w:color w:val="auto"/>
              </w:rPr>
            </w:pPr>
          </w:p>
        </w:tc>
        <w:tc>
          <w:tcPr>
            <w:tcW w:w="28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r>
      <w:tr>
        <w:trPr>
          <w:trHeight w:val="233"/>
        </w:trPr>
        <w:tc>
          <w:tcPr>
            <w:tcW w:w="6000" w:type="dxa"/>
            <w:vAlign w:val="bottom"/>
          </w:tcPr>
          <w:p>
            <w:pPr>
              <w:ind w:left="40"/>
              <w:spacing w:after="0"/>
              <w:rPr>
                <w:sz w:val="20"/>
                <w:szCs w:val="20"/>
                <w:color w:val="auto"/>
              </w:rPr>
            </w:pPr>
            <w:r>
              <w:rPr>
                <w:rFonts w:ascii="Arial" w:cs="Arial" w:eastAsia="Arial" w:hAnsi="Arial"/>
                <w:sz w:val="17"/>
                <w:szCs w:val="17"/>
                <w:color w:val="auto"/>
              </w:rPr>
              <w:t>Operating earnings</w:t>
            </w:r>
          </w:p>
        </w:tc>
        <w:tc>
          <w:tcPr>
            <w:tcW w:w="28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91,129</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70,054</w:t>
            </w:r>
          </w:p>
        </w:tc>
      </w:tr>
      <w:tr>
        <w:trPr>
          <w:trHeight w:val="31"/>
        </w:trPr>
        <w:tc>
          <w:tcPr>
            <w:tcW w:w="6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0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1,647</w:t>
            </w:r>
          </w:p>
        </w:tc>
      </w:tr>
      <w:tr>
        <w:trPr>
          <w:trHeight w:val="233"/>
        </w:trPr>
        <w:tc>
          <w:tcPr>
            <w:tcW w:w="6000" w:type="dxa"/>
            <w:vAlign w:val="bottom"/>
          </w:tcPr>
          <w:p>
            <w:pPr>
              <w:ind w:left="40"/>
              <w:spacing w:after="0"/>
              <w:rPr>
                <w:sz w:val="20"/>
                <w:szCs w:val="20"/>
                <w:color w:val="auto"/>
              </w:rPr>
            </w:pPr>
            <w:r>
              <w:rPr>
                <w:rFonts w:ascii="Arial" w:cs="Arial" w:eastAsia="Arial" w:hAnsi="Arial"/>
                <w:sz w:val="17"/>
                <w:szCs w:val="17"/>
                <w:color w:val="auto"/>
              </w:rPr>
              <w:t>Adjusted non-GAAP operating earnings</w:t>
            </w:r>
          </w:p>
        </w:tc>
        <w:tc>
          <w:tcPr>
            <w:tcW w:w="28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93,147</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71,701</w:t>
            </w:r>
          </w:p>
        </w:tc>
      </w:tr>
      <w:tr>
        <w:trPr>
          <w:trHeight w:val="31"/>
        </w:trPr>
        <w:tc>
          <w:tcPr>
            <w:tcW w:w="60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6"/>
        </w:trPr>
        <w:tc>
          <w:tcPr>
            <w:tcW w:w="60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before income taxes</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86,139</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70,020</w:t>
            </w:r>
          </w:p>
        </w:tc>
      </w:tr>
      <w:tr>
        <w:trPr>
          <w:trHeight w:val="270"/>
        </w:trPr>
        <w:tc>
          <w:tcPr>
            <w:tcW w:w="60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1,647</w:t>
            </w: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earnings before income taxes</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88,157</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71,667</w:t>
            </w:r>
          </w:p>
        </w:tc>
      </w:tr>
      <w:tr>
        <w:trPr>
          <w:trHeight w:val="156"/>
        </w:trPr>
        <w:tc>
          <w:tcPr>
            <w:tcW w:w="6000" w:type="dxa"/>
            <w:vAlign w:val="bottom"/>
            <w:tcBorders>
              <w:top w:val="single" w:sz="8" w:color="auto"/>
              <w:bottom w:val="single" w:sz="8" w:color="auto"/>
            </w:tcBorders>
          </w:tcPr>
          <w:p>
            <w:pPr>
              <w:spacing w:after="0"/>
              <w:rPr>
                <w:sz w:val="13"/>
                <w:szCs w:val="13"/>
                <w:color w:val="auto"/>
              </w:rPr>
            </w:pPr>
          </w:p>
        </w:tc>
        <w:tc>
          <w:tcPr>
            <w:tcW w:w="28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r>
      <w:tr>
        <w:trPr>
          <w:trHeight w:val="233"/>
        </w:trPr>
        <w:tc>
          <w:tcPr>
            <w:tcW w:w="600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28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70,091</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59,540</w:t>
            </w:r>
          </w:p>
        </w:tc>
      </w:tr>
      <w:tr>
        <w:trPr>
          <w:trHeight w:val="31"/>
        </w:trPr>
        <w:tc>
          <w:tcPr>
            <w:tcW w:w="6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0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1,633</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1,510</w:t>
            </w:r>
          </w:p>
        </w:tc>
      </w:tr>
      <w:tr>
        <w:trPr>
          <w:trHeight w:val="270"/>
        </w:trPr>
        <w:tc>
          <w:tcPr>
            <w:tcW w:w="60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28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(2,035)</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(4,361)</w:t>
            </w: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net earnings</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69,689</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56,689</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0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33"/>
        </w:trPr>
        <w:tc>
          <w:tcPr>
            <w:tcW w:w="6000" w:type="dxa"/>
            <w:vAlign w:val="bottom"/>
          </w:tcPr>
          <w:p>
            <w:pPr>
              <w:ind w:left="40"/>
              <w:spacing w:after="0"/>
              <w:rPr>
                <w:sz w:val="20"/>
                <w:szCs w:val="20"/>
                <w:color w:val="auto"/>
              </w:rPr>
            </w:pPr>
            <w:r>
              <w:rPr>
                <w:rFonts w:ascii="Arial" w:cs="Arial" w:eastAsia="Arial" w:hAnsi="Arial"/>
                <w:sz w:val="17"/>
                <w:szCs w:val="17"/>
                <w:color w:val="auto"/>
              </w:rPr>
              <w:t>Diluted EPS</w:t>
            </w:r>
          </w:p>
        </w:tc>
        <w:tc>
          <w:tcPr>
            <w:tcW w:w="28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0.65</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0.55</w:t>
            </w:r>
          </w:p>
        </w:tc>
      </w:tr>
      <w:tr>
        <w:trPr>
          <w:trHeight w:val="31"/>
        </w:trPr>
        <w:tc>
          <w:tcPr>
            <w:tcW w:w="6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0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8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0.01</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0.02</w:t>
            </w:r>
          </w:p>
        </w:tc>
      </w:tr>
      <w:tr>
        <w:trPr>
          <w:trHeight w:val="270"/>
        </w:trPr>
        <w:tc>
          <w:tcPr>
            <w:tcW w:w="60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28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(0.02)</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(0.04)</w:t>
            </w: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diluted EPS</w:t>
            </w:r>
          </w:p>
        </w:tc>
        <w:tc>
          <w:tcPr>
            <w:tcW w:w="28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0.64</w:t>
            </w:r>
          </w:p>
        </w:tc>
        <w:tc>
          <w:tcPr>
            <w:tcW w:w="4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0.53</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17"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10 - The Toro Company Reports First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916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spacing w:after="0"/>
              <w:rPr>
                <w:sz w:val="19"/>
                <w:szCs w:val="19"/>
                <w:color w:val="auto"/>
              </w:rPr>
            </w:pPr>
          </w:p>
        </w:tc>
        <w:tc>
          <w:tcPr>
            <w:tcW w:w="4180" w:type="dxa"/>
            <w:vAlign w:val="bottom"/>
          </w:tcPr>
          <w:p>
            <w:pPr>
              <w:jc w:val="right"/>
              <w:ind w:right="95"/>
              <w:spacing w:after="0"/>
              <w:rPr>
                <w:sz w:val="20"/>
                <w:szCs w:val="20"/>
                <w:color w:val="auto"/>
              </w:rPr>
            </w:pPr>
            <w:r>
              <w:rPr>
                <w:rFonts w:ascii="Arial" w:cs="Arial" w:eastAsia="Arial" w:hAnsi="Arial"/>
                <w:sz w:val="17"/>
                <w:szCs w:val="17"/>
                <w:b w:val="1"/>
                <w:bCs w:val="1"/>
                <w:color w:val="auto"/>
              </w:rPr>
              <w:t>January 31, 2020</w:t>
            </w:r>
          </w:p>
        </w:tc>
        <w:tc>
          <w:tcPr>
            <w:tcW w:w="148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February 1, 2019</w:t>
            </w:r>
          </w:p>
        </w:tc>
      </w:tr>
      <w:tr>
        <w:trPr>
          <w:trHeight w:val="31"/>
        </w:trPr>
        <w:tc>
          <w:tcPr>
            <w:tcW w:w="5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Effective tax rate</w:t>
            </w:r>
          </w:p>
        </w:tc>
        <w:tc>
          <w:tcPr>
            <w:tcW w:w="4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r>
      <w:tr>
        <w:trPr>
          <w:trHeight w:val="270"/>
        </w:trPr>
        <w:tc>
          <w:tcPr>
            <w:tcW w:w="576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4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0"/>
        </w:trPr>
        <w:tc>
          <w:tcPr>
            <w:tcW w:w="576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4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6.2 %</w:t>
            </w:r>
          </w:p>
        </w:tc>
      </w:tr>
      <w:tr>
        <w:trPr>
          <w:trHeight w:val="233"/>
        </w:trPr>
        <w:tc>
          <w:tcPr>
            <w:tcW w:w="5760" w:type="dxa"/>
            <w:vAlign w:val="bottom"/>
          </w:tcPr>
          <w:p>
            <w:pPr>
              <w:ind w:left="40"/>
              <w:spacing w:after="0"/>
              <w:rPr>
                <w:sz w:val="20"/>
                <w:szCs w:val="20"/>
                <w:color w:val="auto"/>
              </w:rPr>
            </w:pPr>
            <w:r>
              <w:rPr>
                <w:rFonts w:ascii="Arial" w:cs="Arial" w:eastAsia="Arial" w:hAnsi="Arial"/>
                <w:sz w:val="17"/>
                <w:szCs w:val="17"/>
                <w:color w:val="auto"/>
              </w:rPr>
              <w:t>Adjusted non-GAAP effective tax rate</w:t>
            </w:r>
          </w:p>
        </w:tc>
        <w:tc>
          <w:tcPr>
            <w:tcW w:w="4180" w:type="dxa"/>
            <w:vAlign w:val="bottom"/>
          </w:tcPr>
          <w:p>
            <w:pPr>
              <w:jc w:val="right"/>
              <w:ind w:right="55"/>
              <w:spacing w:after="0"/>
              <w:rPr>
                <w:sz w:val="20"/>
                <w:szCs w:val="20"/>
                <w:color w:val="auto"/>
              </w:rPr>
            </w:pPr>
            <w:r>
              <w:rPr>
                <w:rFonts w:ascii="Arial" w:cs="Arial" w:eastAsia="Arial" w:hAnsi="Arial"/>
                <w:sz w:val="17"/>
                <w:szCs w:val="17"/>
                <w:color w:val="auto"/>
              </w:rPr>
              <w:t>21.0%</w:t>
            </w:r>
          </w:p>
        </w:tc>
        <w:tc>
          <w:tcPr>
            <w:tcW w:w="1480" w:type="dxa"/>
            <w:vAlign w:val="bottom"/>
          </w:tcPr>
          <w:p>
            <w:pPr>
              <w:jc w:val="right"/>
              <w:spacing w:after="0"/>
              <w:rPr>
                <w:sz w:val="20"/>
                <w:szCs w:val="20"/>
                <w:color w:val="auto"/>
              </w:rPr>
            </w:pPr>
            <w:r>
              <w:rPr>
                <w:rFonts w:ascii="Arial" w:cs="Arial" w:eastAsia="Arial" w:hAnsi="Arial"/>
                <w:sz w:val="17"/>
                <w:szCs w:val="17"/>
                <w:color w:val="auto"/>
              </w:rPr>
              <w:t>20.9 %</w:t>
            </w:r>
          </w:p>
        </w:tc>
      </w:tr>
      <w:tr>
        <w:trPr>
          <w:trHeight w:val="31"/>
        </w:trPr>
        <w:tc>
          <w:tcPr>
            <w:tcW w:w="5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180" w:hanging="172"/>
        <w:spacing w:after="0" w:line="246" w:lineRule="auto"/>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During the first quarter of fiscal 2020, the company entered into an Agreement and Plan of Merger to acquire Venture Products Inc. ("Venture Products), a privately-held Ohio corporation and the manufacturer of Ventrac-branded products, and an agreement to purchase the real property used by Venture Products ("Purchase Agreement"). On March 2, 2020, subsequent to the end of the first quarter of fiscal 2020, pursuant to the Agreement and Plan of Merger and the Purchase Agreement, the company completed the acquisition of Venture Products. During the second quarter of fiscal 2019, the company acquired The Charles Machine Works, Inc. ("CMW"). Acquisition-related costs for the three month period ended January 31, 2020 represent costs incurred related to the company's acquisition of VPI, as well as integration costs and charges incurred for the take-down of the inventory fair value step-up amount resulting from purchase accounting adjustments related to the company's acquisition of CMW. Additionally, the company elected to recast acquisition-related costs for the three month period ended February 1, 2019 to conform to the current period presentation and as a result, acquisition-related costs were restated to be inclusive of the costs incurred related to the company's acquisition of CMW for the three month period ended February 1, 2019.</w:t>
      </w:r>
    </w:p>
    <w:p>
      <w:pPr>
        <w:spacing w:after="0" w:line="194" w:lineRule="exact"/>
        <w:rPr>
          <w:sz w:val="20"/>
          <w:szCs w:val="20"/>
          <w:color w:val="auto"/>
        </w:rPr>
      </w:pPr>
    </w:p>
    <w:p>
      <w:pPr>
        <w:jc w:val="both"/>
        <w:ind w:left="180" w:hanging="172"/>
        <w:spacing w:after="0" w:line="223" w:lineRule="auto"/>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 xml:space="preserve">In the first quarter of fiscal 2017, the company adopted Accounting Standards Update No. 2016-09, </w:t>
      </w:r>
      <w:r>
        <w:rPr>
          <w:rFonts w:ascii="Arial" w:cs="Arial" w:eastAsia="Arial" w:hAnsi="Arial"/>
          <w:sz w:val="14"/>
          <w:szCs w:val="14"/>
          <w:i w:val="1"/>
          <w:iCs w:val="1"/>
          <w:color w:val="auto"/>
        </w:rPr>
        <w:t>Stock-based Compensation: Improvements to Employee Share-based Payment</w:t>
      </w:r>
      <w:r>
        <w:rPr>
          <w:rFonts w:ascii="Arial" w:cs="Arial" w:eastAsia="Arial" w:hAnsi="Arial"/>
          <w:sz w:val="14"/>
          <w:szCs w:val="14"/>
          <w:color w:val="auto"/>
        </w:rPr>
        <w:t xml:space="preserve"> </w:t>
      </w:r>
      <w:r>
        <w:rPr>
          <w:rFonts w:ascii="Arial" w:cs="Arial" w:eastAsia="Arial" w:hAnsi="Arial"/>
          <w:sz w:val="14"/>
          <w:szCs w:val="14"/>
          <w:i w:val="1"/>
          <w:iCs w:val="1"/>
          <w:color w:val="auto"/>
        </w:rPr>
        <w:t>Accounting</w:t>
      </w:r>
      <w:r>
        <w:rPr>
          <w:rFonts w:ascii="Arial" w:cs="Arial" w:eastAsia="Arial" w:hAnsi="Arial"/>
          <w:sz w:val="14"/>
          <w:szCs w:val="14"/>
          <w:color w:val="auto"/>
        </w:rPr>
        <w:t>, which requires that any excess tax deduction for share-based compensation be immediately recorded within income tax expense. These amounts represent the discrete tax</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recorded as excess tax deductions for share-based compensation during the three month periods ended January 31, 2020 and February 1, 2019.</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52"/>
    </w:lvl>
  </w:abstractNum>
  <w:abstractNum w:abstractNumId="2">
    <w:nsid w:val="507ED7AB"/>
    <w:multiLevelType w:val="hybridMultilevel"/>
    <w:lvl w:ilvl="0">
      <w:lvlJc w:val="left"/>
      <w:lvlText w:val="(%1)"/>
      <w:numFmt w:val="decimal"/>
      <w:start w:val="95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2020-03-05T07:39:43Z</dcterms:created>
  <dcterms:modified xsi:type="dcterms:W3CDTF">2020-03-05T07:39:43Z</dcterms:modified>
</cp:coreProperties>
</file>