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5"/>
        <w:spacing w:after="0"/>
        <w:rPr>
          <w:sz w:val="20"/>
          <w:szCs w:val="20"/>
          <w:color w:val="auto"/>
        </w:rPr>
      </w:pPr>
      <w:r>
        <w:rPr>
          <w:rFonts w:ascii="Arial" w:cs="Arial" w:eastAsia="Arial" w:hAnsi="Arial"/>
          <w:sz w:val="17"/>
          <w:szCs w:val="17"/>
          <w:color w:val="0000FF"/>
        </w:rPr>
        <w:t>VP &amp; CFO</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37"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62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3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4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20" w:type="dxa"/>
            <w:vAlign w:val="bottom"/>
            <w:gridSpan w:val="2"/>
          </w:tcPr>
          <w:p>
            <w:pPr>
              <w:ind w:left="580"/>
              <w:spacing w:after="0"/>
              <w:rPr>
                <w:sz w:val="20"/>
                <w:szCs w:val="20"/>
                <w:color w:val="auto"/>
              </w:rPr>
            </w:pPr>
            <w:r>
              <w:rPr>
                <w:rFonts w:ascii="Arial" w:cs="Arial" w:eastAsia="Arial" w:hAnsi="Arial"/>
                <w:sz w:val="17"/>
                <w:szCs w:val="17"/>
                <w:color w:val="0000FF"/>
              </w:rPr>
              <w:t>09/24/2021</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G</w:t>
            </w:r>
          </w:p>
        </w:tc>
        <w:tc>
          <w:tcPr>
            <w:tcW w:w="360" w:type="dxa"/>
            <w:vAlign w:val="bottom"/>
          </w:tcPr>
          <w:p>
            <w:pPr>
              <w:ind w:left="120"/>
              <w:spacing w:after="0"/>
              <w:rPr>
                <w:sz w:val="20"/>
                <w:szCs w:val="20"/>
                <w:color w:val="auto"/>
              </w:rPr>
            </w:pPr>
            <w:r>
              <w:rPr>
                <w:rFonts w:ascii="Arial" w:cs="Arial" w:eastAsia="Arial" w:hAnsi="Arial"/>
                <w:sz w:val="13"/>
                <w:szCs w:val="13"/>
                <w:color w:val="0000FF"/>
              </w:rPr>
              <w:t>V</w:t>
            </w:r>
          </w:p>
        </w:tc>
        <w:tc>
          <w:tcPr>
            <w:tcW w:w="720" w:type="dxa"/>
            <w:vAlign w:val="bottom"/>
          </w:tcPr>
          <w:p>
            <w:pPr>
              <w:ind w:left="260"/>
              <w:spacing w:after="0"/>
              <w:rPr>
                <w:sz w:val="20"/>
                <w:szCs w:val="20"/>
                <w:color w:val="auto"/>
              </w:rPr>
            </w:pPr>
            <w:r>
              <w:rPr>
                <w:rFonts w:ascii="Arial" w:cs="Arial" w:eastAsia="Arial" w:hAnsi="Arial"/>
                <w:sz w:val="17"/>
                <w:szCs w:val="17"/>
                <w:color w:val="0000FF"/>
              </w:rPr>
              <w:t>890</w:t>
            </w:r>
          </w:p>
        </w:tc>
        <w:tc>
          <w:tcPr>
            <w:tcW w:w="580" w:type="dxa"/>
            <w:vAlign w:val="bottom"/>
          </w:tcPr>
          <w:p>
            <w:pPr>
              <w:ind w:left="240"/>
              <w:spacing w:after="0"/>
              <w:rPr>
                <w:sz w:val="20"/>
                <w:szCs w:val="20"/>
                <w:color w:val="auto"/>
              </w:rPr>
            </w:pPr>
            <w:r>
              <w:rPr>
                <w:rFonts w:ascii="Arial" w:cs="Arial" w:eastAsia="Arial" w:hAnsi="Arial"/>
                <w:sz w:val="17"/>
                <w:szCs w:val="17"/>
                <w:color w:val="0000FF"/>
              </w:rPr>
              <w:t>D</w:t>
            </w:r>
          </w:p>
        </w:tc>
        <w:tc>
          <w:tcPr>
            <w:tcW w:w="160" w:type="dxa"/>
            <w:vAlign w:val="bottom"/>
          </w:tcPr>
          <w:p>
            <w:pPr>
              <w:spacing w:after="0"/>
              <w:rPr>
                <w:sz w:val="23"/>
                <w:szCs w:val="23"/>
                <w:color w:val="auto"/>
              </w:rPr>
            </w:pPr>
          </w:p>
        </w:tc>
        <w:tc>
          <w:tcPr>
            <w:tcW w:w="280" w:type="dxa"/>
            <w:vAlign w:val="bottom"/>
          </w:tcPr>
          <w:p>
            <w:pPr>
              <w:jc w:val="right"/>
              <w:ind w:right="13"/>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91"/>
              </w:rPr>
              <w:t>16,217.344</w:t>
            </w:r>
          </w:p>
        </w:tc>
        <w:tc>
          <w:tcPr>
            <w:tcW w:w="300" w:type="dxa"/>
            <w:vAlign w:val="bottom"/>
          </w:tcPr>
          <w:p>
            <w:pPr>
              <w:spacing w:after="0"/>
              <w:rPr>
                <w:sz w:val="23"/>
                <w:szCs w:val="23"/>
                <w:color w:val="auto"/>
              </w:rPr>
            </w:pPr>
          </w:p>
        </w:tc>
        <w:tc>
          <w:tcPr>
            <w:tcW w:w="560" w:type="dxa"/>
            <w:vAlign w:val="bottom"/>
          </w:tcPr>
          <w:p>
            <w:pPr>
              <w:jc w:val="center"/>
              <w:ind w:right="286"/>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the Renee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J. Peterson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center"/>
              <w:ind w:left="463"/>
              <w:spacing w:after="0"/>
              <w:rPr>
                <w:sz w:val="20"/>
                <w:szCs w:val="20"/>
                <w:color w:val="auto"/>
              </w:rPr>
            </w:pPr>
            <w:r>
              <w:rPr>
                <w:rFonts w:ascii="Arial" w:cs="Arial" w:eastAsia="Arial" w:hAnsi="Arial"/>
                <w:sz w:val="17"/>
                <w:szCs w:val="17"/>
                <w:color w:val="0000FF"/>
                <w:w w:val="84"/>
              </w:rPr>
              <w:t>0</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center"/>
              <w:ind w:right="306"/>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Trust #1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the Renee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J. Peterson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center"/>
              <w:ind w:left="463"/>
              <w:spacing w:after="0"/>
              <w:rPr>
                <w:sz w:val="20"/>
                <w:szCs w:val="20"/>
                <w:color w:val="auto"/>
              </w:rPr>
            </w:pPr>
            <w:r>
              <w:rPr>
                <w:rFonts w:ascii="Arial" w:cs="Arial" w:eastAsia="Arial" w:hAnsi="Arial"/>
                <w:sz w:val="17"/>
                <w:szCs w:val="17"/>
                <w:color w:val="0000FF"/>
                <w:w w:val="84"/>
              </w:rPr>
              <w:t>0</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center"/>
              <w:ind w:right="306"/>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Trust #2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the Renee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J. Peterson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92"/>
              </w:rPr>
              <w:t>14,448</w:t>
            </w:r>
          </w:p>
        </w:tc>
        <w:tc>
          <w:tcPr>
            <w:tcW w:w="300" w:type="dxa"/>
            <w:vAlign w:val="bottom"/>
          </w:tcPr>
          <w:p>
            <w:pPr>
              <w:spacing w:after="0"/>
              <w:rPr>
                <w:sz w:val="18"/>
                <w:szCs w:val="18"/>
                <w:color w:val="auto"/>
              </w:rPr>
            </w:pPr>
          </w:p>
        </w:tc>
        <w:tc>
          <w:tcPr>
            <w:tcW w:w="560" w:type="dxa"/>
            <w:vAlign w:val="bottom"/>
          </w:tcPr>
          <w:p>
            <w:pPr>
              <w:jc w:val="center"/>
              <w:ind w:right="306"/>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Trust #3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the Renee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J. Peterson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92"/>
              </w:rPr>
              <w:t>26,250</w:t>
            </w:r>
          </w:p>
        </w:tc>
        <w:tc>
          <w:tcPr>
            <w:tcW w:w="300" w:type="dxa"/>
            <w:vAlign w:val="bottom"/>
          </w:tcPr>
          <w:p>
            <w:pPr>
              <w:spacing w:after="0"/>
              <w:rPr>
                <w:sz w:val="18"/>
                <w:szCs w:val="18"/>
                <w:color w:val="auto"/>
              </w:rPr>
            </w:pPr>
          </w:p>
        </w:tc>
        <w:tc>
          <w:tcPr>
            <w:tcW w:w="560" w:type="dxa"/>
            <w:vAlign w:val="bottom"/>
          </w:tcPr>
          <w:p>
            <w:pPr>
              <w:jc w:val="center"/>
              <w:ind w:right="306"/>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Trust #4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730.966</w:t>
            </w:r>
            <w:r>
              <w:rPr>
                <w:rFonts w:ascii="Arial" w:cs="Arial" w:eastAsia="Arial" w:hAnsi="Arial"/>
                <w:sz w:val="22"/>
                <w:szCs w:val="22"/>
                <w:color w:val="008000"/>
                <w:w w:val="88"/>
                <w:vertAlign w:val="superscript"/>
              </w:rPr>
              <w:t>(1)</w:t>
            </w:r>
          </w:p>
        </w:tc>
        <w:tc>
          <w:tcPr>
            <w:tcW w:w="300" w:type="dxa"/>
            <w:vAlign w:val="bottom"/>
          </w:tcPr>
          <w:p>
            <w:pPr>
              <w:spacing w:after="0"/>
              <w:rPr>
                <w:sz w:val="18"/>
                <w:szCs w:val="18"/>
                <w:color w:val="auto"/>
              </w:rPr>
            </w:pPr>
          </w:p>
        </w:tc>
        <w:tc>
          <w:tcPr>
            <w:tcW w:w="560" w:type="dxa"/>
            <w:vAlign w:val="bottom"/>
            <w:vMerge w:val="restart"/>
          </w:tcPr>
          <w:p>
            <w:pPr>
              <w:jc w:val="center"/>
              <w:ind w:right="306"/>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85,610.433</w:t>
            </w:r>
            <w:r>
              <w:rPr>
                <w:rFonts w:ascii="Arial" w:cs="Arial" w:eastAsia="Arial" w:hAnsi="Arial"/>
                <w:sz w:val="22"/>
                <w:szCs w:val="22"/>
                <w:color w:val="008000"/>
                <w:w w:val="87"/>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5"/>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60" w:type="dxa"/>
            <w:vAlign w:val="bottom"/>
            <w:gridSpan w:val="18"/>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12"/>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w w:val="72"/>
              </w:rPr>
              <w:t>5(A).Number(D)</w:t>
            </w:r>
          </w:p>
        </w:tc>
        <w:tc>
          <w:tcPr>
            <w:tcW w:w="1420" w:type="dxa"/>
            <w:vAlign w:val="bottom"/>
            <w:gridSpan w:val="3"/>
          </w:tcPr>
          <w:p>
            <w:pPr>
              <w:ind w:left="60"/>
              <w:spacing w:after="0"/>
              <w:rPr>
                <w:sz w:val="20"/>
                <w:szCs w:val="20"/>
                <w:color w:val="auto"/>
              </w:rPr>
            </w:pPr>
            <w:r>
              <w:rPr>
                <w:rFonts w:ascii="Arial" w:cs="Arial" w:eastAsia="Arial" w:hAnsi="Arial"/>
                <w:sz w:val="10"/>
                <w:szCs w:val="10"/>
                <w:b w:val="1"/>
                <w:bCs w:val="1"/>
                <w:color w:val="auto"/>
                <w:w w:val="73"/>
              </w:rPr>
              <w:t>6Exercisable.DateExercisableDate and</w:t>
            </w:r>
          </w:p>
        </w:tc>
        <w:tc>
          <w:tcPr>
            <w:tcW w:w="1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1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spacing w:after="0" w:line="123" w:lineRule="exact"/>
              <w:rPr>
                <w:sz w:val="20"/>
                <w:szCs w:val="20"/>
                <w:color w:val="auto"/>
              </w:rPr>
            </w:pPr>
            <w:r>
              <w:rPr>
                <w:rFonts w:ascii="Arial" w:cs="Arial" w:eastAsia="Arial" w:hAnsi="Arial"/>
                <w:sz w:val="12"/>
                <w:szCs w:val="12"/>
                <w:b w:val="1"/>
                <w:bCs w:val="1"/>
                <w:color w:val="auto"/>
              </w:rPr>
              <w:t>of</w:t>
            </w:r>
          </w:p>
        </w:tc>
        <w:tc>
          <w:tcPr>
            <w:tcW w:w="14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Security</w:t>
            </w:r>
          </w:p>
        </w:tc>
        <w:tc>
          <w:tcPr>
            <w:tcW w:w="1020" w:type="dxa"/>
            <w:vAlign w:val="bottom"/>
            <w:gridSpan w:val="3"/>
          </w:tcPr>
          <w:p>
            <w:pPr>
              <w:ind w:left="80"/>
              <w:spacing w:after="0"/>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line="12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1080" w:type="dxa"/>
            <w:vAlign w:val="bottom"/>
            <w:gridSpan w:val="22"/>
          </w:tcPr>
          <w:p>
            <w:pPr>
              <w:ind w:left="40"/>
              <w:spacing w:after="0" w:line="67" w:lineRule="exact"/>
              <w:rPr>
                <w:sz w:val="20"/>
                <w:szCs w:val="20"/>
                <w:color w:val="auto"/>
              </w:rPr>
            </w:pPr>
            <w:r>
              <w:rPr>
                <w:rFonts w:ascii="Arial" w:cs="Arial" w:eastAsia="Arial" w:hAnsi="Arial"/>
                <w:sz w:val="7"/>
                <w:szCs w:val="7"/>
                <w:color w:val="008000"/>
              </w:rPr>
              <w:t>1. Includes 1.704 net shares of common stock acquired by the reporting person since the date of her last report under the dividend reinvestment feature of The Toro Company Retirement Plan, less</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line="67" w:lineRule="exact"/>
              <w:rPr>
                <w:sz w:val="20"/>
                <w:szCs w:val="20"/>
                <w:color w:val="auto"/>
              </w:rPr>
            </w:pPr>
            <w:r>
              <w:rPr>
                <w:rFonts w:ascii="Arial" w:cs="Arial" w:eastAsia="Arial" w:hAnsi="Arial"/>
                <w:sz w:val="7"/>
                <w:szCs w:val="7"/>
                <w:b w:val="1"/>
                <w:bCs w:val="1"/>
                <w:color w:val="auto"/>
              </w:rPr>
              <w:t>Acquired</w:t>
            </w: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gridSpan w:val="3"/>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00" w:type="dxa"/>
            <w:vAlign w:val="bottom"/>
          </w:tcPr>
          <w:p>
            <w:pPr>
              <w:ind w:left="2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0"/>
        </w:trPr>
        <w:tc>
          <w:tcPr>
            <w:tcW w:w="2660" w:type="dxa"/>
            <w:vAlign w:val="bottom"/>
            <w:gridSpan w:val="3"/>
          </w:tcPr>
          <w:p>
            <w:pPr>
              <w:ind w:left="40"/>
              <w:spacing w:after="0" w:line="80" w:lineRule="exact"/>
              <w:rPr>
                <w:sz w:val="20"/>
                <w:szCs w:val="20"/>
                <w:color w:val="auto"/>
              </w:rPr>
            </w:pPr>
            <w:r>
              <w:rPr>
                <w:rFonts w:ascii="Arial" w:cs="Arial" w:eastAsia="Arial" w:hAnsi="Arial"/>
                <w:sz w:val="9"/>
                <w:szCs w:val="9"/>
                <w:color w:val="008000"/>
              </w:rPr>
              <w:t>quarterly non-discretionary administrative fees.</w:t>
            </w: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Following</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800" w:type="dxa"/>
            <w:vAlign w:val="bottom"/>
          </w:tcPr>
          <w:p>
            <w:pPr>
              <w:spacing w:after="0"/>
              <w:rPr>
                <w:sz w:val="5"/>
                <w:szCs w:val="5"/>
                <w:color w:val="auto"/>
              </w:rPr>
            </w:pPr>
          </w:p>
        </w:tc>
        <w:tc>
          <w:tcPr>
            <w:tcW w:w="740" w:type="dxa"/>
            <w:vAlign w:val="bottom"/>
          </w:tcPr>
          <w:p>
            <w:pPr>
              <w:spacing w:after="0" w:line="64" w:lineRule="exact"/>
              <w:rPr>
                <w:sz w:val="20"/>
                <w:szCs w:val="20"/>
                <w:color w:val="auto"/>
              </w:rPr>
            </w:pPr>
            <w:r>
              <w:rPr>
                <w:rFonts w:ascii="Arial" w:cs="Arial" w:eastAsia="Arial" w:hAnsi="Arial"/>
                <w:sz w:val="7"/>
                <w:szCs w:val="7"/>
                <w:b w:val="1"/>
                <w:bCs w:val="1"/>
                <w:color w:val="auto"/>
              </w:rPr>
              <w:t>Security</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5"/>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7620" w:type="dxa"/>
            <w:vAlign w:val="bottom"/>
            <w:gridSpan w:val="11"/>
          </w:tcPr>
          <w:p>
            <w:pPr>
              <w:ind w:left="40"/>
              <w:spacing w:after="0" w:line="136" w:lineRule="exact"/>
              <w:rPr>
                <w:sz w:val="20"/>
                <w:szCs w:val="20"/>
                <w:color w:val="auto"/>
              </w:rPr>
            </w:pPr>
            <w:r>
              <w:rPr>
                <w:rFonts w:ascii="Arial" w:cs="Arial" w:eastAsia="Arial" w:hAnsi="Arial"/>
                <w:sz w:val="13"/>
                <w:szCs w:val="13"/>
                <w:color w:val="008000"/>
                <w:w w:val="84"/>
              </w:rPr>
              <w:t xml:space="preserve">2. Includes 201.892 performance share units acquired by the reporting person since the </w:t>
            </w:r>
            <w:r>
              <w:rPr>
                <w:rFonts w:ascii="Arial" w:cs="Arial" w:eastAsia="Arial" w:hAnsi="Arial"/>
                <w:sz w:val="11"/>
                <w:szCs w:val="11"/>
                <w:b w:val="1"/>
                <w:bCs w:val="1"/>
                <w:color w:val="000000"/>
                <w:w w:val="84"/>
              </w:rPr>
              <w:t>Disposed</w:t>
            </w:r>
            <w:r>
              <w:rPr>
                <w:rFonts w:ascii="Arial" w:cs="Arial" w:eastAsia="Arial" w:hAnsi="Arial"/>
                <w:sz w:val="13"/>
                <w:szCs w:val="13"/>
                <w:color w:val="008000"/>
                <w:w w:val="84"/>
              </w:rPr>
              <w:t>dateofher last report under the dividend reinvestment</w:t>
            </w:r>
            <w:r>
              <w:rPr>
                <w:rFonts w:ascii="Arial" w:cs="Arial" w:eastAsia="Arial" w:hAnsi="Arial"/>
                <w:sz w:val="11"/>
                <w:szCs w:val="11"/>
                <w:b w:val="1"/>
                <w:bCs w:val="1"/>
                <w:color w:val="000000"/>
                <w:w w:val="84"/>
              </w:rPr>
              <w:t>3and4)</w:t>
            </w:r>
          </w:p>
        </w:tc>
        <w:tc>
          <w:tcPr>
            <w:tcW w:w="3460" w:type="dxa"/>
            <w:vAlign w:val="bottom"/>
            <w:gridSpan w:val="11"/>
          </w:tcPr>
          <w:p>
            <w:pPr>
              <w:ind w:left="20"/>
              <w:spacing w:after="0" w:line="136" w:lineRule="exact"/>
              <w:rPr>
                <w:sz w:val="20"/>
                <w:szCs w:val="20"/>
                <w:color w:val="auto"/>
              </w:rPr>
            </w:pPr>
            <w:r>
              <w:rPr>
                <w:rFonts w:ascii="Arial" w:cs="Arial" w:eastAsia="Arial" w:hAnsi="Arial"/>
                <w:sz w:val="13"/>
                <w:szCs w:val="13"/>
                <w:color w:val="008000"/>
                <w:w w:val="88"/>
              </w:rPr>
              <w:t>feature of The Toro</w:t>
            </w:r>
            <w:r>
              <w:rPr>
                <w:rFonts w:ascii="Arial" w:cs="Arial" w:eastAsia="Arial" w:hAnsi="Arial"/>
                <w:sz w:val="11"/>
                <w:szCs w:val="11"/>
                <w:b w:val="1"/>
                <w:bCs w:val="1"/>
                <w:color w:val="000000"/>
                <w:w w:val="88"/>
              </w:rPr>
              <w:t>Reported</w:t>
            </w:r>
            <w:r>
              <w:rPr>
                <w:rFonts w:ascii="Arial" w:cs="Arial" w:eastAsia="Arial" w:hAnsi="Arial"/>
                <w:sz w:val="13"/>
                <w:szCs w:val="13"/>
                <w:color w:val="008000"/>
                <w:w w:val="88"/>
              </w:rPr>
              <w:t>Company Deferred Compensation Plan</w:t>
            </w:r>
          </w:p>
        </w:tc>
        <w:tc>
          <w:tcPr>
            <w:tcW w:w="0" w:type="dxa"/>
            <w:vAlign w:val="bottom"/>
          </w:tcPr>
          <w:p>
            <w:pPr>
              <w:spacing w:after="0"/>
              <w:rPr>
                <w:sz w:val="1"/>
                <w:szCs w:val="1"/>
                <w:color w:val="auto"/>
              </w:rPr>
            </w:pPr>
          </w:p>
        </w:tc>
      </w:tr>
      <w:tr>
        <w:trPr>
          <w:trHeight w:val="147"/>
        </w:trPr>
        <w:tc>
          <w:tcPr>
            <w:tcW w:w="800" w:type="dxa"/>
            <w:vAlign w:val="bottom"/>
          </w:tcPr>
          <w:p>
            <w:pPr>
              <w:ind w:left="40"/>
              <w:spacing w:after="0" w:line="147" w:lineRule="exact"/>
              <w:rPr>
                <w:sz w:val="20"/>
                <w:szCs w:val="20"/>
                <w:color w:val="auto"/>
              </w:rPr>
            </w:pPr>
            <w:r>
              <w:rPr>
                <w:rFonts w:ascii="Arial" w:cs="Arial" w:eastAsia="Arial" w:hAnsi="Arial"/>
                <w:sz w:val="13"/>
                <w:szCs w:val="13"/>
                <w:color w:val="008000"/>
              </w:rPr>
              <w:t>for Officers.</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line="118"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gridSpan w:val="9"/>
            <w:vMerge w:val="restart"/>
          </w:tcPr>
          <w:p>
            <w:pPr>
              <w:spacing w:after="0"/>
              <w:rPr>
                <w:sz w:val="20"/>
                <w:szCs w:val="20"/>
                <w:color w:val="auto"/>
              </w:rPr>
            </w:pPr>
            <w:r>
              <w:rPr>
                <w:rFonts w:ascii="Arial" w:cs="Arial" w:eastAsia="Arial" w:hAnsi="Arial"/>
                <w:sz w:val="17"/>
                <w:szCs w:val="17"/>
                <w:color w:val="0000FF"/>
                <w:highlight w:val="white"/>
              </w:rPr>
              <w:t>/s/ Angela D. Snavely,</w:t>
            </w:r>
          </w:p>
        </w:tc>
        <w:tc>
          <w:tcPr>
            <w:tcW w:w="102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9"/>
            <w:vMerge w:val="continue"/>
          </w:tcPr>
          <w:p>
            <w:pPr>
              <w:spacing w:after="0"/>
              <w:rPr>
                <w:sz w:val="14"/>
                <w:szCs w:val="14"/>
                <w:color w:val="auto"/>
              </w:rPr>
            </w:pPr>
          </w:p>
        </w:tc>
        <w:tc>
          <w:tcPr>
            <w:tcW w:w="1020" w:type="dxa"/>
            <w:vAlign w:val="bottom"/>
            <w:gridSpan w:val="3"/>
            <w:vMerge w:val="restart"/>
          </w:tcPr>
          <w:p>
            <w:pPr>
              <w:ind w:left="200"/>
              <w:spacing w:after="0"/>
              <w:rPr>
                <w:sz w:val="20"/>
                <w:szCs w:val="20"/>
                <w:color w:val="auto"/>
              </w:rPr>
            </w:pPr>
            <w:r>
              <w:rPr>
                <w:rFonts w:ascii="Arial" w:cs="Arial" w:eastAsia="Arial" w:hAnsi="Arial"/>
                <w:sz w:val="17"/>
                <w:szCs w:val="17"/>
                <w:color w:val="0000FF"/>
                <w:highlight w:val="white"/>
                <w:w w:val="93"/>
              </w:rPr>
              <w:t>10/06/2021</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808080"/>
            </w:tcBorders>
          </w:tcPr>
          <w:p>
            <w:pPr>
              <w:spacing w:after="0" w:line="20" w:lineRule="exact"/>
              <w:rPr>
                <w:sz w:val="1"/>
                <w:szCs w:val="1"/>
                <w:color w:val="auto"/>
              </w:rPr>
            </w:pPr>
          </w:p>
        </w:tc>
        <w:tc>
          <w:tcPr>
            <w:tcW w:w="100" w:type="dxa"/>
            <w:vAlign w:val="bottom"/>
            <w:tcBorders>
              <w:top w:val="single" w:sz="8" w:color="auto"/>
              <w:bottom w:val="single" w:sz="8" w:color="808080"/>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gridSpan w:val="5"/>
            <w:vMerge w:val="restart"/>
          </w:tcPr>
          <w:p>
            <w:pPr>
              <w:spacing w:after="0" w:line="154" w:lineRule="exact"/>
              <w:rPr>
                <w:sz w:val="20"/>
                <w:szCs w:val="20"/>
                <w:color w:val="auto"/>
              </w:rPr>
            </w:pPr>
            <w:r>
              <w:rPr>
                <w:rFonts w:ascii="Arial" w:cs="Arial" w:eastAsia="Arial" w:hAnsi="Arial"/>
                <w:sz w:val="17"/>
                <w:szCs w:val="17"/>
                <w:color w:val="0000FF"/>
                <w:highlight w:val="white"/>
                <w:w w:val="95"/>
              </w:rPr>
              <w:t>Attorney-in-Fact</w:t>
            </w:r>
          </w:p>
        </w:tc>
        <w:tc>
          <w:tcPr>
            <w:tcW w:w="180" w:type="dxa"/>
            <w:vAlign w:val="bottom"/>
            <w:gridSpan w:val="2"/>
            <w:vMerge w:val="restart"/>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Borders>
              <w:bottom w:val="single" w:sz="8" w:color="auto"/>
            </w:tcBorders>
            <w:gridSpan w:val="5"/>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1020" w:type="dxa"/>
            <w:vAlign w:val="bottom"/>
            <w:gridSpan w:val="3"/>
          </w:tcPr>
          <w:p>
            <w:pPr>
              <w:ind w:left="200"/>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780" w:type="dxa"/>
            <w:vAlign w:val="bottom"/>
            <w:gridSpan w:val="4"/>
            <w:vMerge w:val="restart"/>
          </w:tcPr>
          <w:p>
            <w:pPr>
              <w:ind w:left="40"/>
              <w:spacing w:after="0"/>
              <w:rPr>
                <w:sz w:val="20"/>
                <w:szCs w:val="20"/>
                <w:color w:val="auto"/>
              </w:rPr>
            </w:pPr>
            <w:r>
              <w:rPr>
                <w:rFonts w:ascii="Arial" w:cs="Arial" w:eastAsia="Arial" w:hAnsi="Arial"/>
                <w:sz w:val="13"/>
                <w:szCs w:val="13"/>
                <w:color w:val="auto"/>
              </w:rPr>
              <w:t>Reminder: Report on a separate line for each class of securities</w:t>
            </w:r>
          </w:p>
        </w:tc>
        <w:tc>
          <w:tcPr>
            <w:tcW w:w="240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3780" w:type="dxa"/>
            <w:vAlign w:val="bottom"/>
            <w:gridSpan w:val="4"/>
            <w:vMerge w:val="continue"/>
          </w:tcPr>
          <w:p>
            <w:pPr>
              <w:spacing w:after="0"/>
              <w:rPr>
                <w:sz w:val="12"/>
                <w:szCs w:val="12"/>
                <w:color w:val="auto"/>
              </w:rPr>
            </w:pPr>
          </w:p>
        </w:tc>
        <w:tc>
          <w:tcPr>
            <w:tcW w:w="2400" w:type="dxa"/>
            <w:vAlign w:val="bottom"/>
            <w:gridSpan w:val="3"/>
          </w:tcPr>
          <w:p>
            <w:pPr>
              <w:ind w:left="60"/>
              <w:spacing w:after="0" w:line="139" w:lineRule="exact"/>
              <w:rPr>
                <w:sz w:val="20"/>
                <w:szCs w:val="20"/>
                <w:color w:val="auto"/>
              </w:rPr>
            </w:pPr>
            <w:r>
              <w:rPr>
                <w:rFonts w:ascii="Arial" w:cs="Arial" w:eastAsia="Arial" w:hAnsi="Arial"/>
                <w:sz w:val="13"/>
                <w:szCs w:val="13"/>
                <w:color w:val="auto"/>
              </w:rPr>
              <w:t>beneficially owned directly or indirectly.</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5"/>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4680" w:type="dxa"/>
            <w:vAlign w:val="bottom"/>
            <w:gridSpan w:val="5"/>
            <w:vMerge w:val="restart"/>
          </w:tcPr>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5"/>
            <w:vMerge w:val="continue"/>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680" w:type="dxa"/>
            <w:vAlign w:val="bottom"/>
            <w:gridSpan w:val="5"/>
            <w:vMerge w:val="continue"/>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5"/>
          </w:tcPr>
          <w:p>
            <w:pPr>
              <w:ind w:left="460"/>
              <w:spacing w:after="0" w:line="12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7940" w:type="dxa"/>
            <w:vAlign w:val="bottom"/>
            <w:gridSpan w:val="15"/>
          </w:tcPr>
          <w:p>
            <w:pPr>
              <w:ind w:left="40"/>
              <w:spacing w:after="0" w:line="54" w:lineRule="exact"/>
              <w:rPr>
                <w:sz w:val="20"/>
                <w:szCs w:val="20"/>
                <w:color w:val="auto"/>
              </w:rPr>
            </w:pPr>
            <w:r>
              <w:rPr>
                <w:rFonts w:ascii="Arial" w:cs="Arial" w:eastAsia="Arial" w:hAnsi="Arial"/>
                <w:sz w:val="6"/>
                <w:szCs w:val="6"/>
                <w:color w:val="auto"/>
              </w:rPr>
              <w:t xml:space="preserve">** Intentional misstatements or omissions of facts constitute Federal Criminal Violations </w:t>
            </w:r>
            <w:r>
              <w:rPr>
                <w:rFonts w:ascii="Arial" w:cs="Arial" w:eastAsia="Arial" w:hAnsi="Arial"/>
                <w:sz w:val="6"/>
                <w:szCs w:val="6"/>
                <w:i w:val="1"/>
                <w:iCs w:val="1"/>
                <w:color w:val="auto"/>
              </w:rPr>
              <w:t>See</w:t>
            </w:r>
            <w:r>
              <w:rPr>
                <w:rFonts w:ascii="Arial" w:cs="Arial" w:eastAsia="Arial" w:hAnsi="Arial"/>
                <w:sz w:val="6"/>
                <w:szCs w:val="6"/>
                <w:color w:val="auto"/>
              </w:rPr>
              <w:t xml:space="preserve"> 18 U.S.C. 1001 and 15 U.S.C. 78ff(a).</w:t>
            </w: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Date</w:t>
            </w:r>
          </w:p>
        </w:tc>
        <w:tc>
          <w:tcPr>
            <w:tcW w:w="700" w:type="dxa"/>
            <w:vAlign w:val="bottom"/>
            <w:gridSpan w:val="3"/>
          </w:tcPr>
          <w:p>
            <w:pPr>
              <w:ind w:left="40"/>
              <w:spacing w:after="0" w:line="80" w:lineRule="exact"/>
              <w:rPr>
                <w:sz w:val="20"/>
                <w:szCs w:val="20"/>
                <w:color w:val="auto"/>
              </w:rPr>
            </w:pPr>
            <w:r>
              <w:rPr>
                <w:rFonts w:ascii="Arial" w:cs="Arial" w:eastAsia="Arial" w:hAnsi="Arial"/>
                <w:sz w:val="8"/>
                <w:szCs w:val="8"/>
                <w:b w:val="1"/>
                <w:bCs w:val="1"/>
                <w:color w:val="auto"/>
              </w:rPr>
              <w:t>Expiration</w:t>
            </w:r>
          </w:p>
        </w:tc>
        <w:tc>
          <w:tcPr>
            <w:tcW w:w="74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of</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6760" w:type="dxa"/>
            <w:vAlign w:val="bottom"/>
            <w:gridSpan w:val="9"/>
          </w:tcPr>
          <w:p>
            <w:pPr>
              <w:ind w:left="40"/>
              <w:spacing w:after="0"/>
              <w:rPr>
                <w:sz w:val="20"/>
                <w:szCs w:val="20"/>
                <w:color w:val="auto"/>
              </w:rPr>
            </w:pPr>
            <w:r>
              <w:rPr>
                <w:rFonts w:ascii="Arial" w:cs="Arial" w:eastAsia="Arial" w:hAnsi="Arial"/>
                <w:sz w:val="13"/>
                <w:szCs w:val="13"/>
                <w:color w:val="auto"/>
                <w:w w:val="84"/>
              </w:rPr>
              <w:t>Note: File three copies of this Form, one of which must be manually</w:t>
            </w:r>
            <w:r>
              <w:rPr>
                <w:rFonts w:ascii="Arial" w:cs="Arial" w:eastAsia="Arial" w:hAnsi="Arial"/>
                <w:sz w:val="11"/>
                <w:szCs w:val="11"/>
                <w:b w:val="1"/>
                <w:bCs w:val="1"/>
                <w:color w:val="auto"/>
                <w:w w:val="84"/>
              </w:rPr>
              <w:t>Code</w:t>
            </w:r>
            <w:r>
              <w:rPr>
                <w:rFonts w:ascii="Arial" w:cs="Arial" w:eastAsia="Arial" w:hAnsi="Arial"/>
                <w:sz w:val="13"/>
                <w:szCs w:val="13"/>
                <w:color w:val="auto"/>
                <w:w w:val="84"/>
              </w:rPr>
              <w:t>signed</w:t>
            </w:r>
            <w:r>
              <w:rPr>
                <w:rFonts w:ascii="Arial" w:cs="Arial" w:eastAsia="Arial" w:hAnsi="Arial"/>
                <w:sz w:val="11"/>
                <w:szCs w:val="11"/>
                <w:b w:val="1"/>
                <w:bCs w:val="1"/>
                <w:color w:val="auto"/>
                <w:w w:val="84"/>
              </w:rPr>
              <w:t>V</w:t>
            </w:r>
            <w:r>
              <w:rPr>
                <w:rFonts w:ascii="Arial" w:cs="Arial" w:eastAsia="Arial" w:hAnsi="Arial"/>
                <w:sz w:val="13"/>
                <w:szCs w:val="13"/>
                <w:color w:val="auto"/>
                <w:w w:val="84"/>
              </w:rPr>
              <w:t>. If space</w:t>
            </w:r>
            <w:r>
              <w:rPr>
                <w:rFonts w:ascii="Arial" w:cs="Arial" w:eastAsia="Arial" w:hAnsi="Arial"/>
                <w:sz w:val="11"/>
                <w:szCs w:val="11"/>
                <w:b w:val="1"/>
                <w:bCs w:val="1"/>
                <w:color w:val="auto"/>
                <w:w w:val="84"/>
              </w:rPr>
              <w:t>(A)</w:t>
            </w:r>
            <w:r>
              <w:rPr>
                <w:rFonts w:ascii="Arial" w:cs="Arial" w:eastAsia="Arial" w:hAnsi="Arial"/>
                <w:sz w:val="13"/>
                <w:szCs w:val="13"/>
                <w:color w:val="auto"/>
                <w:w w:val="84"/>
              </w:rPr>
              <w:t xml:space="preserve"> is</w:t>
            </w:r>
            <w:r>
              <w:rPr>
                <w:rFonts w:ascii="Arial" w:cs="Arial" w:eastAsia="Arial" w:hAnsi="Arial"/>
                <w:sz w:val="11"/>
                <w:szCs w:val="11"/>
                <w:b w:val="1"/>
                <w:bCs w:val="1"/>
                <w:color w:val="auto"/>
                <w:w w:val="84"/>
              </w:rPr>
              <w:t>(D)</w:t>
            </w:r>
            <w:r>
              <w:rPr>
                <w:rFonts w:ascii="Arial" w:cs="Arial" w:eastAsia="Arial" w:hAnsi="Arial"/>
                <w:sz w:val="13"/>
                <w:szCs w:val="13"/>
                <w:color w:val="auto"/>
                <w:w w:val="84"/>
              </w:rPr>
              <w:t>insufficient,</w:t>
            </w:r>
            <w:r>
              <w:rPr>
                <w:rFonts w:ascii="Arial" w:cs="Arial" w:eastAsia="Arial" w:hAnsi="Arial"/>
                <w:sz w:val="11"/>
                <w:szCs w:val="11"/>
                <w:b w:val="1"/>
                <w:bCs w:val="1"/>
                <w:color w:val="auto"/>
                <w:w w:val="84"/>
              </w:rPr>
              <w:t>Exercisable</w:t>
            </w:r>
            <w:r>
              <w:rPr>
                <w:rFonts w:ascii="Arial" w:cs="Arial" w:eastAsia="Arial" w:hAnsi="Arial"/>
                <w:sz w:val="13"/>
                <w:szCs w:val="13"/>
                <w:i w:val="1"/>
                <w:iCs w:val="1"/>
                <w:color w:val="auto"/>
                <w:w w:val="84"/>
              </w:rPr>
              <w:t>see</w:t>
            </w:r>
            <w:r>
              <w:rPr>
                <w:rFonts w:ascii="Arial" w:cs="Arial" w:eastAsia="Arial" w:hAnsi="Arial"/>
                <w:sz w:val="13"/>
                <w:szCs w:val="13"/>
                <w:color w:val="auto"/>
                <w:w w:val="84"/>
              </w:rPr>
              <w:t xml:space="preserve"> Instruction</w:t>
            </w:r>
            <w:r>
              <w:rPr>
                <w:rFonts w:ascii="Arial" w:cs="Arial" w:eastAsia="Arial" w:hAnsi="Arial"/>
                <w:sz w:val="11"/>
                <w:szCs w:val="11"/>
                <w:b w:val="1"/>
                <w:bCs w:val="1"/>
                <w:color w:val="auto"/>
                <w:w w:val="84"/>
              </w:rPr>
              <w:t>Date</w:t>
            </w:r>
          </w:p>
        </w:tc>
        <w:tc>
          <w:tcPr>
            <w:tcW w:w="1180" w:type="dxa"/>
            <w:vAlign w:val="bottom"/>
            <w:gridSpan w:val="6"/>
          </w:tcPr>
          <w:p>
            <w:pPr>
              <w:spacing w:after="0"/>
              <w:rPr>
                <w:sz w:val="20"/>
                <w:szCs w:val="20"/>
                <w:color w:val="auto"/>
              </w:rPr>
            </w:pPr>
            <w:r>
              <w:rPr>
                <w:rFonts w:ascii="Arial" w:cs="Arial" w:eastAsia="Arial" w:hAnsi="Arial"/>
                <w:sz w:val="13"/>
                <w:szCs w:val="13"/>
                <w:color w:val="auto"/>
                <w:w w:val="84"/>
              </w:rPr>
              <w:t>6 for</w:t>
            </w:r>
            <w:r>
              <w:rPr>
                <w:rFonts w:ascii="Arial" w:cs="Arial" w:eastAsia="Arial" w:hAnsi="Arial"/>
                <w:sz w:val="11"/>
                <w:szCs w:val="11"/>
                <w:b w:val="1"/>
                <w:bCs w:val="1"/>
                <w:color w:val="auto"/>
                <w:w w:val="84"/>
              </w:rPr>
              <w:t>Title</w:t>
            </w:r>
            <w:r>
              <w:rPr>
                <w:rFonts w:ascii="Arial" w:cs="Arial" w:eastAsia="Arial" w:hAnsi="Arial"/>
                <w:sz w:val="13"/>
                <w:szCs w:val="13"/>
                <w:color w:val="auto"/>
                <w:w w:val="84"/>
              </w:rPr>
              <w:t>procedu</w:t>
            </w:r>
            <w:r>
              <w:rPr>
                <w:rFonts w:ascii="Arial" w:cs="Arial" w:eastAsia="Arial" w:hAnsi="Arial"/>
                <w:sz w:val="11"/>
                <w:szCs w:val="11"/>
                <w:b w:val="1"/>
                <w:bCs w:val="1"/>
                <w:color w:val="auto"/>
                <w:w w:val="84"/>
              </w:rPr>
              <w:t>Sha</w:t>
            </w:r>
            <w:r>
              <w:rPr>
                <w:rFonts w:ascii="Arial" w:cs="Arial" w:eastAsia="Arial" w:hAnsi="Arial"/>
                <w:sz w:val="13"/>
                <w:szCs w:val="13"/>
                <w:b w:val="1"/>
                <w:bCs w:val="1"/>
                <w:color w:val="auto"/>
                <w:w w:val="84"/>
              </w:rPr>
              <w:t>r</w:t>
            </w:r>
            <w:r>
              <w:rPr>
                <w:rFonts w:ascii="Arial" w:cs="Arial" w:eastAsia="Arial" w:hAnsi="Arial"/>
                <w:sz w:val="13"/>
                <w:szCs w:val="13"/>
                <w:color w:val="auto"/>
                <w:w w:val="84"/>
              </w:rPr>
              <w:t>e</w:t>
            </w:r>
            <w:r>
              <w:rPr>
                <w:rFonts w:ascii="Arial" w:cs="Arial" w:eastAsia="Arial" w:hAnsi="Arial"/>
                <w:sz w:val="11"/>
                <w:szCs w:val="11"/>
                <w:b w:val="1"/>
                <w:bCs w:val="1"/>
                <w:color w:val="auto"/>
                <w:w w:val="84"/>
              </w:rPr>
              <w:t>s</w:t>
            </w:r>
            <w:r>
              <w:rPr>
                <w:rFonts w:ascii="Arial" w:cs="Arial" w:eastAsia="Arial" w:hAnsi="Arial"/>
                <w:sz w:val="13"/>
                <w:szCs w:val="13"/>
                <w:color w:val="auto"/>
                <w:w w:val="84"/>
              </w:rPr>
              <w: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094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0942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2021-10-06T09:32:03Z</dcterms:created>
  <dcterms:modified xsi:type="dcterms:W3CDTF">2021-10-06T09:32:03Z</dcterms:modified>
</cp:coreProperties>
</file>