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6"/>
          <w:szCs w:val="16"/>
          <w:color w:val="auto"/>
        </w:rPr>
        <w:t>As filed with the Securities and Exchange Commission on May 10, 1996</w:t>
      </w:r>
    </w:p>
    <w:p>
      <w:pPr>
        <w:spacing w:after="0" w:line="218" w:lineRule="exact"/>
        <w:rPr>
          <w:sz w:val="24"/>
          <w:szCs w:val="24"/>
          <w:color w:val="auto"/>
        </w:rPr>
      </w:pPr>
    </w:p>
    <w:p>
      <w:pPr>
        <w:ind w:left="3680"/>
        <w:spacing w:after="0"/>
        <w:rPr>
          <w:sz w:val="20"/>
          <w:szCs w:val="20"/>
          <w:color w:val="auto"/>
        </w:rPr>
      </w:pPr>
      <w:r>
        <w:rPr>
          <w:rFonts w:ascii="Courier New" w:cs="Courier New" w:eastAsia="Courier New" w:hAnsi="Courier New"/>
          <w:sz w:val="18"/>
          <w:szCs w:val="18"/>
          <w:color w:val="auto"/>
        </w:rPr>
        <w:t>Registration No. 33-51563</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REGISTRATION STATEMENT</w:t>
      </w:r>
    </w:p>
    <w:p>
      <w:pPr>
        <w:jc w:val="center"/>
        <w:ind w:right="221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231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THE TORO COMPANY</w:t>
      </w:r>
    </w:p>
    <w:p>
      <w:pPr>
        <w:jc w:val="center"/>
        <w:ind w:right="231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ectPr>
          <w:pgSz w:w="11900" w:h="16838" w:orient="portrait"/>
          <w:cols w:equalWidth="0" w:num="1">
            <w:col w:w="9679"/>
          </w:cols>
          <w:pgMar w:left="780" w:top="452" w:right="1440" w:bottom="1440" w:gutter="0" w:footer="0" w:header="0"/>
        </w:sectPr>
      </w:pPr>
    </w:p>
    <w:p>
      <w:pPr>
        <w:spacing w:after="0" w:line="20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Delaware</w:t>
      </w:r>
    </w:p>
    <w:p>
      <w:pPr>
        <w:ind w:left="3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41-0580470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3480" w:space="620"/>
            <w:col w:w="5579"/>
          </w:cols>
          <w:pgMar w:left="780" w:top="452" w:right="1440" w:bottom="1440" w:gutter="0" w:footer="0" w:header="0"/>
          <w:type w:val="continuous"/>
        </w:sectPr>
      </w:pPr>
    </w:p>
    <w:p>
      <w:pPr>
        <w:spacing w:after="0" w:line="18"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8111 Lyndale Avenue South</w:t>
      </w:r>
    </w:p>
    <w:p>
      <w:pPr>
        <w:ind w:left="220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104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30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THE TORO COMPANY</w:t>
      </w:r>
    </w:p>
    <w:p>
      <w:pPr>
        <w:jc w:val="center"/>
        <w:ind w:right="2299"/>
        <w:spacing w:after="0" w:line="238" w:lineRule="auto"/>
        <w:rPr>
          <w:sz w:val="20"/>
          <w:szCs w:val="20"/>
          <w:color w:val="auto"/>
        </w:rPr>
      </w:pPr>
      <w:r>
        <w:rPr>
          <w:rFonts w:ascii="Courier New" w:cs="Courier New" w:eastAsia="Courier New" w:hAnsi="Courier New"/>
          <w:sz w:val="18"/>
          <w:szCs w:val="18"/>
          <w:color w:val="auto"/>
        </w:rPr>
        <w:t>1993 STOCK OPTION PLAN</w:t>
      </w:r>
    </w:p>
    <w:p>
      <w:pPr>
        <w:jc w:val="center"/>
        <w:ind w:right="2299"/>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2200"/>
        <w:spacing w:after="0"/>
        <w:rPr>
          <w:sz w:val="20"/>
          <w:szCs w:val="20"/>
          <w:color w:val="auto"/>
        </w:rPr>
      </w:pPr>
      <w:r>
        <w:rPr>
          <w:rFonts w:ascii="Courier New" w:cs="Courier New" w:eastAsia="Courier New" w:hAnsi="Courier New"/>
          <w:sz w:val="18"/>
          <w:szCs w:val="18"/>
          <w:color w:val="auto"/>
        </w:rPr>
        <w:t>J. Lawrence McIntyre, Esquire</w:t>
      </w:r>
    </w:p>
    <w:p>
      <w:pPr>
        <w:ind w:left="136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2840"/>
        <w:spacing w:after="0"/>
        <w:rPr>
          <w:sz w:val="20"/>
          <w:szCs w:val="20"/>
          <w:color w:val="auto"/>
        </w:rPr>
      </w:pPr>
      <w:r>
        <w:rPr>
          <w:rFonts w:ascii="Courier New" w:cs="Courier New" w:eastAsia="Courier New" w:hAnsi="Courier New"/>
          <w:sz w:val="18"/>
          <w:szCs w:val="18"/>
          <w:color w:val="auto"/>
        </w:rPr>
        <w:t>The Toro Company</w:t>
      </w:r>
    </w:p>
    <w:p>
      <w:pPr>
        <w:ind w:left="242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20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2000"/>
        <w:spacing w:after="0"/>
        <w:rPr>
          <w:sz w:val="20"/>
          <w:szCs w:val="20"/>
          <w:color w:val="auto"/>
        </w:rPr>
      </w:pPr>
      <w:r>
        <w:rPr>
          <w:rFonts w:ascii="Courier New" w:cs="Courier New" w:eastAsia="Courier New" w:hAnsi="Courier New"/>
          <w:sz w:val="18"/>
          <w:szCs w:val="18"/>
          <w:color w:val="auto"/>
        </w:rPr>
        <w:t>Telephone number : (612) 888-8801</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200" w:lineRule="exact"/>
        <w:rPr>
          <w:sz w:val="24"/>
          <w:szCs w:val="24"/>
          <w:color w:val="auto"/>
        </w:rPr>
      </w:pPr>
    </w:p>
    <w:p>
      <w:pPr>
        <w:spacing w:after="0" w:line="22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Helen P. Starr</w:t>
      </w:r>
    </w:p>
    <w:p>
      <w:pPr>
        <w:ind w:left="2940"/>
        <w:spacing w:after="0" w:line="238" w:lineRule="auto"/>
        <w:rPr>
          <w:sz w:val="20"/>
          <w:szCs w:val="20"/>
          <w:color w:val="auto"/>
        </w:rPr>
      </w:pPr>
      <w:r>
        <w:rPr>
          <w:rFonts w:ascii="Courier New" w:cs="Courier New" w:eastAsia="Courier New" w:hAnsi="Courier New"/>
          <w:sz w:val="18"/>
          <w:szCs w:val="18"/>
          <w:color w:val="auto"/>
        </w:rPr>
        <w:t>Attorney at Law</w:t>
      </w:r>
    </w:p>
    <w:p>
      <w:pPr>
        <w:ind w:left="2520"/>
        <w:spacing w:after="0"/>
        <w:rPr>
          <w:sz w:val="20"/>
          <w:szCs w:val="20"/>
          <w:color w:val="auto"/>
        </w:rPr>
      </w:pPr>
      <w:r>
        <w:rPr>
          <w:rFonts w:ascii="Courier New" w:cs="Courier New" w:eastAsia="Courier New" w:hAnsi="Courier New"/>
          <w:sz w:val="18"/>
          <w:szCs w:val="18"/>
          <w:color w:val="auto"/>
        </w:rPr>
        <w:t>6010 33rd Street, N.W.</w:t>
      </w:r>
    </w:p>
    <w:p>
      <w:pPr>
        <w:ind w:left="2200"/>
        <w:spacing w:after="0" w:line="237" w:lineRule="auto"/>
        <w:rPr>
          <w:sz w:val="20"/>
          <w:szCs w:val="20"/>
          <w:color w:val="auto"/>
        </w:rPr>
      </w:pPr>
      <w:r>
        <w:rPr>
          <w:rFonts w:ascii="Courier New" w:cs="Courier New" w:eastAsia="Courier New" w:hAnsi="Courier New"/>
          <w:sz w:val="18"/>
          <w:szCs w:val="18"/>
          <w:color w:val="auto"/>
        </w:rPr>
        <w:t>Washington, D.C. 20015-1606</w:t>
      </w:r>
    </w:p>
    <w:p>
      <w:pPr>
        <w:sectPr>
          <w:pgSz w:w="11900" w:h="16838" w:orient="portrait"/>
          <w:cols w:equalWidth="0" w:num="1">
            <w:col w:w="9679"/>
          </w:cols>
          <w:pgMar w:left="780" w:top="452"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Title of</w:t>
            </w:r>
          </w:p>
        </w:tc>
        <w:tc>
          <w:tcPr>
            <w:tcW w:w="740" w:type="dxa"/>
            <w:vAlign w:val="bottom"/>
          </w:tcPr>
          <w:p>
            <w:pPr>
              <w:spacing w:after="0"/>
              <w:rPr>
                <w:sz w:val="17"/>
                <w:szCs w:val="17"/>
                <w:color w:val="auto"/>
              </w:rPr>
            </w:pPr>
          </w:p>
        </w:tc>
        <w:tc>
          <w:tcPr>
            <w:tcW w:w="22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Amount to</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rPr>
              <w:t>Proposed</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to</w:t>
            </w: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be registered</w:t>
            </w: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registration fee</w:t>
            </w:r>
          </w:p>
        </w:tc>
      </w:tr>
      <w:tr>
        <w:trPr>
          <w:trHeight w:val="203"/>
        </w:trPr>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be registered</w:t>
            </w:r>
          </w:p>
        </w:tc>
        <w:tc>
          <w:tcPr>
            <w:tcW w:w="220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offering</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7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price per</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7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74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2200" w:val="left"/>
          <w:tab w:leader="none" w:pos="4420" w:val="left"/>
          <w:tab w:leader="none" w:pos="568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600,000 shares(b)</w:t>
      </w:r>
      <w:r>
        <w:rPr>
          <w:sz w:val="20"/>
          <w:szCs w:val="20"/>
          <w:color w:val="auto"/>
        </w:rPr>
        <w:tab/>
      </w:r>
      <w:r>
        <w:rPr>
          <w:rFonts w:ascii="Courier New" w:cs="Courier New" w:eastAsia="Courier New" w:hAnsi="Courier New"/>
          <w:sz w:val="18"/>
          <w:szCs w:val="18"/>
          <w:color w:val="auto"/>
        </w:rPr>
        <w:t>$31.75(c)</w:t>
      </w:r>
      <w:r>
        <w:rPr>
          <w:sz w:val="20"/>
          <w:szCs w:val="20"/>
          <w:color w:val="auto"/>
        </w:rPr>
        <w:tab/>
      </w:r>
      <w:r>
        <w:rPr>
          <w:rFonts w:ascii="Courier New" w:cs="Courier New" w:eastAsia="Courier New" w:hAnsi="Courier New"/>
          <w:sz w:val="16"/>
          <w:szCs w:val="16"/>
          <w:color w:val="auto"/>
        </w:rPr>
        <w:t>$19,050,000(c) $6,569(d)</w:t>
      </w:r>
    </w:p>
    <w:p>
      <w:pPr>
        <w:spacing w:after="0" w:line="238" w:lineRule="auto"/>
        <w:rPr>
          <w:sz w:val="20"/>
          <w:szCs w:val="20"/>
          <w:color w:val="auto"/>
        </w:rPr>
      </w:pPr>
      <w:r>
        <w:rPr>
          <w:rFonts w:ascii="Courier New" w:cs="Courier New" w:eastAsia="Courier New" w:hAnsi="Courier New"/>
          <w:sz w:val="18"/>
          <w:szCs w:val="18"/>
          <w:color w:val="auto"/>
        </w:rPr>
        <w:t>par value $1.00 per</w:t>
      </w:r>
    </w:p>
    <w:p>
      <w:pPr>
        <w:spacing w:after="0"/>
        <w:rPr>
          <w:sz w:val="20"/>
          <w:szCs w:val="20"/>
          <w:color w:val="auto"/>
        </w:rPr>
      </w:pPr>
      <w:r>
        <w:rPr>
          <w:rFonts w:ascii="Courier New" w:cs="Courier New" w:eastAsia="Courier New" w:hAnsi="Courier New"/>
          <w:sz w:val="18"/>
          <w:szCs w:val="18"/>
          <w:color w:val="auto"/>
        </w:rPr>
        <w:t>share (a)</w:t>
      </w:r>
    </w:p>
    <w:p>
      <w:pPr>
        <w:spacing w:after="0" w:line="3"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177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has attached thereto one Preferred Share Purchase Right. Value attributable to such Rights, if any, is reflected in the market price of the Common Stock.</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indeterminate number of shares will be issued from time to time to participants in the Plan.</w:t>
      </w:r>
    </w:p>
    <w:p>
      <w:pPr>
        <w:spacing w:after="0" w:line="208"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to calculate the registration fee, pursuant to Rule 457(c) on the basis of the average of the high and low prices on the New York Stock Exchange on May 7, 1996 as reported in THE WALL STREET JOURNAL.</w:t>
      </w:r>
    </w:p>
    <w:p>
      <w:pPr>
        <w:spacing w:after="0" w:line="17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fee to be applied to account number 737758.</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Amendment No. 1, filed pursuant to Instruction E of Form S-8, relates to Registrant's Registration Statement on Form S-8 (No. 33-51563), filed with the Securities and Exchange Commission on December 17, 1993. Under that Registration Statement, Registrant registered 1,000,000 shares of Common Stock for issuance in connection with The Toro Company 1993 Stock Option Plan (the "Plan"). This Amendment No. 1 increases to 1,600,000 shares the total number of shares registered for issuance under the Plan.</w:t>
      </w:r>
    </w:p>
    <w:p>
      <w:pPr>
        <w:spacing w:after="0" w:line="21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contents of Registrant's Registration Statement on Form S-8 (No. 33-51563) are incorporated by reference in this Amendment No. 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March 12, 1996, the stockholders of Registrant approved amendments to the Plan to increase the number of shares of Common Stock that may be issued under the Plan from 1,000,000 to 1,600,000, subject to adjustment to reflect changes in the corporate or capital structure of Registrant, and to ensure that stock options granted under the Plan continue to qualify as performance-based compensation for federal income tax purposes.</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permitted by the instructions to Form S-8, this Amendment No. 1 to Registrant's Registration Statement on Form S-8 omits the information specified in Part I of that form.</w:t>
      </w:r>
    </w:p>
    <w:p>
      <w:pPr>
        <w:sectPr>
          <w:pgSz w:w="11900" w:h="16838" w:orient="portrait"/>
          <w:cols w:equalWidth="0" w:num="1">
            <w:col w:w="10219"/>
          </w:cols>
          <w:pgMar w:left="240" w:top="919"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ind w:left="1060" w:hanging="1052"/>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KPMG Peat Marwick LLP.</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Exhibits: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Toro Company 1993 Stock Option Plan, as amended and restated.</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Pursuant to the requirements of the Securities Act of 1933, the Registrant certifies that it has reasonable grounds to believe that it meets all of the requirements for filing on Form S-8 and has duly caused this Amendment No. 1 to its Registration Statement to be signed on its behalf by the undersigned, thereunto duly authorized, in the City of Bloomington, State of Minnesota on the 10th day of May, 1996.</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TORO COMPANY</w:t>
      </w:r>
    </w:p>
    <w:p>
      <w:pPr>
        <w:ind w:left="26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J. LAWRENCE MCINTYRE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J. Lawrence McIntyre, Vice President,</w:t>
      </w:r>
    </w:p>
    <w:p>
      <w:pPr>
        <w:ind w:left="306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Amendment No. 1 to its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ind w:left="320"/>
              <w:spacing w:after="0"/>
              <w:rPr>
                <w:sz w:val="20"/>
                <w:szCs w:val="20"/>
                <w:color w:val="auto"/>
              </w:rPr>
            </w:pPr>
            <w:r>
              <w:rPr>
                <w:rFonts w:ascii="Courier New" w:cs="Courier New" w:eastAsia="Courier New" w:hAnsi="Courier New"/>
                <w:sz w:val="18"/>
                <w:szCs w:val="18"/>
                <w:color w:val="auto"/>
              </w:rPr>
              <w:t>SIGNATURE</w:t>
            </w:r>
          </w:p>
        </w:tc>
        <w:tc>
          <w:tcPr>
            <w:tcW w:w="4200" w:type="dxa"/>
            <w:vAlign w:val="bottom"/>
          </w:tcPr>
          <w:p>
            <w:pPr>
              <w:ind w:left="1260"/>
              <w:spacing w:after="0"/>
              <w:rPr>
                <w:sz w:val="20"/>
                <w:szCs w:val="20"/>
                <w:color w:val="auto"/>
              </w:rPr>
            </w:pPr>
            <w:r>
              <w:rPr>
                <w:rFonts w:ascii="Courier New" w:cs="Courier New" w:eastAsia="Courier New" w:hAnsi="Courier New"/>
                <w:sz w:val="18"/>
                <w:szCs w:val="18"/>
                <w:color w:val="auto"/>
              </w:rPr>
              <w:t>TITLE</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DATE</w:t>
            </w:r>
          </w:p>
        </w:tc>
        <w:tc>
          <w:tcPr>
            <w:tcW w:w="7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KENDRICK B. MELROSE</w:t>
            </w:r>
          </w:p>
        </w:tc>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rPr>
              <w:t>Chairman, Chief Executive</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5"/>
              </w:rPr>
              <w:t>May 10,</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 President and Director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rPr>
              <w:t>Vice President Finance</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5"/>
              </w:rPr>
              <w:t>May 10,</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T. Knight</w:t>
            </w:r>
          </w:p>
        </w:tc>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rPr>
              <w:t>Vice President and Controller</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5"/>
              </w:rPr>
              <w:t>May 10,</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4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May</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 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4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May</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w w:val="92"/>
              </w:rPr>
              <w:t>, 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 Buhrmaster</w:t>
            </w:r>
          </w:p>
        </w:tc>
        <w:tc>
          <w:tcPr>
            <w:tcW w:w="4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May</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w w:val="92"/>
              </w:rPr>
              <w:t>, 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Janet K. Cooper</w:t>
            </w:r>
          </w:p>
        </w:tc>
        <w:tc>
          <w:tcPr>
            <w:tcW w:w="4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W. George</w:t>
      </w:r>
    </w:p>
    <w:p>
      <w:pPr>
        <w:spacing w:after="0" w:line="200" w:lineRule="exact"/>
        <w:rPr>
          <w:sz w:val="20"/>
          <w:szCs w:val="20"/>
          <w:color w:val="auto"/>
        </w:rPr>
      </w:pPr>
    </w:p>
    <w:p>
      <w:pPr>
        <w:spacing w:after="0" w:line="204" w:lineRule="exact"/>
        <w:rPr>
          <w:sz w:val="20"/>
          <w:szCs w:val="20"/>
          <w:color w:val="auto"/>
        </w:rPr>
      </w:pPr>
    </w:p>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 A. Meyer</w:t>
      </w:r>
    </w:p>
    <w:p>
      <w:pPr>
        <w:spacing w:after="0" w:line="202" w:lineRule="exact"/>
        <w:rPr>
          <w:sz w:val="20"/>
          <w:szCs w:val="20"/>
          <w:color w:val="auto"/>
        </w:rPr>
      </w:pPr>
    </w:p>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Nassau</w:t>
      </w:r>
    </w:p>
    <w:p>
      <w:pPr>
        <w:spacing w:after="0" w:line="202" w:lineRule="exact"/>
        <w:rPr>
          <w:sz w:val="20"/>
          <w:szCs w:val="20"/>
          <w:color w:val="auto"/>
        </w:rPr>
      </w:pPr>
    </w:p>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R. Olseth</w:t>
      </w:r>
    </w:p>
    <w:p>
      <w:pPr>
        <w:spacing w:after="0" w:line="202" w:lineRule="exact"/>
        <w:rPr>
          <w:sz w:val="20"/>
          <w:szCs w:val="20"/>
          <w:color w:val="auto"/>
        </w:rPr>
      </w:pPr>
    </w:p>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H. Wingate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KENDRICK B. MELROSE</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Kendrick B. Melrose</w:t>
      </w:r>
    </w:p>
    <w:p>
      <w:pPr>
        <w:spacing w:after="0" w:line="4" w:lineRule="exact"/>
        <w:rPr>
          <w:rFonts w:ascii="Courier New" w:cs="Courier New" w:eastAsia="Courier New" w:hAnsi="Courier New"/>
          <w:sz w:val="18"/>
          <w:szCs w:val="18"/>
          <w:color w:val="auto"/>
        </w:rPr>
      </w:pPr>
    </w:p>
    <w:p>
      <w:pPr>
        <w:ind w:left="860" w:right="7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ATTORNEY-IN-FACT May 10, 1996</w:t>
      </w:r>
    </w:p>
    <w:p>
      <w:pPr>
        <w:sectPr>
          <w:pgSz w:w="11900" w:h="16838" w:orient="portrait"/>
          <w:cols w:equalWidth="0" w:num="1">
            <w:col w:w="10219"/>
          </w:cols>
          <w:pgMar w:left="240" w:top="717"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6"/>
          <w:szCs w:val="16"/>
          <w:color w:val="auto"/>
        </w:rPr>
        <w:t>EXHIBIT LIST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CONSECUTIVELY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8" w:lineRule="exact"/>
        <w:rPr>
          <w:sz w:val="20"/>
          <w:szCs w:val="20"/>
          <w:color w:val="auto"/>
        </w:rPr>
      </w:pPr>
    </w:p>
    <w:p>
      <w:pPr>
        <w:sectPr>
          <w:pgSz w:w="11900" w:h="16838" w:orient="portrait"/>
          <w:cols w:equalWidth="0" w:num="3">
            <w:col w:w="740" w:space="320"/>
            <w:col w:w="4020" w:space="720"/>
            <w:col w:w="4419"/>
          </w:cols>
          <w:pgMar w:left="240" w:top="723" w:right="1440" w:bottom="1440" w:gutter="0" w:footer="0" w:header="0"/>
          <w:type w:val="continuous"/>
        </w:sectPr>
      </w:pPr>
    </w:p>
    <w:p>
      <w:pPr>
        <w:ind w:left="1060" w:hanging="1052"/>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KPMG Peat Marwick LLP.</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Exhibits:</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Toro Company 1993 Stock Option Plan, as</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amended and restated.</w:t>
      </w:r>
    </w:p>
    <w:p>
      <w:pPr>
        <w:sectPr>
          <w:pgSz w:w="11900" w:h="16838" w:orient="portrait"/>
          <w:cols w:equalWidth="0" w:num="1">
            <w:col w:w="10219"/>
          </w:cols>
          <w:pgMar w:left="240" w:top="723" w:right="1440" w:bottom="1440" w:gutter="0" w:footer="0" w:header="0"/>
          <w:type w:val="continuous"/>
        </w:sectPr>
      </w:pPr>
    </w:p>
    <w:bookmarkStart w:id="6" w:name="page7"/>
    <w:bookmarkEnd w:id="6"/>
    <w:p>
      <w:pPr>
        <w:jc w:val="center"/>
        <w:ind w:right="-340"/>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consent to the use of our reports incorporated herein by reference in the Registration Statement on Form S-8.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 KPMG Peat Marwick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May 10, 1996</w:t>
      </w:r>
    </w:p>
    <w:p>
      <w:pPr>
        <w:sectPr>
          <w:pgSz w:w="11900" w:h="16838" w:orient="portrait"/>
          <w:cols w:equalWidth="0" w:num="1">
            <w:col w:w="10219"/>
          </w:cols>
          <w:pgMar w:left="240" w:top="541" w:right="1440" w:bottom="1440" w:gutter="0" w:footer="0" w:header="0"/>
        </w:sectPr>
      </w:pPr>
    </w:p>
    <w:bookmarkStart w:id="7" w:name="page8"/>
    <w:bookmarkEnd w:id="7"/>
    <w:p>
      <w:pPr>
        <w:jc w:val="center"/>
        <w:ind w:right="2419"/>
        <w:spacing w:after="0"/>
        <w:rPr>
          <w:sz w:val="20"/>
          <w:szCs w:val="20"/>
          <w:color w:val="auto"/>
        </w:rPr>
      </w:pPr>
      <w:r>
        <w:rPr>
          <w:rFonts w:ascii="Courier New" w:cs="Courier New" w:eastAsia="Courier New" w:hAnsi="Courier New"/>
          <w:sz w:val="18"/>
          <w:szCs w:val="18"/>
          <w:color w:val="auto"/>
        </w:rPr>
        <w:t>THE TORO COMPANY</w:t>
      </w:r>
    </w:p>
    <w:p>
      <w:pPr>
        <w:jc w:val="center"/>
        <w:ind w:right="2419"/>
        <w:spacing w:after="0" w:line="238" w:lineRule="auto"/>
        <w:rPr>
          <w:sz w:val="20"/>
          <w:szCs w:val="20"/>
          <w:color w:val="auto"/>
        </w:rPr>
      </w:pPr>
      <w:r>
        <w:rPr>
          <w:rFonts w:ascii="Courier New" w:cs="Courier New" w:eastAsia="Courier New" w:hAnsi="Courier New"/>
          <w:sz w:val="18"/>
          <w:szCs w:val="18"/>
          <w:color w:val="auto"/>
        </w:rPr>
        <w:t>1993 STOCK OPTION PLAN</w:t>
      </w:r>
    </w:p>
    <w:p>
      <w:pPr>
        <w:jc w:val="center"/>
        <w:ind w:right="2319"/>
        <w:spacing w:after="0"/>
        <w:rPr>
          <w:sz w:val="20"/>
          <w:szCs w:val="20"/>
          <w:color w:val="auto"/>
        </w:rPr>
      </w:pPr>
      <w:r>
        <w:rPr>
          <w:rFonts w:ascii="Courier New" w:cs="Courier New" w:eastAsia="Courier New" w:hAnsi="Courier New"/>
          <w:sz w:val="18"/>
          <w:szCs w:val="18"/>
          <w:color w:val="auto"/>
        </w:rPr>
        <w:t>(AS AMENDED AND RESTATED, OCTOBER 17, 1995)</w:t>
      </w:r>
    </w:p>
    <w:p>
      <w:pPr>
        <w:jc w:val="center"/>
        <w:ind w:right="2319"/>
        <w:spacing w:after="0" w:line="237" w:lineRule="auto"/>
        <w:rPr>
          <w:sz w:val="20"/>
          <w:szCs w:val="20"/>
          <w:color w:val="auto"/>
        </w:rPr>
      </w:pPr>
      <w:r>
        <w:rPr>
          <w:rFonts w:ascii="Courier New" w:cs="Courier New" w:eastAsia="Courier New" w:hAnsi="Courier New"/>
          <w:sz w:val="18"/>
          <w:szCs w:val="18"/>
          <w:color w:val="auto"/>
        </w:rPr>
        <w:t>(SUBJECT TO STOCKHOLDER APPROVAL ON MARCH 12, 1996)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879" w:hanging="532"/>
        <w:spacing w:after="0" w:line="269"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39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The effective date of the Plan shall be August 17, 1993.</w:t>
      </w:r>
    </w:p>
    <w:p>
      <w:pPr>
        <w:spacing w:after="0" w:line="206" w:lineRule="exact"/>
        <w:rPr>
          <w:rFonts w:ascii="Courier New" w:cs="Courier New" w:eastAsia="Courier New" w:hAnsi="Courier New"/>
          <w:sz w:val="18"/>
          <w:szCs w:val="18"/>
          <w:color w:val="auto"/>
        </w:rPr>
      </w:pPr>
    </w:p>
    <w:p>
      <w:pPr>
        <w:ind w:left="540" w:right="1779"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 The Plan shall be administered by the Compensation Committee (the "Committee") of the Board of Directors of the Company (the "Board"), provided that members of the Committee shall qualify to administer the Plan as contemplated by Rule 16b-3 promulgated under the Securities Exchange Act of 1934 (the "Exchange Act") or any successor rule and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w:t>
      </w:r>
    </w:p>
    <w:p>
      <w:pPr>
        <w:sectPr>
          <w:pgSz w:w="11900" w:h="16838" w:orient="portrait"/>
          <w:cols w:equalWidth="0" w:num="1">
            <w:col w:w="10219"/>
          </w:cols>
          <w:pgMar w:left="240" w:top="541" w:right="1440" w:bottom="1440" w:gutter="0" w:footer="0" w:header="0"/>
        </w:sectPr>
      </w:pPr>
    </w:p>
    <w:bookmarkStart w:id="8" w:name="page9"/>
    <w:bookmarkEnd w:id="8"/>
    <w:p>
      <w:pPr>
        <w:ind w:left="532" w:right="2619"/>
        <w:spacing w:after="0" w:line="290" w:lineRule="auto"/>
        <w:rPr>
          <w:sz w:val="20"/>
          <w:szCs w:val="20"/>
          <w:color w:val="auto"/>
        </w:rPr>
      </w:pPr>
      <w:r>
        <w:rPr>
          <w:rFonts w:ascii="Courier New" w:cs="Courier New" w:eastAsia="Courier New" w:hAnsi="Courier New"/>
          <w:sz w:val="16"/>
          <w:szCs w:val="16"/>
          <w:color w:val="auto"/>
        </w:rPr>
        <w:t>thereunder. Committee members shall be reimbursed for out-of-pocket expenses reasonably incurred in the administration of the Plan.</w:t>
      </w:r>
    </w:p>
    <w:p>
      <w:pPr>
        <w:spacing w:after="0" w:line="170" w:lineRule="exact"/>
        <w:rPr>
          <w:sz w:val="20"/>
          <w:szCs w:val="20"/>
          <w:color w:val="auto"/>
        </w:rPr>
      </w:pPr>
    </w:p>
    <w:p>
      <w:pPr>
        <w:ind w:left="532" w:right="1779"/>
        <w:spacing w:after="0" w:line="270" w:lineRule="auto"/>
        <w:rPr>
          <w:sz w:val="20"/>
          <w:szCs w:val="20"/>
          <w:color w:val="auto"/>
        </w:rPr>
      </w:pPr>
      <w:r>
        <w:rPr>
          <w:rFonts w:ascii="Courier New" w:cs="Courier New" w:eastAsia="Courier New" w:hAnsi="Courier New"/>
          <w:sz w:val="16"/>
          <w:szCs w:val="16"/>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387" w:lineRule="exact"/>
        <w:rPr>
          <w:sz w:val="20"/>
          <w:szCs w:val="20"/>
          <w:color w:val="auto"/>
        </w:rPr>
      </w:pPr>
    </w:p>
    <w:p>
      <w:pPr>
        <w:ind w:left="532" w:right="1779" w:hanging="532"/>
        <w:spacing w:after="0" w:line="269" w:lineRule="auto"/>
        <w:tabs>
          <w:tab w:leader="none" w:pos="5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w:t>
      </w:r>
    </w:p>
    <w:p>
      <w:pPr>
        <w:spacing w:after="0" w:line="200" w:lineRule="exact"/>
        <w:rPr>
          <w:sz w:val="20"/>
          <w:szCs w:val="20"/>
          <w:color w:val="auto"/>
        </w:rPr>
      </w:pPr>
    </w:p>
    <w:p>
      <w:pPr>
        <w:spacing w:after="0" w:line="38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723" w:right="1440" w:bottom="1440" w:gutter="0" w:footer="0" w:header="0"/>
        </w:sectPr>
      </w:pPr>
    </w:p>
    <w:bookmarkStart w:id="9" w:name="page10"/>
    <w:bookmarkEnd w:id="9"/>
    <w:p>
      <w:pPr>
        <w:ind w:left="532" w:right="2199"/>
        <w:spacing w:after="0" w:line="236" w:lineRule="auto"/>
        <w:rPr>
          <w:sz w:val="20"/>
          <w:szCs w:val="20"/>
          <w:color w:val="auto"/>
        </w:rPr>
      </w:pPr>
      <w:r>
        <w:rPr>
          <w:rFonts w:ascii="Courier New" w:cs="Courier New" w:eastAsia="Courier New" w:hAnsi="Courier New"/>
          <w:sz w:val="18"/>
          <w:szCs w:val="18"/>
          <w:color w:val="auto"/>
        </w:rPr>
        <w:t>the Company affecting the Common Stock, or a sale by the Company of all or part of its assets or any distribution to stockholders other than a normal cash dividend.</w:t>
      </w:r>
    </w:p>
    <w:p>
      <w:pPr>
        <w:spacing w:after="0" w:line="209" w:lineRule="exact"/>
        <w:rPr>
          <w:sz w:val="20"/>
          <w:szCs w:val="20"/>
          <w:color w:val="auto"/>
        </w:rPr>
      </w:pPr>
    </w:p>
    <w:p>
      <w:pPr>
        <w:ind w:left="532" w:right="1879" w:hanging="532"/>
        <w:spacing w:after="0" w:line="238" w:lineRule="auto"/>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208" w:lineRule="exact"/>
        <w:rPr>
          <w:rFonts w:ascii="Courier New" w:cs="Courier New" w:eastAsia="Courier New" w:hAnsi="Courier New"/>
          <w:sz w:val="18"/>
          <w:szCs w:val="18"/>
          <w:color w:val="auto"/>
        </w:rPr>
      </w:pPr>
    </w:p>
    <w:p>
      <w:pPr>
        <w:ind w:left="532" w:right="1779" w:hanging="532"/>
        <w:spacing w:after="0" w:line="275" w:lineRule="auto"/>
        <w:tabs>
          <w:tab w:leader="none" w:pos="53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82"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207"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An option agreement shall specify the date of grant, which shall be the date on which the Committee grants an option or any later date which the Committee specifically designates.</w:t>
      </w:r>
    </w:p>
    <w:p>
      <w:pPr>
        <w:spacing w:after="0" w:line="208" w:lineRule="exact"/>
        <w:rPr>
          <w:rFonts w:ascii="Courier New" w:cs="Courier New" w:eastAsia="Courier New" w:hAnsi="Courier New"/>
          <w:sz w:val="18"/>
          <w:szCs w:val="18"/>
          <w:color w:val="auto"/>
        </w:rPr>
      </w:pPr>
    </w:p>
    <w:p>
      <w:pPr>
        <w:ind w:left="1052" w:right="1779" w:hanging="525"/>
        <w:spacing w:after="0" w:line="273" w:lineRule="auto"/>
        <w:tabs>
          <w:tab w:leader="none" w:pos="105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OF COMMON STOCK. An option agreement shall specify the number of shares of Common Stock to which it pertains. Notwithstanding any other provision of the Plan, the maximum number of shares that may be covered by option grants to a person referred to in Section 162(m) during any calendar year shall be 100,000 shares.</w:t>
      </w:r>
    </w:p>
    <w:p>
      <w:pPr>
        <w:spacing w:after="0" w:line="17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10" w:name="page11"/>
    <w:bookmarkEnd w:id="10"/>
    <w:p>
      <w:pPr>
        <w:ind w:left="525" w:right="1879" w:hanging="525"/>
        <w:spacing w:after="0" w:line="270" w:lineRule="auto"/>
        <w:tabs>
          <w:tab w:leader="none" w:pos="52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Except as provided in Section 7.C.i. hereof, and subject to any contrary requirement of Section 16 of the Securities Exchange Act of 1934 (the "Exchange Act") or Section 162(m) of the Internal Revenue Code, the exercise price per share under any option shall be equal to the fair market value of one share of Common Stock on the date of grant. In no event shall the exercise price of an Incentive Stock Option be less than 100% of the fair market value of the Common Stock on the date such option is granted or such other amount required by Section 422 of the Internal Revenue Code. Fair market value shall be the closing price of one share of Common Stock on the New York Stock Exchange as reported by THE WALL STREET JOURNAL or other readily available quotation of composite transactions.</w:t>
      </w:r>
    </w:p>
    <w:p>
      <w:pPr>
        <w:spacing w:after="0" w:line="390" w:lineRule="exact"/>
        <w:rPr>
          <w:rFonts w:ascii="Courier New" w:cs="Courier New" w:eastAsia="Courier New" w:hAnsi="Courier New"/>
          <w:sz w:val="16"/>
          <w:szCs w:val="16"/>
          <w:color w:val="auto"/>
        </w:rPr>
      </w:pPr>
    </w:p>
    <w:p>
      <w:pPr>
        <w:ind w:left="525" w:right="1999" w:firstLine="527"/>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the foregoing, the exercise price per share under any option granted in connection with the Company's Continuous Performance Award Plan, or successor plan, shall be determined in accordance with the provisions of that plan, provided that the right to exercise any such option, the exercise price of which is not fair market value on the date of grant, is contingent upon achievement of performance goals established under the plan.</w:t>
      </w:r>
    </w:p>
    <w:p>
      <w:pPr>
        <w:spacing w:after="0" w:line="187" w:lineRule="exact"/>
        <w:rPr>
          <w:rFonts w:ascii="Courier New" w:cs="Courier New" w:eastAsia="Courier New" w:hAnsi="Courier New"/>
          <w:sz w:val="16"/>
          <w:szCs w:val="16"/>
          <w:color w:val="auto"/>
        </w:rPr>
      </w:pPr>
    </w:p>
    <w:p>
      <w:pPr>
        <w:ind w:left="525" w:right="2619" w:hanging="525"/>
        <w:spacing w:after="0" w:line="235" w:lineRule="auto"/>
        <w:tabs>
          <w:tab w:leader="none" w:pos="52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OPTIONS. The term of each option shall be fixed by the Committee.</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AND TRANSFERABILITY.</w:t>
      </w:r>
    </w:p>
    <w:p>
      <w:pPr>
        <w:spacing w:after="0" w:line="206"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208"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w:t>
      </w:r>
    </w:p>
    <w:p>
      <w:pPr>
        <w:spacing w:after="0" w:line="20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925" w:right="1440" w:bottom="1440" w:gutter="0" w:footer="0" w:header="0"/>
        </w:sectPr>
      </w:pPr>
    </w:p>
    <w:bookmarkStart w:id="11" w:name="page12"/>
    <w:bookmarkEnd w:id="11"/>
    <w:p>
      <w:pPr>
        <w:ind w:left="624" w:right="2099"/>
        <w:spacing w:after="0" w:line="268" w:lineRule="auto"/>
        <w:rPr>
          <w:sz w:val="20"/>
          <w:szCs w:val="20"/>
          <w:color w:val="auto"/>
        </w:rPr>
      </w:pPr>
      <w:r>
        <w:rPr>
          <w:rFonts w:ascii="Courier New" w:cs="Courier New" w:eastAsia="Courier New" w:hAnsi="Courier New"/>
          <w:sz w:val="16"/>
          <w:szCs w:val="16"/>
          <w:color w:val="auto"/>
        </w:rPr>
        <w:t>of the date the option expires or one year after the date such employment or performance of services ceases by reason of disability, but only with respect to an option exercisable at the time such employment or performance of services ceases and</w:t>
      </w:r>
    </w:p>
    <w:p>
      <w:pPr>
        <w:spacing w:after="0" w:line="1" w:lineRule="exact"/>
        <w:rPr>
          <w:sz w:val="20"/>
          <w:szCs w:val="20"/>
          <w:color w:val="auto"/>
        </w:rPr>
      </w:pPr>
    </w:p>
    <w:p>
      <w:pPr>
        <w:ind w:left="624" w:right="2099" w:firstLine="8"/>
        <w:spacing w:after="0" w:line="238" w:lineRule="auto"/>
        <w:tabs>
          <w:tab w:leader="none" w:pos="104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212" w:lineRule="exact"/>
        <w:rPr>
          <w:rFonts w:ascii="Courier New" w:cs="Courier New" w:eastAsia="Courier New" w:hAnsi="Courier New"/>
          <w:sz w:val="18"/>
          <w:szCs w:val="18"/>
          <w:color w:val="auto"/>
        </w:rPr>
      </w:pPr>
    </w:p>
    <w:p>
      <w:pPr>
        <w:ind w:left="624" w:right="1779" w:hanging="624"/>
        <w:spacing w:after="0" w:line="237" w:lineRule="auto"/>
        <w:tabs>
          <w:tab w:leader="none" w:pos="62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w:t>
      </w:r>
    </w:p>
    <w:p>
      <w:pPr>
        <w:spacing w:after="0" w:line="209"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723" w:right="1440" w:bottom="1440" w:gutter="0" w:footer="0" w:header="0"/>
        </w:sectPr>
      </w:pPr>
    </w:p>
    <w:bookmarkStart w:id="12" w:name="page13"/>
    <w:bookmarkEnd w:id="12"/>
    <w:p>
      <w:pPr>
        <w:ind w:left="1045" w:right="3159"/>
        <w:spacing w:after="0" w:line="235" w:lineRule="auto"/>
        <w:rPr>
          <w:sz w:val="20"/>
          <w:szCs w:val="20"/>
          <w:color w:val="auto"/>
        </w:rPr>
      </w:pPr>
      <w:r>
        <w:rPr>
          <w:rFonts w:ascii="Courier New" w:cs="Courier New" w:eastAsia="Courier New" w:hAnsi="Courier New"/>
          <w:sz w:val="18"/>
          <w:szCs w:val="18"/>
          <w:color w:val="auto"/>
        </w:rPr>
        <w:t>the date which is twelve months prior to the date of termination.</w:t>
      </w:r>
    </w:p>
    <w:p>
      <w:pPr>
        <w:spacing w:after="0" w:line="208" w:lineRule="exact"/>
        <w:rPr>
          <w:sz w:val="20"/>
          <w:szCs w:val="20"/>
          <w:color w:val="auto"/>
        </w:rPr>
      </w:pPr>
    </w:p>
    <w:p>
      <w:pPr>
        <w:ind w:left="1045" w:right="1879" w:hanging="519"/>
        <w:spacing w:after="0" w:line="275" w:lineRule="auto"/>
        <w:tabs>
          <w:tab w:leader="none" w:pos="104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82" w:lineRule="exact"/>
        <w:rPr>
          <w:rFonts w:ascii="Courier New" w:cs="Courier New" w:eastAsia="Courier New" w:hAnsi="Courier New"/>
          <w:sz w:val="16"/>
          <w:szCs w:val="16"/>
          <w:color w:val="auto"/>
        </w:rPr>
      </w:pPr>
    </w:p>
    <w:p>
      <w:pPr>
        <w:ind w:left="1045" w:right="1779" w:hanging="519"/>
        <w:spacing w:after="0" w:line="237" w:lineRule="auto"/>
        <w:tabs>
          <w:tab w:leader="none" w:pos="104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213"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any option be exercisable at any time after its expiration date unless extended by the Committee. When an option is no longer exercisable, it shall be deemed to have lapsed or terminated.</w:t>
      </w:r>
    </w:p>
    <w:p>
      <w:pPr>
        <w:spacing w:after="0" w:line="207" w:lineRule="exact"/>
        <w:rPr>
          <w:rFonts w:ascii="Courier New" w:cs="Courier New" w:eastAsia="Courier New" w:hAnsi="Courier New"/>
          <w:sz w:val="18"/>
          <w:szCs w:val="18"/>
          <w:color w:val="auto"/>
        </w:rPr>
      </w:pPr>
    </w:p>
    <w:p>
      <w:pPr>
        <w:ind w:left="525" w:right="1779" w:hanging="525"/>
        <w:spacing w:after="0" w:line="238" w:lineRule="auto"/>
        <w:tabs>
          <w:tab w:leader="none" w:pos="52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84"/>
          </w:cols>
          <w:pgMar w:left="775" w:top="723" w:right="1440" w:bottom="1440" w:gutter="0" w:footer="0" w:header="0"/>
        </w:sectPr>
      </w:pPr>
    </w:p>
    <w:bookmarkStart w:id="13" w:name="page14"/>
    <w:bookmarkEnd w:id="13"/>
    <w:p>
      <w:pPr>
        <w:ind w:left="525" w:right="1879"/>
        <w:spacing w:after="0" w:line="235" w:lineRule="auto"/>
        <w:rPr>
          <w:sz w:val="20"/>
          <w:szCs w:val="20"/>
          <w:color w:val="auto"/>
        </w:rPr>
      </w:pPr>
      <w:r>
        <w:rPr>
          <w:rFonts w:ascii="Courier New" w:cs="Courier New" w:eastAsia="Courier New" w:hAnsi="Courier New"/>
          <w:sz w:val="18"/>
          <w:szCs w:val="18"/>
          <w:color w:val="auto"/>
        </w:rPr>
        <w:t>No shares of Common Stock shall be issued until full payment therefor has been made.</w:t>
      </w:r>
    </w:p>
    <w:p>
      <w:pPr>
        <w:spacing w:after="0" w:line="208" w:lineRule="exact"/>
        <w:rPr>
          <w:sz w:val="20"/>
          <w:szCs w:val="20"/>
          <w:color w:val="auto"/>
        </w:rPr>
      </w:pPr>
    </w:p>
    <w:p>
      <w:pPr>
        <w:ind w:left="525" w:right="1779" w:hanging="525"/>
        <w:spacing w:after="0" w:line="270" w:lineRule="auto"/>
        <w:tabs>
          <w:tab w:leader="none" w:pos="52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386" w:lineRule="exact"/>
        <w:rPr>
          <w:rFonts w:ascii="Courier New" w:cs="Courier New" w:eastAsia="Courier New" w:hAnsi="Courier New"/>
          <w:sz w:val="16"/>
          <w:szCs w:val="16"/>
          <w:color w:val="auto"/>
        </w:rPr>
      </w:pPr>
    </w:p>
    <w:p>
      <w:pPr>
        <w:ind w:left="525" w:right="1779" w:hanging="525"/>
        <w:spacing w:after="0" w:line="269" w:lineRule="auto"/>
        <w:tabs>
          <w:tab w:leader="none" w:pos="52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200" w:lineRule="exact"/>
        <w:rPr>
          <w:sz w:val="20"/>
          <w:szCs w:val="20"/>
          <w:color w:val="auto"/>
        </w:rPr>
      </w:pPr>
    </w:p>
    <w:p>
      <w:pPr>
        <w:spacing w:after="0" w:line="39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84"/>
          </w:cols>
          <w:pgMar w:left="775" w:top="925" w:right="1440" w:bottom="1440" w:gutter="0" w:footer="0" w:header="0"/>
        </w:sectPr>
      </w:pPr>
    </w:p>
    <w:bookmarkStart w:id="14" w:name="page15"/>
    <w:bookmarkEnd w:id="14"/>
    <w:p>
      <w:pPr>
        <w:ind w:left="1052" w:right="1999" w:hanging="525"/>
        <w:spacing w:after="0" w:line="237" w:lineRule="auto"/>
        <w:tabs>
          <w:tab w:leader="none" w:pos="10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209"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215" w:lineRule="exact"/>
        <w:rPr>
          <w:rFonts w:ascii="Courier New" w:cs="Courier New" w:eastAsia="Courier New" w:hAnsi="Courier New"/>
          <w:sz w:val="18"/>
          <w:szCs w:val="18"/>
          <w:color w:val="auto"/>
        </w:rPr>
      </w:pPr>
    </w:p>
    <w:p>
      <w:pPr>
        <w:ind w:left="1052" w:right="1779" w:hanging="525"/>
        <w:spacing w:after="0" w:line="272" w:lineRule="auto"/>
        <w:tabs>
          <w:tab w:leader="none" w:pos="105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85" w:lineRule="exact"/>
        <w:rPr>
          <w:rFonts w:ascii="Courier New" w:cs="Courier New" w:eastAsia="Courier New" w:hAnsi="Courier New"/>
          <w:sz w:val="16"/>
          <w:szCs w:val="16"/>
          <w:color w:val="auto"/>
        </w:rPr>
      </w:pPr>
    </w:p>
    <w:p>
      <w:pPr>
        <w:ind w:left="532" w:right="1779" w:hanging="532"/>
        <w:spacing w:after="0" w:line="271" w:lineRule="auto"/>
        <w:tabs>
          <w:tab w:leader="none" w:pos="53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w:t>
      </w:r>
    </w:p>
    <w:p>
      <w:pPr>
        <w:spacing w:after="0" w:line="38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925" w:right="1440" w:bottom="1440" w:gutter="0" w:footer="0" w:header="0"/>
        </w:sectPr>
      </w:pPr>
    </w:p>
    <w:bookmarkStart w:id="15" w:name="page16"/>
    <w:bookmarkEnd w:id="15"/>
    <w:p>
      <w:pPr>
        <w:ind w:left="532" w:right="1779"/>
        <w:spacing w:after="0" w:line="235" w:lineRule="auto"/>
        <w:rPr>
          <w:sz w:val="20"/>
          <w:szCs w:val="20"/>
          <w:color w:val="auto"/>
        </w:rPr>
      </w:pPr>
      <w:r>
        <w:rPr>
          <w:rFonts w:ascii="Courier New" w:cs="Courier New" w:eastAsia="Courier New" w:hAnsi="Courier New"/>
          <w:sz w:val="18"/>
          <w:szCs w:val="18"/>
          <w:color w:val="auto"/>
        </w:rPr>
        <w:t>concurrently. Such options shall be subject to the terms and conditions set forth elsewhere in the Plan and to the following:</w:t>
      </w:r>
    </w:p>
    <w:p>
      <w:pPr>
        <w:spacing w:after="0" w:line="208" w:lineRule="exact"/>
        <w:rPr>
          <w:sz w:val="20"/>
          <w:szCs w:val="20"/>
          <w:color w:val="auto"/>
        </w:rPr>
      </w:pPr>
    </w:p>
    <w:p>
      <w:pPr>
        <w:ind w:left="1052" w:right="1779" w:hanging="525"/>
        <w:spacing w:after="0" w:line="270" w:lineRule="auto"/>
        <w:tabs>
          <w:tab w:leader="none" w:pos="105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387" w:lineRule="exact"/>
        <w:rPr>
          <w:rFonts w:ascii="Courier New" w:cs="Courier New" w:eastAsia="Courier New" w:hAnsi="Courier New"/>
          <w:sz w:val="16"/>
          <w:szCs w:val="16"/>
          <w:color w:val="auto"/>
        </w:rPr>
      </w:pPr>
    </w:p>
    <w:p>
      <w:pPr>
        <w:ind w:left="1052" w:right="1879" w:hanging="525"/>
        <w:spacing w:after="0" w:line="235" w:lineRule="auto"/>
        <w:tabs>
          <w:tab w:leader="none" w:pos="105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OPTIONS. There is no limitation on the maximum amount of nonqualified options which may be exercised in any year.</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213"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compliance of the Plan with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21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925" w:right="1440" w:bottom="1440" w:gutter="0" w:footer="0" w:header="0"/>
        </w:sectPr>
      </w:pPr>
    </w:p>
    <w:bookmarkStart w:id="16" w:name="page17"/>
    <w:bookmarkEnd w:id="16"/>
    <w:p>
      <w:pPr>
        <w:ind w:left="532" w:hanging="532"/>
        <w:spacing w:after="0"/>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1052" w:right="2419" w:hanging="525"/>
        <w:spacing w:after="0" w:line="236" w:lineRule="auto"/>
        <w:tabs>
          <w:tab w:leader="none" w:pos="105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The proceeds derived from the sale of shares of Common Stock pursuant to options granted under the Plan shall constitute general funds of the Company.</w:t>
      </w:r>
    </w:p>
    <w:p>
      <w:pPr>
        <w:spacing w:after="0" w:line="208" w:lineRule="exact"/>
        <w:rPr>
          <w:rFonts w:ascii="Courier New" w:cs="Courier New" w:eastAsia="Courier New" w:hAnsi="Courier New"/>
          <w:sz w:val="18"/>
          <w:szCs w:val="18"/>
          <w:color w:val="auto"/>
        </w:rPr>
      </w:pPr>
    </w:p>
    <w:p>
      <w:pPr>
        <w:ind w:left="1052" w:right="2199" w:hanging="525"/>
        <w:spacing w:after="0" w:line="279" w:lineRule="auto"/>
        <w:tabs>
          <w:tab w:leader="none" w:pos="105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As used herein, the terms "parent" and "subsidiary" shall mean "parent corporation" and "subsidiary corporation", respectively, as defined in Section 424 of the Code.</w:t>
      </w:r>
    </w:p>
    <w:p>
      <w:pPr>
        <w:spacing w:after="0" w:line="37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211"/>
      </w:cols>
      <w:pgMar w:left="248"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23"/>
    </w:lvl>
  </w:abstractNum>
  <w:abstractNum w:abstractNumId="5">
    <w:nsid w:val="25E45D32"/>
    <w:multiLevelType w:val="hybridMultilevel"/>
    <w:lvl w:ilvl="0">
      <w:lvlJc w:val="left"/>
      <w:lvlText w:val="%1"/>
      <w:numFmt w:val="decimal"/>
      <w:start w:val="99"/>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23"/>
    </w:lvl>
  </w:abstractNum>
  <w:abstractNum w:abstractNumId="13">
    <w:nsid w:val="628C895D"/>
    <w:multiLevelType w:val="hybridMultilevel"/>
    <w:lvl w:ilvl="0">
      <w:lvlJc w:val="left"/>
      <w:lvlText w:val="%1"/>
      <w:numFmt w:val="decimal"/>
      <w:start w:val="99"/>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4"/>
    </w:lvl>
  </w:abstractNum>
  <w:abstractNum w:abstractNumId="16">
    <w:nsid w:val="2443A858"/>
    <w:multiLevelType w:val="hybridMultilevel"/>
    <w:lvl w:ilvl="0">
      <w:lvlJc w:val="left"/>
      <w:lvlText w:val="%1."/>
      <w:numFmt w:val="decimal"/>
      <w:start w:val="5"/>
    </w:lvl>
    <w:lvl w:ilvl="1">
      <w:lvlJc w:val="left"/>
      <w:lvlText w:val="%2."/>
      <w:numFmt w:val="upperLetter"/>
      <w:start w:val="1"/>
    </w:lvl>
  </w:abstractNum>
  <w:abstractNum w:abstractNumId="17">
    <w:nsid w:val="2D1D5AE9"/>
    <w:multiLevelType w:val="hybridMultilevel"/>
    <w:lvl w:ilvl="0">
      <w:lvlJc w:val="left"/>
      <w:lvlText w:val="%1."/>
      <w:numFmt w:val="upperLetter"/>
      <w:start w:val="3"/>
    </w:lvl>
    <w:lvl w:ilvl="1">
      <w:lvlJc w:val="left"/>
      <w:lvlText w:val="(%2)"/>
      <w:numFmt w:val="lowerRoman"/>
      <w:start w:val="1"/>
    </w:lvl>
  </w:abstractNum>
  <w:abstractNum w:abstractNumId="18">
    <w:nsid w:val="6763845E"/>
    <w:multiLevelType w:val="hybridMultilevel"/>
    <w:lvl w:ilvl="0">
      <w:lvlJc w:val="left"/>
      <w:lvlText w:val="%1"/>
      <w:numFmt w:val="lowerLetter"/>
      <w:start w:val="1"/>
    </w:lvl>
    <w:lvl w:ilvl="1">
      <w:lvlJc w:val="left"/>
      <w:lvlText w:val="(%2)"/>
      <w:numFmt w:val="lowerLetter"/>
      <w:start w:val="2"/>
    </w:lvl>
  </w:abstractNum>
  <w:abstractNum w:abstractNumId="19">
    <w:nsid w:val="75A2A8D4"/>
    <w:multiLevelType w:val="hybridMultilevel"/>
    <w:lvl w:ilvl="0">
      <w:lvlJc w:val="left"/>
      <w:lvlText w:val="(%1)"/>
      <w:numFmt w:val="lowerLetter"/>
      <w:start w:val="61"/>
    </w:lvl>
    <w:lvl w:ilvl="1">
      <w:lvlJc w:val="left"/>
      <w:lvlText w:val="%2"/>
      <w:numFmt w:val="lowerLetter"/>
      <w:start w:val="1"/>
    </w:lvl>
  </w:abstractNum>
  <w:abstractNum w:abstractNumId="20">
    <w:nsid w:val="8EDBDAB"/>
    <w:multiLevelType w:val="hybridMultilevel"/>
    <w:lvl w:ilvl="0">
      <w:lvlJc w:val="left"/>
      <w:lvlText w:val="%1"/>
      <w:numFmt w:val="upperLetter"/>
      <w:start w:val="1"/>
    </w:lvl>
    <w:lvl w:ilvl="1">
      <w:lvlJc w:val="left"/>
      <w:lvlText w:val="(%2)"/>
      <w:numFmt w:val="lowerRoman"/>
      <w:start w:val="4"/>
    </w:lvl>
  </w:abstractNum>
  <w:abstractNum w:abstractNumId="21">
    <w:nsid w:val="79838CB2"/>
    <w:multiLevelType w:val="hybridMultilevel"/>
    <w:lvl w:ilvl="0">
      <w:lvlJc w:val="left"/>
      <w:lvlText w:val="%1."/>
      <w:numFmt w:val="upperLetter"/>
      <w:start w:val="6"/>
    </w:lvl>
    <w:lvl w:ilvl="1">
      <w:lvlJc w:val="left"/>
      <w:lvlText w:val="%2"/>
      <w:numFmt w:val="lowerRoman"/>
      <w:start w:val="1"/>
    </w:lvl>
  </w:abstractNum>
  <w:abstractNum w:abstractNumId="22">
    <w:nsid w:val="4353D0CD"/>
    <w:multiLevelType w:val="hybridMultilevel"/>
    <w:lvl w:ilvl="0">
      <w:lvlJc w:val="left"/>
      <w:lvlText w:val="%1."/>
      <w:numFmt w:val="upperLetter"/>
      <w:start w:val="7"/>
    </w:lvl>
  </w:abstractNum>
  <w:abstractNum w:abstractNumId="23">
    <w:nsid w:val="B03E0C6"/>
    <w:multiLevelType w:val="hybridMultilevel"/>
    <w:lvl w:ilvl="0">
      <w:lvlJc w:val="left"/>
      <w:lvlText w:val="%1"/>
      <w:numFmt w:val="decimal"/>
      <w:start w:val="1"/>
    </w:lvl>
    <w:lvl w:ilvl="1">
      <w:lvlJc w:val="left"/>
      <w:lvlText w:val="%2."/>
      <w:numFmt w:val="upperLetter"/>
      <w:start w:val="9"/>
    </w:lvl>
  </w:abstractNum>
  <w:abstractNum w:abstractNumId="24">
    <w:nsid w:val="189A769B"/>
    <w:multiLevelType w:val="hybridMultilevel"/>
    <w:lvl w:ilvl="0">
      <w:lvlJc w:val="left"/>
      <w:lvlText w:val="%1."/>
      <w:numFmt w:val="decimal"/>
      <w:start w:val="8"/>
    </w:lvl>
    <w:lvl w:ilvl="1">
      <w:lvlJc w:val="left"/>
      <w:lvlText w:val="%2"/>
      <w:numFmt w:val="upperLetter"/>
      <w:start w:val="1"/>
    </w:lvl>
  </w:abstractNum>
  <w:abstractNum w:abstractNumId="25">
    <w:nsid w:val="54E49EB4"/>
    <w:multiLevelType w:val="hybridMultilevel"/>
    <w:lvl w:ilvl="0">
      <w:lvlJc w:val="left"/>
      <w:lvlText w:val="%1"/>
      <w:numFmt w:val="decimal"/>
      <w:start w:val="1"/>
    </w:lvl>
    <w:lvl w:ilvl="1">
      <w:lvlJc w:val="left"/>
      <w:lvlText w:val="%2."/>
      <w:numFmt w:val="upperLetter"/>
      <w:start w:val="1"/>
    </w:lvl>
  </w:abstractNum>
  <w:abstractNum w:abstractNumId="26">
    <w:nsid w:val="71F32454"/>
    <w:multiLevelType w:val="hybridMultilevel"/>
    <w:lvl w:ilvl="0">
      <w:lvlJc w:val="left"/>
      <w:lvlText w:val="%1."/>
      <w:numFmt w:val="decimal"/>
      <w:start w:val="9"/>
    </w:lvl>
    <w:lvl w:ilvl="1">
      <w:lvlJc w:val="left"/>
      <w:lvlText w:val="%2"/>
      <w:numFmt w:val="upperLetter"/>
      <w:start w:val="1"/>
    </w:lvl>
  </w:abstractNum>
  <w:abstractNum w:abstractNumId="27">
    <w:nsid w:val="2CA88611"/>
    <w:multiLevelType w:val="hybridMultilevel"/>
    <w:lvl w:ilvl="0">
      <w:lvlJc w:val="left"/>
      <w:lvlText w:val="%1."/>
      <w:numFmt w:val="decimal"/>
      <w:start w:val="1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2019-12-13T13:53:43Z</dcterms:created>
  <dcterms:modified xsi:type="dcterms:W3CDTF">2019-12-13T13:53:43Z</dcterms:modified>
</cp:coreProperties>
</file>