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668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66801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Grams Blake 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03/31/2014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43"/>
        <w:spacing w:after="0"/>
        <w:rPr>
          <w:sz w:val="20"/>
          <w:szCs w:val="20"/>
          <w:color w:val="auto"/>
        </w:rPr>
      </w:pPr>
      <w:r>
        <w:rPr>
          <w:rFonts w:ascii="Arial" w:cs="Arial" w:eastAsia="Arial" w:hAnsi="Arial"/>
          <w:sz w:val="18"/>
          <w:szCs w:val="18"/>
          <w:color w:val="0000FF"/>
        </w:rPr>
        <w:t>VP, Global Operations</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0" w:type="dxa"/>
            <w:vAlign w:val="bottom"/>
            <w:gridSpan w:val="2"/>
          </w:tcPr>
          <w:p>
            <w:pPr>
              <w:ind w:left="5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gridSpan w:val="3"/>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40"/>
              <w:spacing w:after="0"/>
              <w:rPr>
                <w:sz w:val="20"/>
                <w:szCs w:val="20"/>
                <w:color w:val="auto"/>
              </w:rPr>
            </w:pPr>
            <w:r>
              <w:rPr>
                <w:rFonts w:ascii="Arial" w:cs="Arial" w:eastAsia="Arial" w:hAnsi="Arial"/>
                <w:sz w:val="18"/>
                <w:szCs w:val="18"/>
                <w:color w:val="0000FF"/>
              </w:rPr>
              <w:t>03/31/2014</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w w:val="95"/>
              </w:rPr>
              <w:t>1,416</w:t>
            </w:r>
            <w:r>
              <w:rPr>
                <w:rFonts w:ascii="Arial" w:cs="Arial" w:eastAsia="Arial" w:hAnsi="Arial"/>
                <w:sz w:val="22"/>
                <w:szCs w:val="22"/>
                <w:color w:val="008000"/>
                <w:w w:val="95"/>
                <w:vertAlign w:val="superscript"/>
              </w:rPr>
              <w:t>(1)</w:t>
            </w:r>
          </w:p>
        </w:tc>
        <w:tc>
          <w:tcPr>
            <w:tcW w:w="48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ind w:left="160"/>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63.19</w:t>
            </w:r>
          </w:p>
        </w:tc>
        <w:tc>
          <w:tcPr>
            <w:tcW w:w="13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3"/>
              </w:rPr>
              <w:t>2,722.693</w:t>
            </w:r>
            <w:r>
              <w:rPr>
                <w:rFonts w:ascii="Arial" w:cs="Arial" w:eastAsia="Arial" w:hAnsi="Arial"/>
                <w:sz w:val="22"/>
                <w:szCs w:val="22"/>
                <w:color w:val="008000"/>
                <w:w w:val="83"/>
                <w:vertAlign w:val="superscript"/>
              </w:rPr>
              <w:t>(2)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D</w:t>
            </w:r>
          </w:p>
        </w:tc>
        <w:tc>
          <w:tcPr>
            <w:tcW w:w="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gridSpan w:val="3"/>
          </w:tcPr>
          <w:p>
            <w:pPr>
              <w:jc w:val="center"/>
              <w:spacing w:after="0" w:line="217" w:lineRule="exact"/>
              <w:rPr>
                <w:sz w:val="20"/>
                <w:szCs w:val="20"/>
                <w:color w:val="auto"/>
              </w:rPr>
            </w:pPr>
            <w:r>
              <w:rPr>
                <w:rFonts w:ascii="Arial" w:cs="Arial" w:eastAsia="Arial" w:hAnsi="Arial"/>
                <w:sz w:val="18"/>
                <w:szCs w:val="18"/>
                <w:color w:val="0000FF"/>
                <w:w w:val="84"/>
              </w:rPr>
              <w:t>58.661</w:t>
            </w:r>
            <w:r>
              <w:rPr>
                <w:rFonts w:ascii="Arial" w:cs="Arial" w:eastAsia="Arial" w:hAnsi="Arial"/>
                <w:sz w:val="22"/>
                <w:szCs w:val="22"/>
                <w:color w:val="008000"/>
                <w:w w:val="84"/>
                <w:vertAlign w:val="superscript"/>
              </w:rPr>
              <w:t>(3)</w:t>
            </w:r>
          </w:p>
        </w:tc>
        <w:tc>
          <w:tcPr>
            <w:tcW w:w="300" w:type="dxa"/>
            <w:vAlign w:val="bottom"/>
          </w:tcPr>
          <w:p>
            <w:pPr>
              <w:spacing w:after="0"/>
              <w:rPr>
                <w:sz w:val="18"/>
                <w:szCs w:val="18"/>
                <w:color w:val="auto"/>
              </w:rPr>
            </w:pPr>
          </w:p>
        </w:tc>
        <w:tc>
          <w:tcPr>
            <w:tcW w:w="640" w:type="dxa"/>
            <w:vAlign w:val="bottom"/>
          </w:tcPr>
          <w:p>
            <w:pPr>
              <w:ind w:left="100"/>
              <w:spacing w:after="0"/>
              <w:rPr>
                <w:sz w:val="20"/>
                <w:szCs w:val="20"/>
                <w:color w:val="auto"/>
              </w:rPr>
            </w:pPr>
            <w:r>
              <w:rPr>
                <w:rFonts w:ascii="Arial" w:cs="Arial" w:eastAsia="Arial" w:hAnsi="Arial"/>
                <w:sz w:val="18"/>
                <w:szCs w:val="18"/>
                <w:color w:val="0000FF"/>
              </w:rPr>
              <w:t>I</w:t>
            </w: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w w:val="96"/>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Performance Share Units</w:t>
            </w:r>
          </w:p>
        </w:tc>
        <w:tc>
          <w:tcPr>
            <w:tcW w:w="11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5"/>
              </w:rPr>
              <w:t>14,259.818</w:t>
            </w:r>
            <w:r>
              <w:rPr>
                <w:rFonts w:ascii="Arial" w:cs="Arial" w:eastAsia="Arial" w:hAnsi="Arial"/>
                <w:sz w:val="22"/>
                <w:szCs w:val="22"/>
                <w:color w:val="008000"/>
                <w:w w:val="85"/>
                <w:vertAlign w:val="superscript"/>
              </w:rPr>
              <w:t>(4)</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D</w:t>
            </w:r>
          </w:p>
        </w:tc>
        <w:tc>
          <w:tcPr>
            <w:tcW w:w="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9"/>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Direct (D)</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12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shares of common stock withheld for the payment of taxes in connection with the vesting of 4,138.693 shares and related dividend reinvestment shares of the restricted stock grant awarded to the reporting person on March 30, 2011 (the "Grant"). The award of the Grant was previously reported on a Form 4 by the reporting person on March 31, 2011.?The Grant vested in full on the third anniversary of the date of grant.</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12.785 shares of common stock acquired by the reporting person since the date of his last report under The Toro Company Dividend Reinvestment Plan.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58.661 shares acquired by the reporting person since the date of his last report through issuer annual investment fund contributions to The Toro Company Investment, Savings &amp; ESOP.</w:t>
      </w:r>
    </w:p>
    <w:p>
      <w:pPr>
        <w:spacing w:after="0" w:line="64" w:lineRule="exact"/>
        <w:rPr>
          <w:rFonts w:ascii="Arial" w:cs="Arial" w:eastAsia="Arial" w:hAnsi="Arial"/>
          <w:sz w:val="12"/>
          <w:szCs w:val="12"/>
          <w:color w:val="008000"/>
        </w:rPr>
      </w:pPr>
    </w:p>
    <w:p>
      <w:pPr>
        <w:ind w:left="40" w:right="3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43.947 performance share units acquired by the reporting person since the date of his last report under the dividend reinvestment feature of The Toro Company Deferred Compensation Plan for Officers.</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04/02/2014</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Attorney-In-Fact</w:t>
            </w:r>
          </w:p>
        </w:tc>
        <w:tc>
          <w:tcPr>
            <w:tcW w:w="92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bottom w:val="single" w:sz="8" w:color="auto"/>
            </w:tcBorders>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50880"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2019-12-17T03:08:50Z</dcterms:created>
  <dcterms:modified xsi:type="dcterms:W3CDTF">2019-12-17T03:08:50Z</dcterms:modified>
</cp:coreProperties>
</file>