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300"/>
        <w:spacing w:after="0"/>
        <w:rPr>
          <w:sz w:val="20"/>
          <w:szCs w:val="20"/>
          <w:color w:val="auto"/>
        </w:rPr>
      </w:pPr>
      <w:r>
        <w:rPr>
          <w:rFonts w:ascii="Arial" w:cs="Arial" w:eastAsia="Arial" w:hAnsi="Arial"/>
          <w:sz w:val="48"/>
          <w:szCs w:val="4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The Toro Company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left="7780"/>
        <w:spacing w:after="0"/>
        <w:rPr>
          <w:sz w:val="20"/>
          <w:szCs w:val="20"/>
          <w:color w:val="auto"/>
        </w:rPr>
      </w:pPr>
      <w:r>
        <w:rPr>
          <w:rFonts w:ascii="Arial" w:cs="Arial" w:eastAsia="Arial" w:hAnsi="Arial"/>
          <w:sz w:val="78"/>
          <w:szCs w:val="78"/>
          <w:b w:val="1"/>
          <w:bCs w:val="1"/>
          <w:color w:val="auto"/>
        </w:rPr>
        <w:t>2022</w:t>
      </w:r>
    </w:p>
    <w:p>
      <w:pPr>
        <w:ind w:left="7780"/>
        <w:spacing w:after="0"/>
        <w:rPr>
          <w:sz w:val="20"/>
          <w:szCs w:val="20"/>
          <w:color w:val="auto"/>
        </w:rPr>
      </w:pPr>
      <w:r>
        <w:rPr>
          <w:sz w:val="1"/>
          <w:szCs w:val="1"/>
          <w:color w:val="auto"/>
        </w:rPr>
        <w:drawing>
          <wp:inline distT="0" distB="0" distL="0" distR="0">
            <wp:extent cx="21590" cy="641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590" cy="64135"/>
                    </a:xfrm>
                    <a:prstGeom prst="rect">
                      <a:avLst/>
                    </a:prstGeom>
                    <a:noFill/>
                    <a:ln>
                      <a:noFill/>
                    </a:ln>
                  </pic:spPr>
                </pic:pic>
              </a:graphicData>
            </a:graphic>
          </wp:inline>
        </w:drawing>
      </w:r>
      <w:r>
        <w:rPr>
          <w:rFonts w:ascii="Arial" w:cs="Arial" w:eastAsia="Arial" w:hAnsi="Arial"/>
          <w:sz w:val="26"/>
          <w:szCs w:val="26"/>
          <w:color w:val="auto"/>
        </w:rPr>
        <w:t>Annual Report</w:t>
      </w:r>
    </w:p>
    <w:p>
      <w:pPr>
        <w:spacing w:after="0" w:line="20" w:lineRule="exact"/>
        <w:rPr>
          <w:sz w:val="24"/>
          <w:szCs w:val="24"/>
          <w:color w:val="auto"/>
        </w:rPr>
      </w:pPr>
    </w:p>
    <w:p>
      <w:pPr>
        <w:sectPr>
          <w:pgSz w:w="11880" w:h="15480" w:orient="portrait"/>
          <w:cols w:equalWidth="0" w:num="1">
            <w:col w:w="9540"/>
          </w:cols>
          <w:pgMar w:left="1440" w:top="946" w:right="900" w:bottom="107" w:gutter="0" w:footer="0" w:header="0"/>
        </w:sectPr>
      </w:pPr>
    </w:p>
    <w:bookmarkStart w:id="1" w:name="page2"/>
    <w:bookmarkEnd w:id="1"/>
    <w:p>
      <w:pPr>
        <w:ind w:left="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At The Toro Company, our world advances through the vision of those who build, shape and care for it.</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19"/>
          <w:szCs w:val="19"/>
          <w:color w:val="auto"/>
        </w:rPr>
        <w:t>A hard-working group of people who sees opportunities to enrich our world with beauty and utility.</w:t>
      </w:r>
    </w:p>
    <w:p>
      <w:pPr>
        <w:spacing w:after="0" w:line="261" w:lineRule="exact"/>
        <w:rPr>
          <w:sz w:val="20"/>
          <w:szCs w:val="20"/>
          <w:color w:val="auto"/>
        </w:rPr>
      </w:pPr>
    </w:p>
    <w:p>
      <w:pPr>
        <w:ind w:left="960" w:right="220"/>
        <w:spacing w:after="0" w:line="242" w:lineRule="auto"/>
        <w:rPr>
          <w:sz w:val="20"/>
          <w:szCs w:val="20"/>
          <w:color w:val="auto"/>
        </w:rPr>
      </w:pPr>
      <w:r>
        <w:rPr>
          <w:rFonts w:ascii="Arial" w:cs="Arial" w:eastAsia="Arial" w:hAnsi="Arial"/>
          <w:sz w:val="20"/>
          <w:szCs w:val="20"/>
          <w:color w:val="auto"/>
        </w:rPr>
        <w:t>The ambition to turn these possibilities into realities is what unites us — colleagues and customers, partners, and communities.</w:t>
      </w:r>
    </w:p>
    <w:p>
      <w:pPr>
        <w:spacing w:after="0" w:line="249" w:lineRule="exact"/>
        <w:rPr>
          <w:sz w:val="20"/>
          <w:szCs w:val="20"/>
          <w:color w:val="auto"/>
        </w:rPr>
      </w:pPr>
    </w:p>
    <w:p>
      <w:pPr>
        <w:ind w:left="960"/>
        <w:spacing w:after="0"/>
        <w:rPr>
          <w:sz w:val="20"/>
          <w:szCs w:val="20"/>
          <w:color w:val="auto"/>
        </w:rPr>
      </w:pPr>
      <w:r>
        <w:rPr>
          <w:rFonts w:ascii="Arial" w:cs="Arial" w:eastAsia="Arial" w:hAnsi="Arial"/>
          <w:sz w:val="20"/>
          <w:szCs w:val="20"/>
          <w:color w:val="auto"/>
        </w:rPr>
        <w:t>And it is what drives us to transform how a local business can cut and plow its way to growth.</w:t>
      </w:r>
    </w:p>
    <w:p>
      <w:pPr>
        <w:spacing w:after="0" w:line="1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How a community can spring to life with revitalized infrastructure.</w:t>
      </w:r>
    </w:p>
    <w:p>
      <w:pPr>
        <w:spacing w:after="0" w:line="1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How we make more of our world while demanding less of it.</w:t>
      </w:r>
    </w:p>
    <w:p>
      <w:pPr>
        <w:spacing w:after="0" w:line="17" w:lineRule="exact"/>
        <w:rPr>
          <w:sz w:val="20"/>
          <w:szCs w:val="20"/>
          <w:color w:val="auto"/>
        </w:rPr>
      </w:pPr>
    </w:p>
    <w:p>
      <w:pPr>
        <w:ind w:left="960" w:right="340"/>
        <w:spacing w:after="0" w:line="242" w:lineRule="auto"/>
        <w:rPr>
          <w:sz w:val="20"/>
          <w:szCs w:val="20"/>
          <w:color w:val="auto"/>
        </w:rPr>
      </w:pPr>
      <w:r>
        <w:rPr>
          <w:rFonts w:ascii="Arial" w:cs="Arial" w:eastAsia="Arial" w:hAnsi="Arial"/>
          <w:sz w:val="20"/>
          <w:szCs w:val="20"/>
          <w:color w:val="auto"/>
        </w:rPr>
        <w:t>How green spaces can bring generations of families together, host epic sports rivalries, and instill community pride.</w:t>
      </w:r>
    </w:p>
    <w:p>
      <w:pPr>
        <w:spacing w:after="0" w:line="256" w:lineRule="exact"/>
        <w:rPr>
          <w:sz w:val="20"/>
          <w:szCs w:val="20"/>
          <w:color w:val="auto"/>
        </w:rPr>
      </w:pPr>
    </w:p>
    <w:p>
      <w:pPr>
        <w:ind w:left="960" w:right="340"/>
        <w:spacing w:after="0" w:line="247" w:lineRule="auto"/>
        <w:rPr>
          <w:sz w:val="20"/>
          <w:szCs w:val="20"/>
          <w:color w:val="auto"/>
        </w:rPr>
      </w:pPr>
      <w:r>
        <w:rPr>
          <w:rFonts w:ascii="Arial" w:cs="Arial" w:eastAsia="Arial" w:hAnsi="Arial"/>
          <w:sz w:val="20"/>
          <w:szCs w:val="20"/>
          <w:color w:val="auto"/>
        </w:rPr>
        <w:t>We expand what’s possible through products and technology that are impeccably engineered and grounded in a century of solving real human needs. And we do it all with breakthroughs that solve bigger, tougher, more impactful challenges — each one uncovered and understood through relationships that endure season after season.</w:t>
      </w:r>
    </w:p>
    <w:p>
      <w:pPr>
        <w:spacing w:after="0" w:line="253" w:lineRule="exact"/>
        <w:rPr>
          <w:sz w:val="20"/>
          <w:szCs w:val="20"/>
          <w:color w:val="auto"/>
        </w:rPr>
      </w:pPr>
    </w:p>
    <w:p>
      <w:pPr>
        <w:ind w:left="960" w:right="140"/>
        <w:spacing w:after="0" w:line="242" w:lineRule="auto"/>
        <w:rPr>
          <w:sz w:val="20"/>
          <w:szCs w:val="20"/>
          <w:color w:val="auto"/>
        </w:rPr>
      </w:pPr>
      <w:r>
        <w:rPr>
          <w:rFonts w:ascii="Arial" w:cs="Arial" w:eastAsia="Arial" w:hAnsi="Arial"/>
          <w:sz w:val="20"/>
          <w:szCs w:val="20"/>
          <w:color w:val="auto"/>
        </w:rPr>
        <w:t>Together, we seize the opportunities that turn aspirations for the world into new realities that impact lives and livelihoods.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180" w:right="760"/>
        <w:spacing w:after="0" w:line="348" w:lineRule="auto"/>
        <w:rPr>
          <w:sz w:val="20"/>
          <w:szCs w:val="20"/>
          <w:color w:val="auto"/>
        </w:rPr>
      </w:pPr>
      <w:r>
        <w:rPr>
          <w:rFonts w:ascii="Arial" w:cs="Arial" w:eastAsia="Arial" w:hAnsi="Arial"/>
          <w:sz w:val="17"/>
          <w:szCs w:val="17"/>
          <w:color w:val="auto"/>
        </w:rPr>
        <w:t>Sustainability is deeply rooted in our company purpose, actions and strategic business priorities. It is core to how we invest in our people, serve our customers and communities, and compete and win in the right way. To facilitate change and advance growth opportunities, we recently established three performance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180" w:type="dxa"/>
        <w:tblCellMar>
          <w:top w:w="0" w:type="dxa"/>
          <w:left w:w="0" w:type="dxa"/>
          <w:bottom w:w="0" w:type="dxa"/>
          <w:right w:w="0" w:type="dxa"/>
        </w:tblCellMar>
      </w:tblPr>
      <w:tr>
        <w:trPr>
          <w:trHeight w:val="198"/>
        </w:trPr>
        <w:tc>
          <w:tcPr>
            <w:tcW w:w="2880" w:type="dxa"/>
            <w:vAlign w:val="bottom"/>
          </w:tcPr>
          <w:p>
            <w:pPr>
              <w:jc w:val="center"/>
              <w:ind w:right="275"/>
              <w:spacing w:after="0"/>
              <w:rPr>
                <w:sz w:val="20"/>
                <w:szCs w:val="20"/>
                <w:color w:val="auto"/>
              </w:rPr>
            </w:pPr>
            <w:r>
              <w:rPr>
                <w:rFonts w:ascii="Arial" w:cs="Arial" w:eastAsia="Arial" w:hAnsi="Arial"/>
                <w:sz w:val="17"/>
                <w:szCs w:val="17"/>
                <w:color w:val="auto"/>
                <w:w w:val="95"/>
              </w:rPr>
              <w:t xml:space="preserve">Increase </w:t>
            </w:r>
            <w:r>
              <w:rPr>
                <w:rFonts w:ascii="Arial" w:cs="Arial" w:eastAsia="Arial" w:hAnsi="Arial"/>
                <w:sz w:val="17"/>
                <w:szCs w:val="17"/>
                <w:b w:val="1"/>
                <w:bCs w:val="1"/>
                <w:color w:val="auto"/>
                <w:w w:val="95"/>
              </w:rPr>
              <w:t>battery and hybrid</w:t>
            </w:r>
          </w:p>
        </w:tc>
        <w:tc>
          <w:tcPr>
            <w:tcW w:w="2960" w:type="dxa"/>
            <w:vAlign w:val="bottom"/>
          </w:tcPr>
          <w:p>
            <w:pPr>
              <w:jc w:val="center"/>
              <w:spacing w:after="0"/>
              <w:rPr>
                <w:sz w:val="20"/>
                <w:szCs w:val="20"/>
                <w:color w:val="auto"/>
              </w:rPr>
            </w:pPr>
            <w:r>
              <w:rPr>
                <w:rFonts w:ascii="Arial" w:cs="Arial" w:eastAsia="Arial" w:hAnsi="Arial"/>
                <w:sz w:val="17"/>
                <w:szCs w:val="17"/>
                <w:color w:val="auto"/>
                <w:w w:val="93"/>
              </w:rPr>
              <w:t xml:space="preserve">Reduce absolute </w:t>
            </w:r>
            <w:r>
              <w:rPr>
                <w:rFonts w:ascii="Arial" w:cs="Arial" w:eastAsia="Arial" w:hAnsi="Arial"/>
                <w:sz w:val="17"/>
                <w:szCs w:val="17"/>
                <w:b w:val="1"/>
                <w:bCs w:val="1"/>
                <w:color w:val="auto"/>
                <w:w w:val="93"/>
              </w:rPr>
              <w:t>Scope 1 and 2</w:t>
            </w:r>
          </w:p>
        </w:tc>
        <w:tc>
          <w:tcPr>
            <w:tcW w:w="3140" w:type="dxa"/>
            <w:vAlign w:val="bottom"/>
          </w:tcPr>
          <w:p>
            <w:pPr>
              <w:jc w:val="center"/>
              <w:ind w:left="215"/>
              <w:spacing w:after="0"/>
              <w:rPr>
                <w:sz w:val="20"/>
                <w:szCs w:val="20"/>
                <w:color w:val="auto"/>
              </w:rPr>
            </w:pPr>
            <w:r>
              <w:rPr>
                <w:rFonts w:ascii="Arial" w:cs="Arial" w:eastAsia="Arial" w:hAnsi="Arial"/>
                <w:sz w:val="17"/>
                <w:szCs w:val="17"/>
                <w:color w:val="auto"/>
                <w:w w:val="97"/>
              </w:rPr>
              <w:t xml:space="preserve">Increase the number of </w:t>
            </w:r>
            <w:r>
              <w:rPr>
                <w:rFonts w:ascii="Arial" w:cs="Arial" w:eastAsia="Arial" w:hAnsi="Arial"/>
                <w:sz w:val="17"/>
                <w:szCs w:val="17"/>
                <w:b w:val="1"/>
                <w:bCs w:val="1"/>
                <w:color w:val="auto"/>
                <w:w w:val="97"/>
              </w:rPr>
              <w:t>women</w:t>
            </w:r>
          </w:p>
        </w:tc>
      </w:tr>
      <w:tr>
        <w:trPr>
          <w:trHeight w:val="260"/>
        </w:trPr>
        <w:tc>
          <w:tcPr>
            <w:tcW w:w="2880" w:type="dxa"/>
            <w:vAlign w:val="bottom"/>
          </w:tcPr>
          <w:p>
            <w:pPr>
              <w:jc w:val="center"/>
              <w:ind w:right="275"/>
              <w:spacing w:after="0"/>
              <w:rPr>
                <w:sz w:val="20"/>
                <w:szCs w:val="20"/>
                <w:color w:val="auto"/>
              </w:rPr>
            </w:pPr>
            <w:r>
              <w:rPr>
                <w:rFonts w:ascii="Arial" w:cs="Arial" w:eastAsia="Arial" w:hAnsi="Arial"/>
                <w:sz w:val="17"/>
                <w:szCs w:val="17"/>
                <w:b w:val="1"/>
                <w:bCs w:val="1"/>
                <w:color w:val="auto"/>
                <w:w w:val="95"/>
              </w:rPr>
              <w:t xml:space="preserve">product </w:t>
            </w:r>
            <w:r>
              <w:rPr>
                <w:rFonts w:ascii="Arial" w:cs="Arial" w:eastAsia="Arial" w:hAnsi="Arial"/>
                <w:sz w:val="17"/>
                <w:szCs w:val="17"/>
                <w:color w:val="auto"/>
                <w:w w:val="95"/>
              </w:rPr>
              <w:t>sales to at least 20% of</w:t>
            </w:r>
          </w:p>
        </w:tc>
        <w:tc>
          <w:tcPr>
            <w:tcW w:w="2960" w:type="dxa"/>
            <w:vAlign w:val="bottom"/>
          </w:tcPr>
          <w:p>
            <w:pPr>
              <w:jc w:val="center"/>
              <w:spacing w:after="0"/>
              <w:rPr>
                <w:sz w:val="20"/>
                <w:szCs w:val="20"/>
                <w:color w:val="auto"/>
              </w:rPr>
            </w:pPr>
            <w:r>
              <w:rPr>
                <w:rFonts w:ascii="Arial" w:cs="Arial" w:eastAsia="Arial" w:hAnsi="Arial"/>
                <w:sz w:val="17"/>
                <w:szCs w:val="17"/>
                <w:b w:val="1"/>
                <w:bCs w:val="1"/>
                <w:color w:val="auto"/>
                <w:w w:val="93"/>
              </w:rPr>
              <w:t xml:space="preserve">greenhouse gas emissions </w:t>
            </w:r>
            <w:r>
              <w:rPr>
                <w:rFonts w:ascii="Arial" w:cs="Arial" w:eastAsia="Arial" w:hAnsi="Arial"/>
                <w:sz w:val="17"/>
                <w:szCs w:val="17"/>
                <w:color w:val="auto"/>
                <w:w w:val="93"/>
              </w:rPr>
              <w:t>by</w:t>
            </w:r>
          </w:p>
        </w:tc>
        <w:tc>
          <w:tcPr>
            <w:tcW w:w="3140" w:type="dxa"/>
            <w:vAlign w:val="bottom"/>
          </w:tcPr>
          <w:p>
            <w:pPr>
              <w:jc w:val="center"/>
              <w:ind w:left="215"/>
              <w:spacing w:after="0"/>
              <w:rPr>
                <w:sz w:val="20"/>
                <w:szCs w:val="20"/>
                <w:color w:val="auto"/>
              </w:rPr>
            </w:pPr>
            <w:r>
              <w:rPr>
                <w:rFonts w:ascii="Arial" w:cs="Arial" w:eastAsia="Arial" w:hAnsi="Arial"/>
                <w:sz w:val="17"/>
                <w:szCs w:val="17"/>
                <w:b w:val="1"/>
                <w:bCs w:val="1"/>
                <w:color w:val="auto"/>
                <w:w w:val="95"/>
              </w:rPr>
              <w:t xml:space="preserve">and racial and ethnic minorities </w:t>
            </w:r>
            <w:r>
              <w:rPr>
                <w:rFonts w:ascii="Arial" w:cs="Arial" w:eastAsia="Arial" w:hAnsi="Arial"/>
                <w:sz w:val="17"/>
                <w:szCs w:val="17"/>
                <w:color w:val="auto"/>
                <w:w w:val="95"/>
              </w:rPr>
              <w:t>in</w:t>
            </w:r>
          </w:p>
        </w:tc>
      </w:tr>
      <w:tr>
        <w:trPr>
          <w:trHeight w:val="256"/>
        </w:trPr>
        <w:tc>
          <w:tcPr>
            <w:tcW w:w="2880" w:type="dxa"/>
            <w:vAlign w:val="bottom"/>
          </w:tcPr>
          <w:p>
            <w:pPr>
              <w:jc w:val="center"/>
              <w:ind w:right="275"/>
              <w:spacing w:after="0"/>
              <w:rPr>
                <w:sz w:val="20"/>
                <w:szCs w:val="20"/>
                <w:color w:val="auto"/>
              </w:rPr>
            </w:pPr>
            <w:r>
              <w:rPr>
                <w:rFonts w:ascii="Arial" w:cs="Arial" w:eastAsia="Arial" w:hAnsi="Arial"/>
                <w:sz w:val="17"/>
                <w:szCs w:val="17"/>
                <w:color w:val="auto"/>
                <w:w w:val="97"/>
              </w:rPr>
              <w:t>total adjusted net sales (motorized</w:t>
            </w:r>
          </w:p>
        </w:tc>
        <w:tc>
          <w:tcPr>
            <w:tcW w:w="2960" w:type="dxa"/>
            <w:vAlign w:val="bottom"/>
          </w:tcPr>
          <w:p>
            <w:pPr>
              <w:jc w:val="center"/>
              <w:spacing w:after="0"/>
              <w:rPr>
                <w:sz w:val="20"/>
                <w:szCs w:val="20"/>
                <w:color w:val="auto"/>
              </w:rPr>
            </w:pPr>
            <w:r>
              <w:rPr>
                <w:rFonts w:ascii="Arial" w:cs="Arial" w:eastAsia="Arial" w:hAnsi="Arial"/>
                <w:sz w:val="17"/>
                <w:szCs w:val="17"/>
                <w:color w:val="auto"/>
                <w:w w:val="95"/>
              </w:rPr>
              <w:t>at least 15% by fiscal 2025 as</w:t>
            </w:r>
          </w:p>
        </w:tc>
        <w:tc>
          <w:tcPr>
            <w:tcW w:w="3140" w:type="dxa"/>
            <w:vAlign w:val="bottom"/>
          </w:tcPr>
          <w:p>
            <w:pPr>
              <w:jc w:val="center"/>
              <w:ind w:left="215"/>
              <w:spacing w:after="0"/>
              <w:rPr>
                <w:sz w:val="20"/>
                <w:szCs w:val="20"/>
                <w:color w:val="auto"/>
              </w:rPr>
            </w:pPr>
            <w:r>
              <w:rPr>
                <w:rFonts w:ascii="Arial" w:cs="Arial" w:eastAsia="Arial" w:hAnsi="Arial"/>
                <w:sz w:val="17"/>
                <w:szCs w:val="17"/>
                <w:color w:val="auto"/>
                <w:w w:val="96"/>
              </w:rPr>
              <w:t>leadership positions by at least 20% by</w:t>
            </w:r>
          </w:p>
        </w:tc>
      </w:tr>
      <w:tr>
        <w:trPr>
          <w:trHeight w:val="260"/>
        </w:trPr>
        <w:tc>
          <w:tcPr>
            <w:tcW w:w="2880" w:type="dxa"/>
            <w:vAlign w:val="bottom"/>
          </w:tcPr>
          <w:p>
            <w:pPr>
              <w:jc w:val="center"/>
              <w:ind w:right="275"/>
              <w:spacing w:after="0"/>
              <w:rPr>
                <w:sz w:val="20"/>
                <w:szCs w:val="20"/>
                <w:color w:val="auto"/>
              </w:rPr>
            </w:pPr>
            <w:r>
              <w:rPr>
                <w:rFonts w:ascii="Arial" w:cs="Arial" w:eastAsia="Arial" w:hAnsi="Arial"/>
                <w:sz w:val="17"/>
                <w:szCs w:val="17"/>
                <w:color w:val="auto"/>
                <w:w w:val="96"/>
              </w:rPr>
              <w:t>product sales) by fiscal 2025.</w:t>
            </w:r>
          </w:p>
        </w:tc>
        <w:tc>
          <w:tcPr>
            <w:tcW w:w="2960" w:type="dxa"/>
            <w:vAlign w:val="bottom"/>
          </w:tcPr>
          <w:p>
            <w:pPr>
              <w:jc w:val="center"/>
              <w:spacing w:after="0"/>
              <w:rPr>
                <w:sz w:val="20"/>
                <w:szCs w:val="20"/>
                <w:color w:val="auto"/>
              </w:rPr>
            </w:pPr>
            <w:r>
              <w:rPr>
                <w:rFonts w:ascii="Arial" w:cs="Arial" w:eastAsia="Arial" w:hAnsi="Arial"/>
                <w:sz w:val="17"/>
                <w:szCs w:val="17"/>
                <w:color w:val="auto"/>
                <w:w w:val="96"/>
              </w:rPr>
              <w:t>compared to fiscal 2019.</w:t>
            </w:r>
          </w:p>
        </w:tc>
        <w:tc>
          <w:tcPr>
            <w:tcW w:w="3140" w:type="dxa"/>
            <w:vAlign w:val="bottom"/>
          </w:tcPr>
          <w:p>
            <w:pPr>
              <w:jc w:val="center"/>
              <w:ind w:left="215"/>
              <w:spacing w:after="0"/>
              <w:rPr>
                <w:sz w:val="20"/>
                <w:szCs w:val="20"/>
                <w:color w:val="auto"/>
              </w:rPr>
            </w:pPr>
            <w:r>
              <w:rPr>
                <w:rFonts w:ascii="Arial" w:cs="Arial" w:eastAsia="Arial" w:hAnsi="Arial"/>
                <w:sz w:val="17"/>
                <w:szCs w:val="17"/>
                <w:color w:val="auto"/>
                <w:w w:val="96"/>
              </w:rPr>
              <w:t>fiscal 2025 as compared to fiscal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6621780</wp:posOffset>
            </wp:positionH>
            <wp:positionV relativeFrom="paragraph">
              <wp:posOffset>512445</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0" w:orient="portrait"/>
          <w:cols w:equalWidth="0" w:num="1">
            <w:col w:w="9540"/>
          </w:cols>
          <w:pgMar w:left="1440" w:top="986" w:right="900" w:bottom="255" w:gutter="0" w:footer="0" w:header="0"/>
        </w:sectPr>
      </w:pPr>
    </w:p>
    <w:bookmarkStart w:id="2" w:name="page3"/>
    <w:bookmarkEnd w:id="2"/>
    <w:p>
      <w:pPr>
        <w:spacing w:after="0" w:line="195" w:lineRule="auto"/>
        <w:framePr w:w="1020" w:h="131" w:wrap="auto" w:vAnchor="page" w:hAnchor="page" w:x="4380" w:y="11739"/>
        <w:rPr>
          <w:rFonts w:ascii="Arial" w:cs="Arial" w:eastAsia="Arial" w:hAnsi="Arial"/>
          <w:sz w:val="14"/>
          <w:szCs w:val="14"/>
          <w:color w:val="auto"/>
        </w:rPr>
      </w:pPr>
      <w:r>
        <w:rPr>
          <w:rFonts w:ascii="Arial" w:cs="Arial" w:eastAsia="Arial" w:hAnsi="Arial"/>
          <w:sz w:val="14"/>
          <w:szCs w:val="14"/>
          <w:color w:val="auto"/>
        </w:rPr>
        <w:t>Advancing Our</w:t>
      </w:r>
    </w:p>
    <w:p>
      <w:pPr>
        <w:spacing w:after="0" w:line="195" w:lineRule="auto"/>
        <w:framePr w:w="1300" w:h="131" w:wrap="auto" w:vAnchor="page" w:hAnchor="page" w:x="4240" w:y="11899"/>
        <w:rPr>
          <w:rFonts w:ascii="Arial" w:cs="Arial" w:eastAsia="Arial" w:hAnsi="Arial"/>
          <w:sz w:val="14"/>
          <w:szCs w:val="14"/>
          <w:color w:val="auto"/>
        </w:rPr>
      </w:pPr>
      <w:r>
        <w:rPr>
          <w:rFonts w:ascii="Arial" w:cs="Arial" w:eastAsia="Arial" w:hAnsi="Arial"/>
          <w:sz w:val="14"/>
          <w:szCs w:val="14"/>
          <w:color w:val="auto"/>
        </w:rPr>
        <w:t>Strategic Priorities</w:t>
      </w:r>
    </w:p>
    <w:p>
      <w:pPr>
        <w:spacing w:after="0" w:line="20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4356100" cy="2527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56100" cy="2527300"/>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49" w:lineRule="exact"/>
        <w:rPr>
          <w:rFonts w:ascii="Arial" w:cs="Arial" w:eastAsia="Arial" w:hAnsi="Arial"/>
          <w:sz w:val="14"/>
          <w:szCs w:val="14"/>
          <w:color w:val="auto"/>
        </w:rPr>
      </w:pPr>
    </w:p>
    <w:p>
      <w:pPr>
        <w:ind w:left="6220"/>
        <w:spacing w:after="0"/>
        <w:rPr>
          <w:sz w:val="20"/>
          <w:szCs w:val="20"/>
          <w:color w:val="auto"/>
        </w:rPr>
      </w:pPr>
      <w:r>
        <w:rPr>
          <w:rFonts w:ascii="Arial" w:cs="Arial" w:eastAsia="Arial" w:hAnsi="Arial"/>
          <w:sz w:val="18"/>
          <w:szCs w:val="18"/>
          <w:b w:val="1"/>
          <w:bCs w:val="1"/>
          <w:color w:val="auto"/>
        </w:rPr>
        <w:t>Richard M. Olson,</w:t>
      </w:r>
    </w:p>
    <w:p>
      <w:pPr>
        <w:ind w:left="6220"/>
        <w:spacing w:after="0" w:line="234" w:lineRule="auto"/>
        <w:rPr>
          <w:sz w:val="20"/>
          <w:szCs w:val="20"/>
          <w:color w:val="auto"/>
        </w:rPr>
      </w:pPr>
      <w:r>
        <w:rPr>
          <w:rFonts w:ascii="Arial" w:cs="Arial" w:eastAsia="Arial" w:hAnsi="Arial"/>
          <w:sz w:val="16"/>
          <w:szCs w:val="16"/>
          <w:color w:val="auto"/>
        </w:rPr>
        <w:t>Chairman and</w:t>
      </w:r>
    </w:p>
    <w:p>
      <w:pPr>
        <w:ind w:left="6220"/>
        <w:spacing w:after="0" w:line="235" w:lineRule="auto"/>
        <w:rPr>
          <w:sz w:val="20"/>
          <w:szCs w:val="20"/>
          <w:color w:val="auto"/>
        </w:rPr>
      </w:pPr>
      <w:r>
        <w:rPr>
          <w:rFonts w:ascii="Arial" w:cs="Arial" w:eastAsia="Arial" w:hAnsi="Arial"/>
          <w:sz w:val="16"/>
          <w:szCs w:val="16"/>
          <w:color w:val="auto"/>
        </w:rPr>
        <w:t>Chief Executive Officer</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89" w:lineRule="exact"/>
        <w:rPr>
          <w:rFonts w:ascii="Arial" w:cs="Arial" w:eastAsia="Arial" w:hAnsi="Arial"/>
          <w:sz w:val="14"/>
          <w:szCs w:val="14"/>
          <w:color w:val="auto"/>
        </w:rPr>
      </w:pPr>
    </w:p>
    <w:p>
      <w:pPr>
        <w:spacing w:after="0"/>
        <w:tabs>
          <w:tab w:leader="none" w:pos="5120" w:val="left"/>
        </w:tabs>
        <w:rPr>
          <w:sz w:val="20"/>
          <w:szCs w:val="20"/>
          <w:color w:val="auto"/>
        </w:rPr>
      </w:pPr>
      <w:r>
        <w:rPr>
          <w:rFonts w:ascii="Arial" w:cs="Arial" w:eastAsia="Arial" w:hAnsi="Arial"/>
          <w:sz w:val="26"/>
          <w:szCs w:val="26"/>
          <w:b w:val="1"/>
          <w:bCs w:val="1"/>
          <w:color w:val="auto"/>
        </w:rPr>
        <w:t>To Our Valued Shareholders,</w:t>
      </w:r>
      <w:r>
        <w:rPr>
          <w:sz w:val="20"/>
          <w:szCs w:val="20"/>
          <w:color w:val="auto"/>
        </w:rPr>
        <w:tab/>
      </w:r>
      <w:r>
        <w:rPr>
          <w:rFonts w:ascii="Arial" w:cs="Arial" w:eastAsia="Arial" w:hAnsi="Arial"/>
          <w:sz w:val="19"/>
          <w:szCs w:val="19"/>
          <w:b w:val="1"/>
          <w:bCs w:val="1"/>
          <w:color w:val="auto"/>
        </w:rPr>
        <w:t>FISCAL 2022 KEY HIGHLIGHTS</w:t>
      </w:r>
    </w:p>
    <w:p>
      <w:pPr>
        <w:sectPr>
          <w:pgSz w:w="11880" w:h="15480" w:orient="portrait"/>
          <w:cols w:equalWidth="0" w:num="1">
            <w:col w:w="10080"/>
          </w:cols>
          <w:pgMar w:left="900" w:top="1440" w:right="900" w:bottom="0" w:gutter="0" w:footer="0" w:header="0"/>
        </w:sectPr>
      </w:pPr>
    </w:p>
    <w:p>
      <w:pPr>
        <w:spacing w:after="0" w:line="363" w:lineRule="exact"/>
        <w:rPr>
          <w:rFonts w:ascii="Arial" w:cs="Arial" w:eastAsia="Arial" w:hAnsi="Arial"/>
          <w:sz w:val="14"/>
          <w:szCs w:val="14"/>
          <w:color w:val="auto"/>
        </w:rPr>
      </w:pPr>
    </w:p>
    <w:p>
      <w:pPr>
        <w:spacing w:after="0" w:line="393" w:lineRule="auto"/>
        <w:rPr>
          <w:sz w:val="20"/>
          <w:szCs w:val="20"/>
          <w:color w:val="auto"/>
        </w:rPr>
      </w:pPr>
      <w:r>
        <w:rPr>
          <w:rFonts w:ascii="Arial" w:cs="Arial" w:eastAsia="Arial" w:hAnsi="Arial"/>
          <w:sz w:val="18"/>
          <w:szCs w:val="18"/>
          <w:color w:val="auto"/>
        </w:rPr>
        <w:t xml:space="preserve">Fiscal 2022 was another record year for The Toro Company driven by continued demand for our innovative products and the addition of the Intimidator Group. With </w:t>
      </w:r>
      <w:r>
        <w:rPr>
          <w:rFonts w:ascii="Arial" w:cs="Arial" w:eastAsia="Arial" w:hAnsi="Arial"/>
          <w:sz w:val="18"/>
          <w:szCs w:val="18"/>
          <w:b w:val="1"/>
          <w:bCs w:val="1"/>
          <w:color w:val="auto"/>
        </w:rPr>
        <w:t>top line</w:t>
      </w:r>
      <w:r>
        <w:rPr>
          <w:rFonts w:ascii="Arial" w:cs="Arial" w:eastAsia="Arial" w:hAnsi="Arial"/>
          <w:sz w:val="18"/>
          <w:szCs w:val="18"/>
          <w:color w:val="auto"/>
        </w:rPr>
        <w:t xml:space="preserve"> </w:t>
      </w:r>
      <w:r>
        <w:rPr>
          <w:rFonts w:ascii="Arial" w:cs="Arial" w:eastAsia="Arial" w:hAnsi="Arial"/>
          <w:sz w:val="18"/>
          <w:szCs w:val="18"/>
          <w:b w:val="1"/>
          <w:bCs w:val="1"/>
          <w:color w:val="auto"/>
        </w:rPr>
        <w:t>growth of 14%</w:t>
      </w:r>
      <w:r>
        <w:rPr>
          <w:rFonts w:ascii="Arial" w:cs="Arial" w:eastAsia="Arial" w:hAnsi="Arial"/>
          <w:sz w:val="18"/>
          <w:szCs w:val="18"/>
          <w:color w:val="auto"/>
        </w:rPr>
        <w:t>, we achieved</w:t>
      </w:r>
      <w:r>
        <w:rPr>
          <w:rFonts w:ascii="Arial" w:cs="Arial" w:eastAsia="Arial" w:hAnsi="Arial"/>
          <w:sz w:val="18"/>
          <w:szCs w:val="18"/>
          <w:b w:val="1"/>
          <w:bCs w:val="1"/>
          <w:color w:val="auto"/>
        </w:rPr>
        <w:t xml:space="preserve"> $4.51 billion in net sales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exceeding the $4 billion mark for the first time in company history. Full-year reported diluted EPS increased 11% to $4.20 and adjusted diluted EPS</w:t>
      </w:r>
      <w:r>
        <w:rPr>
          <w:rFonts w:ascii="Arial" w:cs="Arial" w:eastAsia="Arial" w:hAnsi="Arial"/>
          <w:sz w:val="11"/>
          <w:szCs w:val="11"/>
          <w:color w:val="auto"/>
        </w:rPr>
        <w:t>*</w:t>
      </w:r>
      <w:r>
        <w:rPr>
          <w:rFonts w:ascii="Arial" w:cs="Arial" w:eastAsia="Arial" w:hAnsi="Arial"/>
          <w:sz w:val="18"/>
          <w:szCs w:val="18"/>
          <w:color w:val="auto"/>
        </w:rPr>
        <w:t xml:space="preserve"> increased 16% to $4.20 over the prior year. Finally, we were </w:t>
      </w:r>
      <w:r>
        <w:rPr>
          <w:rFonts w:ascii="Arial" w:cs="Arial" w:eastAsia="Arial" w:hAnsi="Arial"/>
          <w:sz w:val="18"/>
          <w:szCs w:val="18"/>
          <w:b w:val="1"/>
          <w:bCs w:val="1"/>
          <w:color w:val="auto"/>
        </w:rPr>
        <w:t>pleased to return</w:t>
      </w:r>
    </w:p>
    <w:p>
      <w:pPr>
        <w:spacing w:after="0" w:line="20" w:lineRule="exact"/>
        <w:rPr>
          <w:rFonts w:ascii="Arial" w:cs="Arial" w:eastAsia="Arial" w:hAnsi="Arial"/>
          <w:sz w:val="14"/>
          <w:szCs w:val="14"/>
          <w:color w:val="auto"/>
        </w:rPr>
      </w:pPr>
      <w:r>
        <w:rPr>
          <w:rFonts w:ascii="Arial" w:cs="Arial" w:eastAsia="Arial" w:hAnsi="Arial"/>
          <w:sz w:val="14"/>
          <w:szCs w:val="14"/>
          <w:color w:val="auto"/>
        </w:rPr>
        <w:br w:type="column"/>
      </w:r>
    </w:p>
    <w:p>
      <w:pPr>
        <w:spacing w:after="0" w:line="111" w:lineRule="exact"/>
        <w:rPr>
          <w:rFonts w:ascii="Arial" w:cs="Arial" w:eastAsia="Arial" w:hAnsi="Arial"/>
          <w:sz w:val="14"/>
          <w:szCs w:val="14"/>
          <w:color w:val="auto"/>
        </w:rPr>
      </w:pPr>
    </w:p>
    <w:p>
      <w:pPr>
        <w:jc w:val="both"/>
        <w:ind w:right="160"/>
        <w:spacing w:after="0" w:line="395"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professional segment</w:t>
      </w:r>
      <w:r>
        <w:rPr>
          <w:rFonts w:ascii="Arial" w:cs="Arial" w:eastAsia="Arial" w:hAnsi="Arial"/>
          <w:sz w:val="18"/>
          <w:szCs w:val="18"/>
          <w:color w:val="auto"/>
        </w:rPr>
        <w:t xml:space="preserve"> delivered strong results, with </w:t>
      </w:r>
      <w:r>
        <w:rPr>
          <w:rFonts w:ascii="Arial" w:cs="Arial" w:eastAsia="Arial" w:hAnsi="Arial"/>
          <w:sz w:val="18"/>
          <w:szCs w:val="18"/>
          <w:b w:val="1"/>
          <w:bCs w:val="1"/>
          <w:color w:val="auto"/>
        </w:rPr>
        <w:t xml:space="preserve">segment net sales up 17% </w:t>
      </w:r>
      <w:r>
        <w:rPr>
          <w:rFonts w:ascii="Arial" w:cs="Arial" w:eastAsia="Arial" w:hAnsi="Arial"/>
          <w:sz w:val="18"/>
          <w:szCs w:val="18"/>
          <w:color w:val="auto"/>
        </w:rPr>
        <w:t>from fiscal 2021 driven by net</w:t>
      </w:r>
      <w:r>
        <w:rPr>
          <w:rFonts w:ascii="Arial" w:cs="Arial" w:eastAsia="Arial" w:hAnsi="Arial"/>
          <w:sz w:val="18"/>
          <w:szCs w:val="18"/>
          <w:b w:val="1"/>
          <w:bCs w:val="1"/>
          <w:color w:val="auto"/>
        </w:rPr>
        <w:t xml:space="preserve"> </w:t>
      </w:r>
      <w:r>
        <w:rPr>
          <w:rFonts w:ascii="Arial" w:cs="Arial" w:eastAsia="Arial" w:hAnsi="Arial"/>
          <w:sz w:val="18"/>
          <w:szCs w:val="18"/>
          <w:color w:val="auto"/>
        </w:rPr>
        <w:t>price realization and the Intimidator Group acquisition.</w:t>
      </w:r>
    </w:p>
    <w:p>
      <w:pPr>
        <w:ind w:right="220"/>
        <w:spacing w:after="0" w:line="351" w:lineRule="auto"/>
        <w:rPr>
          <w:sz w:val="20"/>
          <w:szCs w:val="20"/>
          <w:color w:val="auto"/>
        </w:rPr>
      </w:pPr>
      <w:r>
        <w:rPr>
          <w:rFonts w:ascii="Arial" w:cs="Arial" w:eastAsia="Arial" w:hAnsi="Arial"/>
          <w:sz w:val="20"/>
          <w:szCs w:val="20"/>
          <w:color w:val="auto"/>
        </w:rPr>
        <w:t>We capitalized on broad-based demand, most notably in our underground and specialty construction and golf and grounds businesses, due largely to our ability to produce equipment in what continued to be a dynamic supply chain environment.</w:t>
      </w:r>
    </w:p>
    <w:p>
      <w:pPr>
        <w:spacing w:after="0" w:line="39"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8"/>
          <w:szCs w:val="18"/>
          <w:b w:val="1"/>
          <w:bCs w:val="1"/>
          <w:color w:val="auto"/>
        </w:rPr>
        <w:t xml:space="preserve">Residential segment net sales were up nearly 6% </w:t>
      </w:r>
      <w:r>
        <w:rPr>
          <w:rFonts w:ascii="Arial" w:cs="Arial" w:eastAsia="Arial" w:hAnsi="Arial"/>
          <w:sz w:val="18"/>
          <w:szCs w:val="18"/>
          <w:color w:val="auto"/>
        </w:rPr>
        <w:t>over</w:t>
      </w:r>
    </w:p>
    <w:p>
      <w:pPr>
        <w:spacing w:after="0" w:line="1" w:lineRule="exact"/>
        <w:rPr>
          <w:rFonts w:ascii="Arial" w:cs="Arial" w:eastAsia="Arial" w:hAnsi="Arial"/>
          <w:sz w:val="14"/>
          <w:szCs w:val="14"/>
          <w:color w:val="auto"/>
        </w:rPr>
      </w:pPr>
    </w:p>
    <w:p>
      <w:pPr>
        <w:sectPr>
          <w:pgSz w:w="11880" w:h="15480" w:orient="portrait"/>
          <w:cols w:equalWidth="0" w:num="2">
            <w:col w:w="4940" w:space="200"/>
            <w:col w:w="4940"/>
          </w:cols>
          <w:pgMar w:left="900" w:top="1440" w:right="900" w:bottom="0" w:gutter="0" w:footer="0" w:header="0"/>
          <w:type w:val="continuous"/>
        </w:sectPr>
      </w:pPr>
    </w:p>
    <w:p>
      <w:pPr>
        <w:ind w:right="120"/>
        <w:spacing w:after="0" w:line="409" w:lineRule="auto"/>
        <w:rPr>
          <w:sz w:val="20"/>
          <w:szCs w:val="20"/>
          <w:color w:val="auto"/>
        </w:rPr>
      </w:pPr>
      <w:r>
        <w:rPr>
          <w:rFonts w:ascii="Arial" w:cs="Arial" w:eastAsia="Arial" w:hAnsi="Arial"/>
          <w:sz w:val="18"/>
          <w:szCs w:val="18"/>
          <w:b w:val="1"/>
          <w:bCs w:val="1"/>
          <w:color w:val="auto"/>
        </w:rPr>
        <w:t xml:space="preserve">$266 million to our shareholders </w:t>
      </w:r>
      <w:r>
        <w:rPr>
          <w:rFonts w:ascii="Arial" w:cs="Arial" w:eastAsia="Arial" w:hAnsi="Arial"/>
          <w:sz w:val="18"/>
          <w:szCs w:val="18"/>
          <w:color w:val="auto"/>
        </w:rPr>
        <w:t>through regular</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 payments and share repurchases.</w:t>
      </w:r>
    </w:p>
    <w:p>
      <w:pPr>
        <w:spacing w:after="0" w:line="37" w:lineRule="exact"/>
        <w:rPr>
          <w:rFonts w:ascii="Arial" w:cs="Arial" w:eastAsia="Arial" w:hAnsi="Arial"/>
          <w:sz w:val="14"/>
          <w:szCs w:val="14"/>
          <w:color w:val="auto"/>
        </w:rPr>
      </w:pPr>
    </w:p>
    <w:p>
      <w:pPr>
        <w:spacing w:after="0" w:line="342" w:lineRule="auto"/>
        <w:rPr>
          <w:sz w:val="20"/>
          <w:szCs w:val="20"/>
          <w:color w:val="auto"/>
        </w:rPr>
      </w:pPr>
      <w:r>
        <w:rPr>
          <w:rFonts w:ascii="Arial" w:cs="Arial" w:eastAsia="Arial" w:hAnsi="Arial"/>
          <w:sz w:val="20"/>
          <w:szCs w:val="20"/>
          <w:color w:val="auto"/>
        </w:rPr>
        <w:t>During a very dynamic environment, we realized the benefit of our pricing and productivity</w:t>
      </w:r>
    </w:p>
    <w:p>
      <w:pPr>
        <w:spacing w:after="0" w:line="25" w:lineRule="exact"/>
        <w:rPr>
          <w:rFonts w:ascii="Arial" w:cs="Arial" w:eastAsia="Arial" w:hAnsi="Arial"/>
          <w:sz w:val="14"/>
          <w:szCs w:val="14"/>
          <w:color w:val="auto"/>
        </w:rPr>
      </w:pPr>
    </w:p>
    <w:p>
      <w:pPr>
        <w:ind w:right="1760"/>
        <w:spacing w:after="0" w:line="394" w:lineRule="auto"/>
        <w:rPr>
          <w:sz w:val="20"/>
          <w:szCs w:val="20"/>
          <w:color w:val="auto"/>
        </w:rPr>
      </w:pPr>
      <w:r>
        <w:rPr>
          <w:rFonts w:ascii="Arial" w:cs="Arial" w:eastAsia="Arial" w:hAnsi="Arial"/>
          <w:sz w:val="18"/>
          <w:szCs w:val="18"/>
          <w:color w:val="auto"/>
        </w:rPr>
        <w:t>initiatives, supported by strong demand, particularly in key</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1910080</wp:posOffset>
            </wp:positionH>
            <wp:positionV relativeFrom="paragraph">
              <wp:posOffset>-337820</wp:posOffset>
            </wp:positionV>
            <wp:extent cx="1235075" cy="128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5075" cy="1288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92"/>
        </w:trPr>
        <w:tc>
          <w:tcPr>
            <w:tcW w:w="2940" w:type="dxa"/>
            <w:vAlign w:val="bottom"/>
            <w:vMerge w:val="restart"/>
          </w:tcPr>
          <w:p>
            <w:pPr>
              <w:spacing w:after="0" w:line="219" w:lineRule="exact"/>
              <w:rPr>
                <w:sz w:val="20"/>
                <w:szCs w:val="20"/>
                <w:color w:val="auto"/>
              </w:rPr>
            </w:pPr>
            <w:r>
              <w:rPr>
                <w:rFonts w:ascii="Arial" w:cs="Arial" w:eastAsia="Arial" w:hAnsi="Arial"/>
                <w:sz w:val="20"/>
                <w:szCs w:val="20"/>
                <w:color w:val="auto"/>
              </w:rPr>
              <w:t>professional markets. We</w:t>
            </w:r>
          </w:p>
        </w:tc>
        <w:tc>
          <w:tcPr>
            <w:tcW w:w="700" w:type="dxa"/>
            <w:vAlign w:val="bottom"/>
          </w:tcPr>
          <w:p>
            <w:pPr>
              <w:jc w:val="center"/>
              <w:ind w:left="189"/>
              <w:spacing w:after="0"/>
              <w:rPr>
                <w:sz w:val="20"/>
                <w:szCs w:val="20"/>
                <w:color w:val="auto"/>
              </w:rPr>
            </w:pPr>
            <w:r>
              <w:rPr>
                <w:rFonts w:ascii="Verdana" w:cs="Verdana" w:eastAsia="Verdana" w:hAnsi="Verdana"/>
                <w:sz w:val="6"/>
                <w:szCs w:val="6"/>
                <w:b w:val="1"/>
                <w:bCs w:val="1"/>
                <w:color w:val="auto"/>
              </w:rPr>
              <w:t>Accelerating</w:t>
            </w: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940" w:type="dxa"/>
            <w:vAlign w:val="bottom"/>
            <w:vMerge w:val="continue"/>
          </w:tcPr>
          <w:p>
            <w:pPr>
              <w:spacing w:after="0"/>
              <w:rPr>
                <w:sz w:val="6"/>
                <w:szCs w:val="6"/>
                <w:color w:val="auto"/>
              </w:rPr>
            </w:pPr>
          </w:p>
        </w:tc>
        <w:tc>
          <w:tcPr>
            <w:tcW w:w="700" w:type="dxa"/>
            <w:vAlign w:val="bottom"/>
          </w:tcPr>
          <w:p>
            <w:pPr>
              <w:jc w:val="center"/>
              <w:ind w:left="209"/>
              <w:spacing w:after="0"/>
              <w:rPr>
                <w:sz w:val="20"/>
                <w:szCs w:val="20"/>
                <w:color w:val="auto"/>
              </w:rPr>
            </w:pPr>
            <w:r>
              <w:rPr>
                <w:rFonts w:ascii="Verdana" w:cs="Verdana" w:eastAsia="Verdana" w:hAnsi="Verdana"/>
                <w:sz w:val="6"/>
                <w:szCs w:val="6"/>
                <w:b w:val="1"/>
                <w:bCs w:val="1"/>
                <w:color w:val="auto"/>
              </w:rPr>
              <w:t>Profitable</w:t>
            </w: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2940" w:type="dxa"/>
            <w:vAlign w:val="bottom"/>
            <w:vMerge w:val="continue"/>
          </w:tcPr>
          <w:p>
            <w:pPr>
              <w:spacing w:after="0"/>
              <w:rPr>
                <w:sz w:val="4"/>
                <w:szCs w:val="4"/>
                <w:color w:val="auto"/>
              </w:rPr>
            </w:pPr>
          </w:p>
        </w:tc>
        <w:tc>
          <w:tcPr>
            <w:tcW w:w="700" w:type="dxa"/>
            <w:vAlign w:val="bottom"/>
            <w:vMerge w:val="restart"/>
          </w:tcPr>
          <w:p>
            <w:pPr>
              <w:jc w:val="center"/>
              <w:ind w:left="189"/>
              <w:spacing w:after="0"/>
              <w:rPr>
                <w:sz w:val="20"/>
                <w:szCs w:val="20"/>
                <w:color w:val="auto"/>
              </w:rPr>
            </w:pPr>
            <w:r>
              <w:rPr>
                <w:rFonts w:ascii="Verdana" w:cs="Verdana" w:eastAsia="Verdana" w:hAnsi="Verdana"/>
                <w:sz w:val="6"/>
                <w:szCs w:val="6"/>
                <w:b w:val="1"/>
                <w:bCs w:val="1"/>
                <w:color w:val="auto"/>
                <w:w w:val="96"/>
              </w:rPr>
              <w:t>Growth</w:t>
            </w:r>
          </w:p>
        </w:tc>
        <w:tc>
          <w:tcPr>
            <w:tcW w:w="700" w:type="dxa"/>
            <w:vAlign w:val="bottom"/>
            <w:vMerge w:val="restart"/>
          </w:tcPr>
          <w:p>
            <w:pPr>
              <w:jc w:val="center"/>
              <w:spacing w:after="0"/>
              <w:rPr>
                <w:sz w:val="20"/>
                <w:szCs w:val="20"/>
                <w:color w:val="auto"/>
              </w:rPr>
            </w:pPr>
            <w:r>
              <w:rPr>
                <w:rFonts w:ascii="Verdana" w:cs="Verdana" w:eastAsia="Verdana" w:hAnsi="Verdana"/>
                <w:sz w:val="7"/>
                <w:szCs w:val="7"/>
                <w:b w:val="1"/>
                <w:bCs w:val="1"/>
                <w:color w:val="FFFFFF"/>
                <w:w w:val="98"/>
              </w:rPr>
              <w:t>Enterprise</w:t>
            </w:r>
          </w:p>
        </w:tc>
        <w:tc>
          <w:tcPr>
            <w:tcW w:w="0" w:type="dxa"/>
            <w:vAlign w:val="bottom"/>
          </w:tcPr>
          <w:p>
            <w:pPr>
              <w:spacing w:after="0"/>
              <w:rPr>
                <w:sz w:val="1"/>
                <w:szCs w:val="1"/>
                <w:color w:val="auto"/>
              </w:rPr>
            </w:pPr>
          </w:p>
        </w:tc>
      </w:tr>
      <w:tr>
        <w:trPr>
          <w:trHeight w:val="26"/>
        </w:trPr>
        <w:tc>
          <w:tcPr>
            <w:tcW w:w="29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3"/>
        </w:trPr>
        <w:tc>
          <w:tcPr>
            <w:tcW w:w="2940" w:type="dxa"/>
            <w:vAlign w:val="bottom"/>
            <w:vMerge w:val="restart"/>
          </w:tcPr>
          <w:p>
            <w:pPr>
              <w:spacing w:after="0"/>
              <w:rPr>
                <w:sz w:val="20"/>
                <w:szCs w:val="20"/>
                <w:color w:val="auto"/>
              </w:rPr>
            </w:pPr>
            <w:r>
              <w:rPr>
                <w:rFonts w:ascii="Arial" w:cs="Arial" w:eastAsia="Arial" w:hAnsi="Arial"/>
                <w:sz w:val="20"/>
                <w:szCs w:val="20"/>
                <w:color w:val="auto"/>
              </w:rPr>
              <w:t>began to see improvements in</w:t>
            </w:r>
          </w:p>
        </w:tc>
        <w:tc>
          <w:tcPr>
            <w:tcW w:w="700" w:type="dxa"/>
            <w:vAlign w:val="bottom"/>
          </w:tcPr>
          <w:p>
            <w:pPr>
              <w:spacing w:after="0"/>
              <w:rPr>
                <w:sz w:val="7"/>
                <w:szCs w:val="7"/>
                <w:color w:val="auto"/>
              </w:rPr>
            </w:pPr>
          </w:p>
        </w:tc>
        <w:tc>
          <w:tcPr>
            <w:tcW w:w="700" w:type="dxa"/>
            <w:vAlign w:val="bottom"/>
          </w:tcPr>
          <w:p>
            <w:pPr>
              <w:jc w:val="center"/>
              <w:ind w:left="7"/>
              <w:spacing w:after="0" w:line="84" w:lineRule="exact"/>
              <w:rPr>
                <w:sz w:val="20"/>
                <w:szCs w:val="20"/>
                <w:color w:val="auto"/>
              </w:rPr>
            </w:pPr>
            <w:r>
              <w:rPr>
                <w:rFonts w:ascii="Verdana" w:cs="Verdana" w:eastAsia="Verdana" w:hAnsi="Verdana"/>
                <w:sz w:val="7"/>
                <w:szCs w:val="7"/>
                <w:b w:val="1"/>
                <w:bCs w:val="1"/>
                <w:color w:val="FFFFFF"/>
                <w:w w:val="95"/>
              </w:rPr>
              <w:t>Strategic</w:t>
            </w:r>
          </w:p>
        </w:tc>
        <w:tc>
          <w:tcPr>
            <w:tcW w:w="0" w:type="dxa"/>
            <w:vAlign w:val="bottom"/>
          </w:tcPr>
          <w:p>
            <w:pPr>
              <w:spacing w:after="0"/>
              <w:rPr>
                <w:sz w:val="1"/>
                <w:szCs w:val="1"/>
                <w:color w:val="auto"/>
              </w:rPr>
            </w:pPr>
          </w:p>
        </w:tc>
      </w:tr>
      <w:tr>
        <w:trPr>
          <w:trHeight w:val="88"/>
        </w:trPr>
        <w:tc>
          <w:tcPr>
            <w:tcW w:w="29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jc w:val="center"/>
              <w:spacing w:after="0"/>
              <w:rPr>
                <w:sz w:val="20"/>
                <w:szCs w:val="20"/>
                <w:color w:val="auto"/>
              </w:rPr>
            </w:pPr>
            <w:r>
              <w:rPr>
                <w:rFonts w:ascii="Verdana" w:cs="Verdana" w:eastAsia="Verdana" w:hAnsi="Verdana"/>
                <w:sz w:val="7"/>
                <w:szCs w:val="7"/>
                <w:b w:val="1"/>
                <w:bCs w:val="1"/>
                <w:color w:val="FFFFFF"/>
                <w:w w:val="99"/>
              </w:rPr>
              <w:t>Priorities</w:t>
            </w:r>
          </w:p>
        </w:tc>
        <w:tc>
          <w:tcPr>
            <w:tcW w:w="0" w:type="dxa"/>
            <w:vAlign w:val="bottom"/>
          </w:tcPr>
          <w:p>
            <w:pPr>
              <w:spacing w:after="0"/>
              <w:rPr>
                <w:sz w:val="1"/>
                <w:szCs w:val="1"/>
                <w:color w:val="auto"/>
              </w:rPr>
            </w:pPr>
          </w:p>
        </w:tc>
      </w:tr>
      <w:tr>
        <w:trPr>
          <w:trHeight w:val="103"/>
        </w:trPr>
        <w:tc>
          <w:tcPr>
            <w:tcW w:w="29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940" w:type="dxa"/>
            <w:vAlign w:val="bottom"/>
          </w:tcPr>
          <w:p>
            <w:pPr>
              <w:spacing w:after="0"/>
              <w:rPr>
                <w:sz w:val="20"/>
                <w:szCs w:val="20"/>
                <w:color w:val="auto"/>
              </w:rPr>
            </w:pPr>
            <w:r>
              <w:rPr>
                <w:rFonts w:ascii="Arial" w:cs="Arial" w:eastAsia="Arial" w:hAnsi="Arial"/>
                <w:sz w:val="20"/>
                <w:szCs w:val="20"/>
                <w:color w:val="auto"/>
              </w:rPr>
              <w:t>supply chain and manufacturing</w:t>
            </w:r>
          </w:p>
        </w:tc>
        <w:tc>
          <w:tcPr>
            <w:tcW w:w="7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Verdana" w:cs="Verdana" w:eastAsia="Verdana" w:hAnsi="Verdana"/>
                <w:sz w:val="6"/>
                <w:szCs w:val="6"/>
                <w:b w:val="1"/>
                <w:bCs w:val="1"/>
                <w:color w:val="auto"/>
              </w:rPr>
              <w:t>Driving Productivity</w:t>
            </w:r>
          </w:p>
        </w:tc>
        <w:tc>
          <w:tcPr>
            <w:tcW w:w="0" w:type="dxa"/>
            <w:vAlign w:val="bottom"/>
          </w:tcPr>
          <w:p>
            <w:pPr>
              <w:spacing w:after="0"/>
              <w:rPr>
                <w:sz w:val="1"/>
                <w:szCs w:val="1"/>
                <w:color w:val="auto"/>
              </w:rPr>
            </w:pPr>
          </w:p>
        </w:tc>
      </w:tr>
    </w:tbl>
    <w:p>
      <w:pPr>
        <w:jc w:val="center"/>
        <w:ind w:left="3660"/>
        <w:spacing w:after="0"/>
        <w:rPr>
          <w:sz w:val="20"/>
          <w:szCs w:val="20"/>
          <w:color w:val="auto"/>
        </w:rPr>
      </w:pPr>
      <w:r>
        <w:rPr>
          <w:rFonts w:ascii="Verdana" w:cs="Verdana" w:eastAsia="Verdana" w:hAnsi="Verdana"/>
          <w:sz w:val="6"/>
          <w:szCs w:val="6"/>
          <w:b w:val="1"/>
          <w:bCs w:val="1"/>
          <w:color w:val="auto"/>
        </w:rPr>
        <w:t>&amp; Operational</w:t>
      </w:r>
    </w:p>
    <w:p>
      <w:pPr>
        <w:jc w:val="center"/>
        <w:ind w:left="3660"/>
        <w:spacing w:after="0"/>
        <w:rPr>
          <w:sz w:val="20"/>
          <w:szCs w:val="20"/>
          <w:color w:val="auto"/>
        </w:rPr>
      </w:pPr>
      <w:r>
        <w:rPr>
          <w:rFonts w:ascii="Verdana" w:cs="Verdana" w:eastAsia="Verdana" w:hAnsi="Verdana"/>
          <w:sz w:val="6"/>
          <w:szCs w:val="6"/>
          <w:b w:val="1"/>
          <w:bCs w:val="1"/>
          <w:color w:val="auto"/>
        </w:rPr>
        <w:t>Excellence</w:t>
      </w:r>
    </w:p>
    <w:p>
      <w:pPr>
        <w:ind w:right="1100"/>
        <w:spacing w:after="0" w:line="408" w:lineRule="auto"/>
        <w:rPr>
          <w:sz w:val="20"/>
          <w:szCs w:val="20"/>
          <w:color w:val="auto"/>
        </w:rPr>
      </w:pPr>
      <w:r>
        <w:rPr>
          <w:rFonts w:ascii="Arial" w:cs="Arial" w:eastAsia="Arial" w:hAnsi="Arial"/>
          <w:sz w:val="18"/>
          <w:szCs w:val="18"/>
          <w:color w:val="auto"/>
        </w:rPr>
        <w:t>efficiencies which also had a favorable impact. All of which helped us advance our strategic priorities, while delivering meaningful value for our shareholders.</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0</wp:posOffset>
            </wp:positionH>
            <wp:positionV relativeFrom="paragraph">
              <wp:posOffset>434975</wp:posOffset>
            </wp:positionV>
            <wp:extent cx="57150" cy="9715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150" cy="971550"/>
                    </a:xfrm>
                    <a:prstGeom prst="rect">
                      <a:avLst/>
                    </a:prstGeom>
                    <a:noFill/>
                  </pic:spPr>
                </pic:pic>
              </a:graphicData>
            </a:graphic>
          </wp:anchor>
        </w:drawing>
      </w:r>
    </w:p>
    <w:p>
      <w:pPr>
        <w:spacing w:after="0" w:line="20" w:lineRule="exact"/>
        <w:rPr>
          <w:rFonts w:ascii="Arial" w:cs="Arial" w:eastAsia="Arial" w:hAnsi="Arial"/>
          <w:sz w:val="14"/>
          <w:szCs w:val="14"/>
          <w:color w:val="auto"/>
        </w:rPr>
      </w:pPr>
      <w:r>
        <w:rPr>
          <w:rFonts w:ascii="Arial" w:cs="Arial" w:eastAsia="Arial" w:hAnsi="Arial"/>
          <w:sz w:val="14"/>
          <w:szCs w:val="14"/>
          <w:color w:val="auto"/>
        </w:rPr>
        <w:br w:type="column"/>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01" w:lineRule="exact"/>
        <w:rPr>
          <w:rFonts w:ascii="Arial" w:cs="Arial" w:eastAsia="Arial" w:hAnsi="Arial"/>
          <w:sz w:val="14"/>
          <w:szCs w:val="14"/>
          <w:color w:val="auto"/>
        </w:rPr>
      </w:pPr>
    </w:p>
    <w:p>
      <w:pPr>
        <w:jc w:val="center"/>
        <w:spacing w:after="0"/>
        <w:rPr>
          <w:sz w:val="20"/>
          <w:szCs w:val="20"/>
          <w:color w:val="auto"/>
        </w:rPr>
      </w:pPr>
      <w:r>
        <w:rPr>
          <w:rFonts w:ascii="Verdana" w:cs="Verdana" w:eastAsia="Verdana" w:hAnsi="Verdana"/>
          <w:sz w:val="6"/>
          <w:szCs w:val="6"/>
          <w:b w:val="1"/>
          <w:bCs w:val="1"/>
          <w:color w:val="auto"/>
        </w:rPr>
        <w:t>Empowering</w:t>
      </w:r>
    </w:p>
    <w:p>
      <w:pPr>
        <w:jc w:val="center"/>
        <w:spacing w:after="0"/>
        <w:rPr>
          <w:sz w:val="20"/>
          <w:szCs w:val="20"/>
          <w:color w:val="auto"/>
        </w:rPr>
      </w:pPr>
      <w:r>
        <w:rPr>
          <w:rFonts w:ascii="Verdana" w:cs="Verdana" w:eastAsia="Verdana" w:hAnsi="Verdana"/>
          <w:sz w:val="6"/>
          <w:szCs w:val="6"/>
          <w:b w:val="1"/>
          <w:bCs w:val="1"/>
          <w:color w:val="auto"/>
        </w:rPr>
        <w:t>People</w:t>
      </w:r>
    </w:p>
    <w:p>
      <w:pPr>
        <w:spacing w:after="0" w:line="20" w:lineRule="exact"/>
        <w:rPr>
          <w:rFonts w:ascii="Arial" w:cs="Arial" w:eastAsia="Arial" w:hAnsi="Arial"/>
          <w:sz w:val="14"/>
          <w:szCs w:val="14"/>
          <w:color w:val="auto"/>
        </w:rPr>
      </w:pPr>
      <w:r>
        <w:rPr>
          <w:rFonts w:ascii="Arial" w:cs="Arial" w:eastAsia="Arial" w:hAnsi="Arial"/>
          <w:sz w:val="14"/>
          <w:szCs w:val="14"/>
          <w:color w:val="auto"/>
        </w:rPr>
        <w:br w:type="column"/>
      </w:r>
    </w:p>
    <w:p>
      <w:pPr>
        <w:spacing w:after="0" w:line="211" w:lineRule="exact"/>
        <w:rPr>
          <w:rFonts w:ascii="Arial" w:cs="Arial" w:eastAsia="Arial" w:hAnsi="Arial"/>
          <w:sz w:val="14"/>
          <w:szCs w:val="14"/>
          <w:color w:val="auto"/>
        </w:rPr>
      </w:pPr>
    </w:p>
    <w:p>
      <w:pPr>
        <w:ind w:right="180"/>
        <w:spacing w:after="0" w:line="396" w:lineRule="auto"/>
        <w:rPr>
          <w:sz w:val="20"/>
          <w:szCs w:val="20"/>
          <w:color w:val="auto"/>
        </w:rPr>
      </w:pPr>
      <w:r>
        <w:rPr>
          <w:rFonts w:ascii="Arial" w:cs="Arial" w:eastAsia="Arial" w:hAnsi="Arial"/>
          <w:sz w:val="18"/>
          <w:szCs w:val="18"/>
          <w:color w:val="auto"/>
        </w:rPr>
        <w:t>the prior year further building on incredible segment net sales growth of 23% in fiscal 2021 and 24% in fiscal 2020. Expanded distribution, innovative new product introductions and refreshed marketing strategies fueled our growth trajectory. Net price realization and increased demand for zero-turn riding mowers and snow products also contributed to our strong performance.</w:t>
      </w:r>
    </w:p>
    <w:p>
      <w:pPr>
        <w:spacing w:after="0" w:line="124"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22"/>
          <w:szCs w:val="22"/>
          <w:b w:val="1"/>
          <w:bCs w:val="1"/>
          <w:color w:val="auto"/>
        </w:rPr>
        <w:t>ROBUST DEMAND</w:t>
      </w:r>
    </w:p>
    <w:p>
      <w:pPr>
        <w:spacing w:after="0" w:line="161"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20"/>
          <w:szCs w:val="20"/>
          <w:color w:val="auto"/>
        </w:rPr>
        <w:t>Demand for our innovative solutions and technologies</w:t>
      </w:r>
    </w:p>
    <w:p>
      <w:pPr>
        <w:spacing w:after="0" w:line="182" w:lineRule="exact"/>
        <w:rPr>
          <w:rFonts w:ascii="Arial" w:cs="Arial" w:eastAsia="Arial" w:hAnsi="Arial"/>
          <w:sz w:val="14"/>
          <w:szCs w:val="14"/>
          <w:color w:val="auto"/>
        </w:rPr>
      </w:pPr>
    </w:p>
    <w:p>
      <w:pPr>
        <w:spacing w:after="0" w:line="351" w:lineRule="auto"/>
        <w:rPr>
          <w:sz w:val="20"/>
          <w:szCs w:val="20"/>
          <w:color w:val="auto"/>
        </w:rPr>
      </w:pPr>
      <w:r>
        <w:rPr>
          <w:rFonts w:ascii="Arial" w:cs="Arial" w:eastAsia="Arial" w:hAnsi="Arial"/>
          <w:sz w:val="20"/>
          <w:szCs w:val="20"/>
          <w:color w:val="auto"/>
        </w:rPr>
        <w:t>remained elevated across our portfolio. Utility construction, including broadband and alternative power buildouts, was strong in fiscal 2022 and is expected to continue with public and private infrastructure investments providing a tailwind.</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-3206115</wp:posOffset>
            </wp:positionH>
            <wp:positionV relativeFrom="paragraph">
              <wp:posOffset>-23495</wp:posOffset>
            </wp:positionV>
            <wp:extent cx="6343650" cy="9715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43650" cy="971550"/>
                    </a:xfrm>
                    <a:prstGeom prst="rect">
                      <a:avLst/>
                    </a:prstGeom>
                    <a:noFill/>
                  </pic:spPr>
                </pic:pic>
              </a:graphicData>
            </a:graphic>
          </wp:anchor>
        </w:drawing>
      </w:r>
    </w:p>
    <w:p>
      <w:pPr>
        <w:spacing w:after="0" w:line="77" w:lineRule="exact"/>
        <w:rPr>
          <w:rFonts w:ascii="Arial" w:cs="Arial" w:eastAsia="Arial" w:hAnsi="Arial"/>
          <w:sz w:val="14"/>
          <w:szCs w:val="14"/>
          <w:color w:val="auto"/>
        </w:rPr>
      </w:pPr>
    </w:p>
    <w:p>
      <w:pPr>
        <w:sectPr>
          <w:pgSz w:w="11880" w:h="15480" w:orient="portrait"/>
          <w:cols w:equalWidth="0" w:num="3">
            <w:col w:w="4340" w:space="20"/>
            <w:col w:w="440" w:space="340"/>
            <w:col w:w="4940"/>
          </w:cols>
          <w:pgMar w:left="900" w:top="1440" w:right="900" w:bottom="0" w:gutter="0" w:footer="0" w:header="0"/>
          <w:type w:val="continuous"/>
        </w:sectPr>
      </w:pPr>
    </w:p>
    <w:p>
      <w:pPr>
        <w:ind w:left="280"/>
        <w:spacing w:after="0"/>
        <w:rPr>
          <w:sz w:val="20"/>
          <w:szCs w:val="20"/>
          <w:color w:val="auto"/>
        </w:rPr>
      </w:pPr>
      <w:r>
        <w:rPr>
          <w:rFonts w:ascii="Arial" w:cs="Arial" w:eastAsia="Arial" w:hAnsi="Arial"/>
          <w:sz w:val="18"/>
          <w:szCs w:val="18"/>
          <w:color w:val="auto"/>
        </w:rPr>
        <w:t>Opportunity in Infrastructure</w:t>
      </w:r>
    </w:p>
    <w:p>
      <w:pPr>
        <w:spacing w:after="0" w:line="34" w:lineRule="exact"/>
        <w:rPr>
          <w:rFonts w:ascii="Arial" w:cs="Arial" w:eastAsia="Arial" w:hAnsi="Arial"/>
          <w:sz w:val="14"/>
          <w:szCs w:val="14"/>
          <w:color w:val="auto"/>
        </w:rPr>
      </w:pPr>
    </w:p>
    <w:p>
      <w:pPr>
        <w:ind w:left="280" w:right="300"/>
        <w:spacing w:after="0" w:line="285" w:lineRule="auto"/>
        <w:rPr>
          <w:sz w:val="20"/>
          <w:szCs w:val="20"/>
          <w:color w:val="auto"/>
        </w:rPr>
      </w:pPr>
      <w:r>
        <w:rPr>
          <w:rFonts w:ascii="Arial" w:cs="Arial" w:eastAsia="Arial" w:hAnsi="Arial"/>
          <w:sz w:val="16"/>
          <w:szCs w:val="16"/>
          <w:color w:val="auto"/>
        </w:rPr>
        <w:t>Within our underground and specialty construction businesses, we expect increased investments in public and private infrastructure to continue. According to the American Society of Civil Engineers, it is estimated there is a water main break every two minutes and 6 billion gallons of treated water are lost each day in the U.S. alone. Driven by the need to address aging infrastructure and improve broadband and alternative power buildouts, we believe that our comprehensive equipment lineup with solutions for new installations, broadband expansion, utility inspection and rehabilitation positions us well.</w:t>
      </w:r>
    </w:p>
    <w:p>
      <w:pPr>
        <w:sectPr>
          <w:pgSz w:w="11880" w:h="15480" w:orient="portrait"/>
          <w:cols w:equalWidth="0" w:num="1">
            <w:col w:w="10080"/>
          </w:cols>
          <w:pgMar w:left="900" w:top="1440" w:right="900" w:bottom="0" w:gutter="0" w:footer="0" w:header="0"/>
          <w:type w:val="continuous"/>
        </w:sectPr>
      </w:pPr>
    </w:p>
    <w:p>
      <w:pPr>
        <w:spacing w:after="0" w:line="182" w:lineRule="exact"/>
        <w:rPr>
          <w:rFonts w:ascii="Arial" w:cs="Arial" w:eastAsia="Arial" w:hAnsi="Arial"/>
          <w:sz w:val="14"/>
          <w:szCs w:val="14"/>
          <w:color w:val="auto"/>
        </w:rPr>
      </w:pPr>
    </w:p>
    <w:p>
      <w:pPr>
        <w:ind w:left="60" w:right="2620" w:hanging="59"/>
        <w:spacing w:after="0" w:line="241" w:lineRule="auto"/>
        <w:rPr>
          <w:sz w:val="20"/>
          <w:szCs w:val="20"/>
          <w:color w:val="auto"/>
        </w:rPr>
      </w:pPr>
      <w:r>
        <w:rPr>
          <w:rFonts w:ascii="Arial" w:cs="Arial" w:eastAsia="Arial" w:hAnsi="Arial"/>
          <w:sz w:val="15"/>
          <w:szCs w:val="15"/>
          <w:color w:val="auto"/>
        </w:rPr>
        <w:t>*This metric represents a non-GAAP financial metric and a reconciliation of this non-GAAP financial metric can be found in our Investor Presentation, which is available in the Investor section at www.thetorocompany.com.</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-570865</wp:posOffset>
            </wp:positionH>
            <wp:positionV relativeFrom="paragraph">
              <wp:posOffset>222885</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6964680</wp:posOffset>
            </wp:positionH>
            <wp:positionV relativeFrom="paragraph">
              <wp:posOffset>222885</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0" w:orient="portrait"/>
          <w:cols w:equalWidth="0" w:num="1">
            <w:col w:w="10080"/>
          </w:cols>
          <w:pgMar w:left="900" w:top="1440" w:right="900" w:bottom="0" w:gutter="0" w:footer="0" w:header="0"/>
          <w:type w:val="continuous"/>
        </w:sectPr>
      </w:pPr>
    </w:p>
    <w:bookmarkStart w:id="3" w:name="page4"/>
    <w:bookmarkEnd w:id="3"/>
    <w:p>
      <w:pPr>
        <w:ind w:left="1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568960</wp:posOffset>
            </wp:positionH>
            <wp:positionV relativeFrom="page">
              <wp:posOffset>457200</wp:posOffset>
            </wp:positionV>
            <wp:extent cx="6403340" cy="1085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03340" cy="108585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t>Leveraging Liquid Deicing Technology</w:t>
      </w:r>
    </w:p>
    <w:p>
      <w:pPr>
        <w:spacing w:after="0" w:line="34" w:lineRule="exact"/>
        <w:rPr>
          <w:sz w:val="20"/>
          <w:szCs w:val="20"/>
          <w:color w:val="auto"/>
        </w:rPr>
      </w:pPr>
    </w:p>
    <w:p>
      <w:pPr>
        <w:ind w:left="1880" w:right="120"/>
        <w:spacing w:after="0" w:line="285" w:lineRule="auto"/>
        <w:rPr>
          <w:sz w:val="20"/>
          <w:szCs w:val="20"/>
          <w:color w:val="auto"/>
        </w:rPr>
      </w:pPr>
      <w:r>
        <w:rPr>
          <w:rFonts w:ascii="Arial" w:cs="Arial" w:eastAsia="Arial" w:hAnsi="Arial"/>
          <w:sz w:val="16"/>
          <w:szCs w:val="16"/>
          <w:color w:val="auto"/>
        </w:rPr>
        <w:t>Application efficiencies and environmental opportunities make liquid deicing an appealing proposition for snow and ice contractors. The addition of Voigt Smith Innovation products in fiscal 2022 strategically enables BOSS Snowplow to further strengthen its position in the snow and ice management category. As municipalities and government agencies look to reduce salt usage, liquid deicing allows contractors to reduce the amount of salt used by two-thirds to treat surfaces while providing a more consistent application.</w:t>
      </w:r>
    </w:p>
    <w:p>
      <w:pPr>
        <w:sectPr>
          <w:pgSz w:w="11880" w:h="15480" w:orient="portrait"/>
          <w:cols w:equalWidth="0" w:num="1">
            <w:col w:w="10060"/>
          </w:cols>
          <w:pgMar w:left="900" w:top="925" w:right="920" w:bottom="261"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line="395" w:lineRule="auto"/>
        <w:rPr>
          <w:sz w:val="20"/>
          <w:szCs w:val="20"/>
          <w:color w:val="auto"/>
        </w:rPr>
      </w:pPr>
      <w:r>
        <w:rPr>
          <w:rFonts w:ascii="Arial" w:cs="Arial" w:eastAsia="Arial" w:hAnsi="Arial"/>
          <w:sz w:val="18"/>
          <w:szCs w:val="18"/>
          <w:color w:val="auto"/>
        </w:rPr>
        <w:t>Golf course budgets remain healthy with golf rounds played in the United States in 2022 well above pre-pandemic levels. We were pleased to be named the official equipment and irrigation partner for Asian Tour Destinations, an exclusive network of world-class golfing venues in Asia. Our high-quality products, exceptional service network and legacy of trusted relationships helped secure this designation. Building on this legacy of excellence, we continue to be well positioned to serve our customers with both equipment and irrigation solutions.</w:t>
      </w:r>
    </w:p>
    <w:p>
      <w:pPr>
        <w:spacing w:after="0" w:line="74" w:lineRule="exact"/>
        <w:rPr>
          <w:sz w:val="20"/>
          <w:szCs w:val="20"/>
          <w:color w:val="auto"/>
        </w:rPr>
      </w:pPr>
    </w:p>
    <w:p>
      <w:pPr>
        <w:ind w:right="260"/>
        <w:spacing w:after="0" w:line="351" w:lineRule="auto"/>
        <w:rPr>
          <w:sz w:val="20"/>
          <w:szCs w:val="20"/>
          <w:color w:val="auto"/>
        </w:rPr>
      </w:pPr>
      <w:r>
        <w:rPr>
          <w:rFonts w:ascii="Arial" w:cs="Arial" w:eastAsia="Arial" w:hAnsi="Arial"/>
          <w:sz w:val="20"/>
          <w:szCs w:val="20"/>
          <w:color w:val="auto"/>
        </w:rPr>
        <w:t>Our snow and ice management businesses enjoyed a strong start this winter with early storm activity that drove orders. New product launches and portfolio expansion are enhancing our leadership in this important market.</w:t>
      </w:r>
    </w:p>
    <w:p>
      <w:pPr>
        <w:spacing w:after="0" w:line="99" w:lineRule="exact"/>
        <w:rPr>
          <w:sz w:val="20"/>
          <w:szCs w:val="20"/>
          <w:color w:val="auto"/>
        </w:rPr>
      </w:pPr>
    </w:p>
    <w:p>
      <w:pPr>
        <w:ind w:right="20"/>
        <w:spacing w:after="0" w:line="395" w:lineRule="auto"/>
        <w:rPr>
          <w:sz w:val="20"/>
          <w:szCs w:val="20"/>
          <w:color w:val="auto"/>
        </w:rPr>
      </w:pPr>
      <w:r>
        <w:rPr>
          <w:rFonts w:ascii="Arial" w:cs="Arial" w:eastAsia="Arial" w:hAnsi="Arial"/>
          <w:sz w:val="18"/>
          <w:szCs w:val="18"/>
          <w:color w:val="auto"/>
        </w:rPr>
        <w:t>The landscape contractor market continues to grow with attractive opportunities to expand our product offerings. Customers are seeking solutions that drive productivity and efficiency, while also reducing exhaust emissions. This includes our recently introduced Toro and Exmark commercial-grade, battery-powered stand-on and zero-turn mowers that have been well received by contractors with expected momentum to continue in the year ahead. We believe our extensive channel paired with our strong brands – Exmark, Toro and Spartan Mowers – will continue to enable us to increase our leadership position in the fast-growing zero-turn mower market.</w:t>
      </w:r>
    </w:p>
    <w:p>
      <w:pPr>
        <w:spacing w:after="0" w:line="73" w:lineRule="exact"/>
        <w:rPr>
          <w:sz w:val="20"/>
          <w:szCs w:val="20"/>
          <w:color w:val="auto"/>
        </w:rPr>
      </w:pPr>
    </w:p>
    <w:p>
      <w:pPr>
        <w:ind w:right="60"/>
        <w:spacing w:after="0" w:line="407" w:lineRule="auto"/>
        <w:rPr>
          <w:sz w:val="20"/>
          <w:szCs w:val="20"/>
          <w:color w:val="auto"/>
        </w:rPr>
      </w:pPr>
      <w:r>
        <w:rPr>
          <w:rFonts w:ascii="Arial" w:cs="Arial" w:eastAsia="Arial" w:hAnsi="Arial"/>
          <w:sz w:val="18"/>
          <w:szCs w:val="18"/>
          <w:color w:val="auto"/>
        </w:rPr>
        <w:t>In the residential business, we saw demand return to more typical seasonal trends, while still benefitting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57150" cy="1143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150" cy="1143000"/>
                    </a:xfrm>
                    <a:prstGeom prst="rect">
                      <a:avLst/>
                    </a:prstGeom>
                    <a:noFill/>
                  </pic:spPr>
                </pic:pic>
              </a:graphicData>
            </a:graphic>
          </wp:anchor>
        </w:drawing>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Partners in Excellence: 150</w:t>
      </w:r>
      <w:r>
        <w:rPr>
          <w:rFonts w:ascii="Arial" w:cs="Arial" w:eastAsia="Arial" w:hAnsi="Arial"/>
          <w:sz w:val="10"/>
          <w:szCs w:val="10"/>
          <w:color w:val="auto"/>
        </w:rPr>
        <w:t>th</w:t>
      </w:r>
      <w:r>
        <w:rPr>
          <w:rFonts w:ascii="Arial" w:cs="Arial" w:eastAsia="Arial" w:hAnsi="Arial"/>
          <w:sz w:val="18"/>
          <w:szCs w:val="18"/>
          <w:color w:val="auto"/>
        </w:rPr>
        <w:t xml:space="preserve"> Open Championship</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right="60"/>
        <w:spacing w:after="0" w:line="396" w:lineRule="auto"/>
        <w:rPr>
          <w:sz w:val="20"/>
          <w:szCs w:val="20"/>
          <w:color w:val="auto"/>
        </w:rPr>
      </w:pPr>
      <w:r>
        <w:rPr>
          <w:rFonts w:ascii="Arial" w:cs="Arial" w:eastAsia="Arial" w:hAnsi="Arial"/>
          <w:sz w:val="18"/>
          <w:szCs w:val="18"/>
          <w:color w:val="auto"/>
        </w:rPr>
        <w:t>regular replacement cycles and broader customer reach through our expanded channel partners. We continue to build out our suite of products, including the latest additions to our Flex Force 60V battery product lineup. We also will be entering the autonomous homeowner market with our robotic mower introduced in fiscal 2022.</w:t>
      </w:r>
    </w:p>
    <w:p>
      <w:pPr>
        <w:spacing w:after="0" w:line="223" w:lineRule="exact"/>
        <w:rPr>
          <w:sz w:val="20"/>
          <w:szCs w:val="20"/>
          <w:color w:val="auto"/>
        </w:rPr>
      </w:pPr>
    </w:p>
    <w:p>
      <w:pPr>
        <w:ind w:right="880"/>
        <w:spacing w:after="0" w:line="348" w:lineRule="auto"/>
        <w:rPr>
          <w:sz w:val="20"/>
          <w:szCs w:val="20"/>
          <w:color w:val="auto"/>
        </w:rPr>
      </w:pPr>
      <w:r>
        <w:rPr>
          <w:rFonts w:ascii="Arial" w:cs="Arial" w:eastAsia="Arial" w:hAnsi="Arial"/>
          <w:sz w:val="19"/>
          <w:szCs w:val="19"/>
          <w:b w:val="1"/>
          <w:bCs w:val="1"/>
          <w:color w:val="auto"/>
        </w:rPr>
        <w:t>STRENGTHENING MARKET LEADERSHIP WITH NEW TECHNOLOGIES</w:t>
      </w:r>
    </w:p>
    <w:p>
      <w:pPr>
        <w:spacing w:after="0" w:line="92" w:lineRule="exact"/>
        <w:rPr>
          <w:sz w:val="20"/>
          <w:szCs w:val="20"/>
          <w:color w:val="auto"/>
        </w:rPr>
      </w:pPr>
    </w:p>
    <w:p>
      <w:pPr>
        <w:ind w:right="40"/>
        <w:spacing w:after="0" w:line="353" w:lineRule="auto"/>
        <w:rPr>
          <w:sz w:val="20"/>
          <w:szCs w:val="20"/>
          <w:color w:val="auto"/>
        </w:rPr>
      </w:pPr>
      <w:r>
        <w:rPr>
          <w:rFonts w:ascii="Arial" w:cs="Arial" w:eastAsia="Arial" w:hAnsi="Arial"/>
          <w:sz w:val="20"/>
          <w:szCs w:val="20"/>
          <w:color w:val="auto"/>
        </w:rPr>
        <w:t>We are committed to expanding our suite of battery electric and smart-connected solutions across our portfolio in response to customer needs. Recent introductions of autonomous products promoting industry-first features in our golf and residential businesses are appealing to many customers. Not only do these potential solutions help customers achieve their emission reduction goals, but they also enable them to deploy labor prudently and maximize productivity. We are excited about the technology transformations that are happening in our industries.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BALANCE SHEET STRENGTH AND</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PRUDENT CAPITAL DEPLOYMENT</w:t>
      </w:r>
    </w:p>
    <w:p>
      <w:pPr>
        <w:spacing w:after="0" w:line="192" w:lineRule="exact"/>
        <w:rPr>
          <w:sz w:val="20"/>
          <w:szCs w:val="20"/>
          <w:color w:val="auto"/>
        </w:rPr>
      </w:pPr>
    </w:p>
    <w:p>
      <w:pPr>
        <w:spacing w:after="0" w:line="352" w:lineRule="auto"/>
        <w:rPr>
          <w:sz w:val="20"/>
          <w:szCs w:val="20"/>
          <w:color w:val="auto"/>
        </w:rPr>
      </w:pPr>
      <w:r>
        <w:rPr>
          <w:rFonts w:ascii="Arial" w:cs="Arial" w:eastAsia="Arial" w:hAnsi="Arial"/>
          <w:sz w:val="20"/>
          <w:szCs w:val="20"/>
          <w:color w:val="auto"/>
        </w:rPr>
        <w:t>We allocated capital prudently to fund new product investments, expand capacity and leverage advanced manufacturing technologies to fuel sustainable long-term growth. We continue to prioritize investments in research and development, transformational capital projects and compelling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348615</wp:posOffset>
            </wp:positionV>
            <wp:extent cx="6413500" cy="1168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3500" cy="1168400"/>
                    </a:xfrm>
                    <a:prstGeom prst="rect">
                      <a:avLst/>
                    </a:prstGeom>
                    <a:noFill/>
                  </pic:spPr>
                </pic:pic>
              </a:graphicData>
            </a:graphic>
          </wp:anchor>
        </w:drawing>
      </w:r>
    </w:p>
    <w:p>
      <w:pPr>
        <w:spacing w:after="0" w:line="950" w:lineRule="exact"/>
        <w:rPr>
          <w:sz w:val="20"/>
          <w:szCs w:val="20"/>
          <w:color w:val="auto"/>
        </w:rPr>
      </w:pPr>
    </w:p>
    <w:p>
      <w:pPr>
        <w:sectPr>
          <w:pgSz w:w="11880" w:h="15480" w:orient="portrait"/>
          <w:cols w:equalWidth="0" w:num="2">
            <w:col w:w="4780" w:space="480"/>
            <w:col w:w="4800"/>
          </w:cols>
          <w:pgMar w:left="900" w:top="925" w:right="920" w:bottom="261" w:gutter="0" w:footer="0" w:header="0"/>
          <w:type w:val="continuous"/>
        </w:sectPr>
      </w:pPr>
    </w:p>
    <w:p>
      <w:pPr>
        <w:ind w:left="260" w:right="1940"/>
        <w:spacing w:after="0" w:line="306" w:lineRule="auto"/>
        <w:rPr>
          <w:sz w:val="20"/>
          <w:szCs w:val="20"/>
          <w:color w:val="auto"/>
        </w:rPr>
      </w:pPr>
      <w:r>
        <w:rPr>
          <w:rFonts w:ascii="Arial" w:cs="Arial" w:eastAsia="Arial" w:hAnsi="Arial"/>
          <w:sz w:val="15"/>
          <w:szCs w:val="15"/>
          <w:color w:val="auto"/>
        </w:rPr>
        <w:t>As the exclusive equipment and irrigation partner to St Andrews Links Trust (SALT) in Scotland, we were honored to help support the team in their preparation for hosting the historic 150th Open Championship in 2022. With a relationship that spans more than 22 years, The Toro Company and SALT share a deep commitment to excellence and advancing sustainability through best practice and new technologies. As SALT furthers its efforts to have</w:t>
      </w:r>
    </w:p>
    <w:p>
      <w:pPr>
        <w:ind w:left="260" w:right="2160"/>
        <w:spacing w:after="0" w:line="282" w:lineRule="auto"/>
        <w:rPr>
          <w:sz w:val="20"/>
          <w:szCs w:val="20"/>
          <w:color w:val="auto"/>
        </w:rPr>
      </w:pPr>
      <w:r>
        <w:rPr>
          <w:rFonts w:ascii="Arial" w:cs="Arial" w:eastAsia="Arial" w:hAnsi="Arial"/>
          <w:sz w:val="16"/>
          <w:szCs w:val="16"/>
          <w:color w:val="auto"/>
        </w:rPr>
        <w:t>a positive impact on the environment, we are grateful for their trust in our many battery and hybrid equipment technologies and water-saving irrigation solutions to care for their seven courses.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516255</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6964680</wp:posOffset>
            </wp:positionH>
            <wp:positionV relativeFrom="paragraph">
              <wp:posOffset>516255</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0" w:orient="portrait"/>
          <w:cols w:equalWidth="0" w:num="1">
            <w:col w:w="10060"/>
          </w:cols>
          <w:pgMar w:left="900" w:top="925" w:right="920" w:bottom="261" w:gutter="0" w:footer="0" w:header="0"/>
          <w:type w:val="continuous"/>
        </w:sectPr>
      </w:pPr>
    </w:p>
    <w:bookmarkStart w:id="4" w:name="page5"/>
    <w:bookmarkEnd w:id="4"/>
    <w:p>
      <w:pPr>
        <w:ind w:left="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568960</wp:posOffset>
            </wp:positionH>
            <wp:positionV relativeFrom="page">
              <wp:posOffset>457200</wp:posOffset>
            </wp:positionV>
            <wp:extent cx="6403340" cy="9715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03340" cy="97155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t>Engaging Our Industry in Sustainability</w:t>
      </w:r>
    </w:p>
    <w:p>
      <w:pPr>
        <w:spacing w:after="0" w:line="34" w:lineRule="exact"/>
        <w:rPr>
          <w:sz w:val="20"/>
          <w:szCs w:val="20"/>
          <w:color w:val="auto"/>
        </w:rPr>
      </w:pPr>
    </w:p>
    <w:p>
      <w:pPr>
        <w:ind w:left="260" w:right="600"/>
        <w:spacing w:after="0" w:line="285" w:lineRule="auto"/>
        <w:rPr>
          <w:sz w:val="20"/>
          <w:szCs w:val="20"/>
          <w:color w:val="auto"/>
        </w:rPr>
      </w:pPr>
      <w:r>
        <w:rPr>
          <w:rFonts w:ascii="Arial" w:cs="Arial" w:eastAsia="Arial" w:hAnsi="Arial"/>
          <w:sz w:val="16"/>
          <w:szCs w:val="16"/>
          <w:color w:val="auto"/>
        </w:rPr>
        <w:t>Our focus on sustainability extends beyond our products and operations to also include the way we invest in our people, serve customers and partner with community and industry leaders. In fiscal 2022, we hosted our first Sustainability Lab to share ideas and facilitate collaboration between our teams and urban park systems across North America. Through this initiative, we hope to gain a deeper understanding of how agencies and manufacturers can work together to better support sustainable solutions and best practices for the future.</w:t>
      </w:r>
    </w:p>
    <w:p>
      <w:pPr>
        <w:sectPr>
          <w:pgSz w:w="11880" w:h="15480" w:orient="portrait"/>
          <w:cols w:equalWidth="0" w:num="1">
            <w:col w:w="10080"/>
          </w:cols>
          <w:pgMar w:left="900" w:top="835" w:right="900" w:bottom="436" w:gutter="0" w:footer="0" w:header="0"/>
        </w:sectPr>
      </w:pPr>
    </w:p>
    <w:p>
      <w:pPr>
        <w:spacing w:after="0" w:line="319" w:lineRule="exact"/>
        <w:rPr>
          <w:sz w:val="20"/>
          <w:szCs w:val="20"/>
          <w:color w:val="auto"/>
        </w:rPr>
      </w:pPr>
    </w:p>
    <w:p>
      <w:pPr>
        <w:spacing w:after="0" w:line="388" w:lineRule="auto"/>
        <w:rPr>
          <w:sz w:val="20"/>
          <w:szCs w:val="20"/>
          <w:color w:val="auto"/>
        </w:rPr>
      </w:pPr>
      <w:r>
        <w:rPr>
          <w:rFonts w:ascii="Arial" w:cs="Arial" w:eastAsia="Arial" w:hAnsi="Arial"/>
          <w:sz w:val="18"/>
          <w:szCs w:val="18"/>
          <w:color w:val="auto"/>
        </w:rPr>
        <w:t>The addition of the Intimidator Group in fiscal 2022 positioned us to expand our geographic reach and market leadership in the large and rapidly growing zero-turn mower market. The addition of the Spartan brand to our already strong Toro and Exmark brands enables</w:t>
      </w:r>
    </w:p>
    <w:p>
      <w:pPr>
        <w:spacing w:after="0" w:line="2" w:lineRule="exact"/>
        <w:rPr>
          <w:sz w:val="20"/>
          <w:szCs w:val="20"/>
          <w:color w:val="auto"/>
        </w:rPr>
      </w:pPr>
    </w:p>
    <w:p>
      <w:pPr>
        <w:ind w:right="60"/>
        <w:spacing w:after="0" w:line="391" w:lineRule="auto"/>
        <w:rPr>
          <w:sz w:val="20"/>
          <w:szCs w:val="20"/>
          <w:color w:val="auto"/>
        </w:rPr>
      </w:pPr>
      <w:r>
        <w:rPr>
          <w:rFonts w:ascii="Arial" w:cs="Arial" w:eastAsia="Arial" w:hAnsi="Arial"/>
          <w:sz w:val="18"/>
          <w:szCs w:val="18"/>
          <w:color w:val="auto"/>
        </w:rPr>
        <w:t>us to further leverage technology investments, as well as procurement and manufacturing efficiencies. We continued our history of successful acquisitions this year and will continue to look for compelling opportunities to enhance our portfolio, while maintaining a disciplined approach to capital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2540</wp:posOffset>
            </wp:positionV>
            <wp:extent cx="3091180" cy="4851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91180" cy="485140"/>
                    </a:xfrm>
                    <a:prstGeom prst="rect">
                      <a:avLst/>
                    </a:prstGeom>
                    <a:noFill/>
                  </pic:spPr>
                </pic:pic>
              </a:graphicData>
            </a:graphic>
          </wp:anchor>
        </w:drawing>
      </w:r>
    </w:p>
    <w:p>
      <w:pPr>
        <w:spacing w:after="0" w:line="209" w:lineRule="exact"/>
        <w:rPr>
          <w:sz w:val="20"/>
          <w:szCs w:val="20"/>
          <w:color w:val="auto"/>
        </w:rPr>
      </w:pPr>
    </w:p>
    <w:p>
      <w:pPr>
        <w:ind w:left="1620"/>
        <w:spacing w:after="0"/>
        <w:tabs>
          <w:tab w:leader="none" w:pos="1700" w:val="left"/>
        </w:tabs>
        <w:rPr>
          <w:sz w:val="20"/>
          <w:szCs w:val="20"/>
          <w:color w:val="auto"/>
        </w:rPr>
      </w:pPr>
      <w:r>
        <w:rPr>
          <w:rFonts w:ascii="Arial" w:cs="Arial" w:eastAsia="Arial" w:hAnsi="Arial"/>
          <w:sz w:val="8"/>
          <w:szCs w:val="8"/>
          <w:color w:val="404040"/>
        </w:rPr>
        <w:t>•</w:t>
      </w:r>
      <w:r>
        <w:rPr>
          <w:sz w:val="20"/>
          <w:szCs w:val="20"/>
          <w:color w:val="auto"/>
        </w:rPr>
        <w:tab/>
      </w:r>
      <w:r>
        <w:rPr>
          <w:rFonts w:ascii="Verdana" w:cs="Verdana" w:eastAsia="Verdana" w:hAnsi="Verdana"/>
          <w:sz w:val="8"/>
          <w:szCs w:val="8"/>
          <w:color w:val="auto"/>
        </w:rPr>
        <w:t>Strengthen professional segment</w:t>
      </w:r>
    </w:p>
    <w:p>
      <w:pPr>
        <w:spacing w:after="0" w:line="16" w:lineRule="exact"/>
        <w:rPr>
          <w:sz w:val="20"/>
          <w:szCs w:val="20"/>
          <w:color w:val="auto"/>
        </w:rPr>
      </w:pPr>
    </w:p>
    <w:p>
      <w:pPr>
        <w:ind w:left="1620"/>
        <w:spacing w:after="0"/>
        <w:tabs>
          <w:tab w:leader="none" w:pos="1700" w:val="left"/>
        </w:tabs>
        <w:rPr>
          <w:sz w:val="20"/>
          <w:szCs w:val="20"/>
          <w:color w:val="auto"/>
        </w:rPr>
      </w:pPr>
      <w:r>
        <w:rPr>
          <w:rFonts w:ascii="Arial" w:cs="Arial" w:eastAsia="Arial" w:hAnsi="Arial"/>
          <w:sz w:val="8"/>
          <w:szCs w:val="8"/>
          <w:color w:val="404040"/>
        </w:rPr>
        <w:t>•</w:t>
      </w:r>
      <w:r>
        <w:rPr>
          <w:sz w:val="20"/>
          <w:szCs w:val="20"/>
          <w:color w:val="auto"/>
        </w:rPr>
        <w:tab/>
      </w:r>
      <w:r>
        <w:rPr>
          <w:rFonts w:ascii="Verdana" w:cs="Verdana" w:eastAsia="Verdana" w:hAnsi="Verdana"/>
          <w:sz w:val="8"/>
          <w:szCs w:val="8"/>
          <w:color w:val="auto"/>
        </w:rPr>
        <w:t>Complementary Spartan brand in attractive zero-turn mower market</w:t>
      </w:r>
    </w:p>
    <w:p>
      <w:pPr>
        <w:ind w:left="1620"/>
        <w:spacing w:after="0" w:line="201" w:lineRule="auto"/>
        <w:tabs>
          <w:tab w:leader="none" w:pos="1700" w:val="left"/>
        </w:tabs>
        <w:rPr>
          <w:sz w:val="20"/>
          <w:szCs w:val="20"/>
          <w:color w:val="auto"/>
        </w:rPr>
      </w:pPr>
      <w:r>
        <w:rPr>
          <w:rFonts w:ascii="Arial" w:cs="Arial" w:eastAsia="Arial" w:hAnsi="Arial"/>
          <w:sz w:val="8"/>
          <w:szCs w:val="8"/>
          <w:color w:val="404040"/>
        </w:rPr>
        <w:t>•</w:t>
      </w:r>
      <w:r>
        <w:rPr>
          <w:sz w:val="20"/>
          <w:szCs w:val="20"/>
          <w:color w:val="auto"/>
        </w:rPr>
        <w:tab/>
      </w:r>
      <w:r>
        <w:rPr>
          <w:rFonts w:ascii="Verdana" w:cs="Verdana" w:eastAsia="Verdana" w:hAnsi="Verdana"/>
          <w:sz w:val="8"/>
          <w:szCs w:val="8"/>
          <w:color w:val="auto"/>
        </w:rPr>
        <w:t>Procurement and design synergies within portfolio</w:t>
      </w:r>
    </w:p>
    <w:p>
      <w:pPr>
        <w:spacing w:after="0" w:line="1" w:lineRule="exact"/>
        <w:rPr>
          <w:sz w:val="20"/>
          <w:szCs w:val="20"/>
          <w:color w:val="auto"/>
        </w:rPr>
      </w:pPr>
    </w:p>
    <w:p>
      <w:pPr>
        <w:ind w:left="640"/>
        <w:spacing w:after="0"/>
        <w:rPr>
          <w:sz w:val="20"/>
          <w:szCs w:val="20"/>
          <w:color w:val="auto"/>
        </w:rPr>
      </w:pPr>
      <w:r>
        <w:rPr>
          <w:rFonts w:ascii="Verdana" w:cs="Verdana" w:eastAsia="Verdana" w:hAnsi="Verdana"/>
          <w:sz w:val="9"/>
          <w:szCs w:val="9"/>
          <w:b w:val="1"/>
          <w:bCs w:val="1"/>
          <w:color w:val="auto"/>
        </w:rPr>
        <w:t>2022</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LEADERSHIP APPOINTMENTS</w:t>
      </w:r>
    </w:p>
    <w:p>
      <w:pPr>
        <w:spacing w:after="0" w:line="172" w:lineRule="exact"/>
        <w:rPr>
          <w:sz w:val="20"/>
          <w:szCs w:val="20"/>
          <w:color w:val="auto"/>
        </w:rPr>
      </w:pPr>
    </w:p>
    <w:p>
      <w:pPr>
        <w:ind w:right="240"/>
        <w:spacing w:after="0" w:line="388" w:lineRule="auto"/>
        <w:rPr>
          <w:sz w:val="20"/>
          <w:szCs w:val="20"/>
          <w:color w:val="auto"/>
        </w:rPr>
      </w:pPr>
      <w:r>
        <w:rPr>
          <w:rFonts w:ascii="Arial" w:cs="Arial" w:eastAsia="Arial" w:hAnsi="Arial"/>
          <w:sz w:val="18"/>
          <w:szCs w:val="18"/>
          <w:color w:val="auto"/>
        </w:rPr>
        <w:t>As we continue to position The Toro Company for a strong, sustainable future we welcomed three talented leaders to our enterprise leadership team in fiscal</w:t>
      </w:r>
    </w:p>
    <w:p>
      <w:pPr>
        <w:spacing w:after="0" w:line="1" w:lineRule="exact"/>
        <w:rPr>
          <w:sz w:val="20"/>
          <w:szCs w:val="20"/>
          <w:color w:val="auto"/>
        </w:rPr>
      </w:pPr>
    </w:p>
    <w:p>
      <w:pPr>
        <w:ind w:right="100"/>
        <w:spacing w:after="0" w:line="347" w:lineRule="auto"/>
        <w:rPr>
          <w:sz w:val="20"/>
          <w:szCs w:val="20"/>
          <w:color w:val="auto"/>
        </w:rPr>
      </w:pPr>
      <w:r>
        <w:rPr>
          <w:rFonts w:ascii="Arial" w:cs="Arial" w:eastAsia="Arial" w:hAnsi="Arial"/>
          <w:sz w:val="20"/>
          <w:szCs w:val="20"/>
          <w:color w:val="auto"/>
        </w:rPr>
        <w:t>2022. We were pleased to have Kevin Carpenter join TTC as vice president, global operations and integrated supply chain; Margeaux King as vice president, human resources; and Angie Drake, who joined TTC through our previous acquisition of Charles Machine Works, as vice president, finance.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COMMITMENT TO SUSTAINABILITY</w:t>
      </w:r>
    </w:p>
    <w:p>
      <w:pPr>
        <w:spacing w:after="0" w:line="172" w:lineRule="exact"/>
        <w:rPr>
          <w:sz w:val="20"/>
          <w:szCs w:val="20"/>
          <w:color w:val="auto"/>
        </w:rPr>
      </w:pPr>
    </w:p>
    <w:p>
      <w:pPr>
        <w:ind w:right="80"/>
        <w:spacing w:after="0" w:line="348" w:lineRule="auto"/>
        <w:rPr>
          <w:sz w:val="20"/>
          <w:szCs w:val="20"/>
          <w:color w:val="auto"/>
        </w:rPr>
      </w:pPr>
      <w:r>
        <w:rPr>
          <w:rFonts w:ascii="Arial" w:cs="Arial" w:eastAsia="Arial" w:hAnsi="Arial"/>
          <w:sz w:val="20"/>
          <w:szCs w:val="20"/>
          <w:color w:val="auto"/>
        </w:rPr>
        <w:t>Our team and channel partners served our customers while also supporting each other and our communities. We delivered record net sales and earnings, while continuing to invest in future growth, delivering value to our shareholders and maintaining financial agility. We also furthered our long-standing commitment to advancing our environmental, social and governance impact by establishing specific performance goals in our latest sustainability report.</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Sustainability is engrained in our approach to 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629285</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ind w:right="40"/>
        <w:spacing w:after="0" w:line="346" w:lineRule="auto"/>
        <w:rPr>
          <w:sz w:val="20"/>
          <w:szCs w:val="20"/>
          <w:color w:val="auto"/>
        </w:rPr>
      </w:pPr>
      <w:r>
        <w:rPr>
          <w:rFonts w:ascii="Arial" w:cs="Arial" w:eastAsia="Arial" w:hAnsi="Arial"/>
          <w:sz w:val="20"/>
          <w:szCs w:val="20"/>
          <w:color w:val="auto"/>
        </w:rPr>
        <w:t>we do business and we were honored to receive our eighth consecutive EPA WaterSense® Award. We value our association with the U.S. Environmental Protection Agency as a means to extend our outreach and education around the efficient use of water.</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LONG-TERM SUSTAINABLE GROWTH</w:t>
      </w:r>
    </w:p>
    <w:p>
      <w:pPr>
        <w:spacing w:after="0" w:line="172" w:lineRule="exact"/>
        <w:rPr>
          <w:sz w:val="20"/>
          <w:szCs w:val="20"/>
          <w:color w:val="auto"/>
        </w:rPr>
      </w:pPr>
    </w:p>
    <w:p>
      <w:pPr>
        <w:ind w:right="40"/>
        <w:spacing w:after="0" w:line="347" w:lineRule="auto"/>
        <w:rPr>
          <w:sz w:val="20"/>
          <w:szCs w:val="20"/>
          <w:color w:val="auto"/>
        </w:rPr>
      </w:pPr>
      <w:r>
        <w:rPr>
          <w:rFonts w:ascii="Arial" w:cs="Arial" w:eastAsia="Arial" w:hAnsi="Arial"/>
          <w:sz w:val="20"/>
          <w:szCs w:val="20"/>
          <w:color w:val="auto"/>
        </w:rPr>
        <w:t>Looking ahead, we believe we are well-positioned in each of the attractive end markets we serve with innovative product offerings, trusted brands and an outstanding service network. We are encouraged by the momentum we have generated which we believe will result in continued market leadership and healthy demand for our products.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will continue to </w:t>
      </w:r>
      <w:r>
        <w:rPr>
          <w:rFonts w:ascii="Arial" w:cs="Arial" w:eastAsia="Arial" w:hAnsi="Arial"/>
          <w:sz w:val="18"/>
          <w:szCs w:val="18"/>
          <w:b w:val="1"/>
          <w:bCs w:val="1"/>
          <w:color w:val="auto"/>
        </w:rPr>
        <w:t>prioritize technology investments</w:t>
      </w:r>
    </w:p>
    <w:p>
      <w:pPr>
        <w:spacing w:after="0" w:line="128" w:lineRule="exact"/>
        <w:rPr>
          <w:sz w:val="20"/>
          <w:szCs w:val="20"/>
          <w:color w:val="auto"/>
        </w:rPr>
      </w:pPr>
    </w:p>
    <w:p>
      <w:pPr>
        <w:spacing w:after="0" w:line="347" w:lineRule="auto"/>
        <w:rPr>
          <w:sz w:val="20"/>
          <w:szCs w:val="20"/>
          <w:color w:val="auto"/>
        </w:rPr>
      </w:pPr>
      <w:r>
        <w:rPr>
          <w:rFonts w:ascii="Arial" w:cs="Arial" w:eastAsia="Arial" w:hAnsi="Arial"/>
          <w:sz w:val="20"/>
          <w:szCs w:val="20"/>
          <w:b w:val="1"/>
          <w:bCs w:val="1"/>
          <w:color w:val="auto"/>
        </w:rPr>
        <w:t>in alternative power, smart-connected and autonomous solutions</w:t>
      </w:r>
      <w:r>
        <w:rPr>
          <w:rFonts w:ascii="Arial" w:cs="Arial" w:eastAsia="Arial" w:hAnsi="Arial"/>
          <w:sz w:val="20"/>
          <w:szCs w:val="20"/>
          <w:color w:val="auto"/>
        </w:rPr>
        <w:t>. These elements combined with prudent capital</w:t>
      </w:r>
      <w:r>
        <w:rPr>
          <w:rFonts w:ascii="Arial" w:cs="Arial" w:eastAsia="Arial" w:hAnsi="Arial"/>
          <w:sz w:val="20"/>
          <w:szCs w:val="20"/>
          <w:b w:val="1"/>
          <w:bCs w:val="1"/>
          <w:color w:val="auto"/>
        </w:rPr>
        <w:t xml:space="preserve"> </w:t>
      </w:r>
      <w:r>
        <w:rPr>
          <w:rFonts w:ascii="Arial" w:cs="Arial" w:eastAsia="Arial" w:hAnsi="Arial"/>
          <w:sz w:val="20"/>
          <w:szCs w:val="20"/>
          <w:color w:val="auto"/>
        </w:rPr>
        <w:t>allocation and operational excellence, should once again enable us to deliver favorable results for our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-6350</wp:posOffset>
            </wp:positionV>
            <wp:extent cx="2830830" cy="10064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30830" cy="1006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spacing w:after="0" w:line="347" w:lineRule="auto"/>
        <w:rPr>
          <w:sz w:val="20"/>
          <w:szCs w:val="20"/>
          <w:color w:val="auto"/>
        </w:rPr>
      </w:pPr>
      <w:r>
        <w:rPr>
          <w:rFonts w:ascii="Arial" w:cs="Arial" w:eastAsia="Arial" w:hAnsi="Arial"/>
          <w:sz w:val="20"/>
          <w:szCs w:val="20"/>
          <w:color w:val="auto"/>
        </w:rPr>
        <w:t>I would like to thank our employees and channel partners for their unwavering commitment to serving our customers and helping them achieve their goals. I would also like to acknowledge the continued support of our shareholders. Thank you for placing your confidence and trust in The Toro Company.</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-31750</wp:posOffset>
            </wp:positionV>
            <wp:extent cx="1951990" cy="514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5199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Richard M. Olson</w:t>
      </w:r>
    </w:p>
    <w:p>
      <w:pPr>
        <w:spacing w:after="0" w:line="237" w:lineRule="auto"/>
        <w:rPr>
          <w:sz w:val="20"/>
          <w:szCs w:val="20"/>
          <w:color w:val="auto"/>
        </w:rPr>
      </w:pPr>
      <w:r>
        <w:rPr>
          <w:rFonts w:ascii="Arial" w:cs="Arial" w:eastAsia="Arial" w:hAnsi="Arial"/>
          <w:sz w:val="20"/>
          <w:szCs w:val="20"/>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627380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0" w:orient="portrait"/>
          <w:cols w:equalWidth="0" w:num="2">
            <w:col w:w="4800" w:space="460"/>
            <w:col w:w="4820"/>
          </w:cols>
          <w:pgMar w:left="900" w:top="835" w:right="900" w:bottom="436" w:gutter="0" w:footer="0" w:header="0"/>
          <w:type w:val="continuous"/>
        </w:sectPr>
      </w:pPr>
    </w:p>
    <w:bookmarkStart w:id="5" w:name="page6"/>
    <w:bookmarkEnd w:id="5"/>
    <w:p>
      <w:pPr>
        <w:spacing w:after="0"/>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2540</wp:posOffset>
            </wp:positionH>
            <wp:positionV relativeFrom="page">
              <wp:posOffset>444500</wp:posOffset>
            </wp:positionV>
            <wp:extent cx="2514600" cy="514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14600" cy="51435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t>FINANCIAL HIGHLIGHTS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Fiscal years ended October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364"/>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vMerge w:val="restart"/>
            <w:textDirection w:val="btLr"/>
            <w:shd w:val="clear" w:color="auto" w:fill="000000"/>
          </w:tcPr>
          <w:p>
            <w:pPr>
              <w:ind w:left="146"/>
              <w:spacing w:after="0"/>
              <w:rPr>
                <w:sz w:val="20"/>
                <w:szCs w:val="20"/>
                <w:color w:val="auto"/>
              </w:rPr>
            </w:pPr>
            <w:r>
              <w:rPr>
                <w:rFonts w:ascii="Arial" w:cs="Arial" w:eastAsia="Arial" w:hAnsi="Arial"/>
                <w:sz w:val="24"/>
                <w:szCs w:val="24"/>
                <w:b w:val="1"/>
                <w:bCs w:val="1"/>
                <w:color w:val="FFFFFF"/>
                <w:w w:val="90"/>
              </w:rPr>
              <w:t>2022 NET SALES</w:t>
            </w:r>
          </w:p>
        </w:tc>
        <w:tc>
          <w:tcPr>
            <w:tcW w:w="0" w:type="dxa"/>
            <w:vAlign w:val="bottom"/>
          </w:tcPr>
          <w:p>
            <w:pPr>
              <w:spacing w:after="0"/>
              <w:rPr>
                <w:sz w:val="1"/>
                <w:szCs w:val="1"/>
                <w:color w:val="auto"/>
              </w:rPr>
            </w:pPr>
          </w:p>
        </w:tc>
      </w:tr>
      <w:tr>
        <w:trPr>
          <w:trHeight w:val="469"/>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shd w:val="clear" w:color="auto" w:fill="666666"/>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vMerge w:val="continue"/>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shd w:val="clear" w:color="auto" w:fill="666666"/>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shd w:val="clear" w:color="auto" w:fill="666666"/>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vMerge w:val="restart"/>
            <w:textDirection w:val="btLr"/>
            <w:shd w:val="clear" w:color="auto" w:fill="666666"/>
          </w:tcPr>
          <w:p>
            <w:pPr>
              <w:ind w:right="8"/>
              <w:spacing w:after="0"/>
              <w:rPr>
                <w:sz w:val="20"/>
                <w:szCs w:val="20"/>
                <w:color w:val="auto"/>
              </w:rPr>
            </w:pPr>
            <w:r>
              <w:rPr>
                <w:rFonts w:ascii="Arial" w:cs="Arial" w:eastAsia="Arial" w:hAnsi="Arial"/>
                <w:sz w:val="24"/>
                <w:szCs w:val="24"/>
                <w:b w:val="1"/>
                <w:bCs w:val="1"/>
                <w:color w:val="B2B2B2"/>
                <w:w w:val="97"/>
              </w:rPr>
              <w:t>2019</w:t>
            </w:r>
          </w:p>
        </w:tc>
        <w:tc>
          <w:tcPr>
            <w:tcW w:w="140" w:type="dxa"/>
            <w:vAlign w:val="bottom"/>
          </w:tcPr>
          <w:p>
            <w:pPr>
              <w:spacing w:after="0"/>
              <w:rPr>
                <w:sz w:val="24"/>
                <w:szCs w:val="24"/>
                <w:color w:val="auto"/>
              </w:rPr>
            </w:pPr>
          </w:p>
        </w:tc>
        <w:tc>
          <w:tcPr>
            <w:tcW w:w="540" w:type="dxa"/>
            <w:vAlign w:val="bottom"/>
            <w:vMerge w:val="restart"/>
            <w:textDirection w:val="btLr"/>
            <w:shd w:val="clear" w:color="auto" w:fill="666666"/>
          </w:tcPr>
          <w:p>
            <w:pPr>
              <w:ind w:right="14"/>
              <w:spacing w:after="0"/>
              <w:rPr>
                <w:sz w:val="20"/>
                <w:szCs w:val="20"/>
                <w:color w:val="auto"/>
              </w:rPr>
            </w:pPr>
            <w:r>
              <w:rPr>
                <w:rFonts w:ascii="Arial" w:cs="Arial" w:eastAsia="Arial" w:hAnsi="Arial"/>
                <w:sz w:val="24"/>
                <w:szCs w:val="24"/>
                <w:b w:val="1"/>
                <w:bCs w:val="1"/>
                <w:color w:val="B2B2B2"/>
                <w:w w:val="97"/>
              </w:rPr>
              <w:t>2020</w:t>
            </w:r>
          </w:p>
        </w:tc>
        <w:tc>
          <w:tcPr>
            <w:tcW w:w="120" w:type="dxa"/>
            <w:vAlign w:val="bottom"/>
          </w:tcPr>
          <w:p>
            <w:pPr>
              <w:spacing w:after="0"/>
              <w:rPr>
                <w:sz w:val="24"/>
                <w:szCs w:val="24"/>
                <w:color w:val="auto"/>
              </w:rPr>
            </w:pPr>
          </w:p>
        </w:tc>
        <w:tc>
          <w:tcPr>
            <w:tcW w:w="540" w:type="dxa"/>
            <w:vAlign w:val="bottom"/>
            <w:shd w:val="clear" w:color="auto" w:fill="666666"/>
          </w:tcPr>
          <w:p>
            <w:pPr>
              <w:spacing w:after="0"/>
              <w:rPr>
                <w:sz w:val="24"/>
                <w:szCs w:val="24"/>
                <w:color w:val="auto"/>
              </w:rPr>
            </w:pPr>
          </w:p>
        </w:tc>
        <w:tc>
          <w:tcPr>
            <w:tcW w:w="140" w:type="dxa"/>
            <w:vAlign w:val="bottom"/>
            <w:vMerge w:val="restart"/>
          </w:tcPr>
          <w:p>
            <w:pPr>
              <w:spacing w:after="0"/>
              <w:rPr>
                <w:sz w:val="24"/>
                <w:szCs w:val="24"/>
                <w:color w:val="auto"/>
              </w:rPr>
            </w:pPr>
          </w:p>
        </w:tc>
        <w:tc>
          <w:tcPr>
            <w:tcW w:w="540" w:type="dxa"/>
            <w:vAlign w:val="bottom"/>
            <w:vMerge w:val="continue"/>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524"/>
        </w:trPr>
        <w:tc>
          <w:tcPr>
            <w:tcW w:w="540" w:type="dxa"/>
            <w:vAlign w:val="bottom"/>
            <w:textDirection w:val="btLr"/>
            <w:shd w:val="clear" w:color="auto" w:fill="666666"/>
          </w:tcPr>
          <w:p>
            <w:pPr>
              <w:spacing w:after="0"/>
              <w:rPr>
                <w:sz w:val="20"/>
                <w:szCs w:val="20"/>
                <w:color w:val="auto"/>
              </w:rPr>
            </w:pPr>
            <w:r>
              <w:rPr>
                <w:rFonts w:ascii="Arial" w:cs="Arial" w:eastAsia="Arial" w:hAnsi="Arial"/>
                <w:sz w:val="24"/>
                <w:szCs w:val="24"/>
                <w:b w:val="1"/>
                <w:bCs w:val="1"/>
                <w:color w:val="B2B2B2"/>
                <w:w w:val="97"/>
              </w:rPr>
              <w:t>2018</w:t>
            </w:r>
          </w:p>
        </w:tc>
        <w:tc>
          <w:tcPr>
            <w:tcW w:w="140" w:type="dxa"/>
            <w:vAlign w:val="bottom"/>
          </w:tcPr>
          <w:p>
            <w:pPr>
              <w:spacing w:after="0"/>
              <w:rPr>
                <w:sz w:val="24"/>
                <w:szCs w:val="24"/>
                <w:color w:val="auto"/>
              </w:rPr>
            </w:pPr>
          </w:p>
        </w:tc>
        <w:tc>
          <w:tcPr>
            <w:tcW w:w="540" w:type="dxa"/>
            <w:vAlign w:val="bottom"/>
            <w:vMerge w:val="continue"/>
            <w:shd w:val="clear" w:color="auto" w:fill="666666"/>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vMerge w:val="continue"/>
            <w:shd w:val="clear" w:color="auto" w:fill="666666"/>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extDirection w:val="btLr"/>
            <w:shd w:val="clear" w:color="auto" w:fill="666666"/>
          </w:tcPr>
          <w:p>
            <w:pPr>
              <w:spacing w:after="0"/>
              <w:rPr>
                <w:sz w:val="20"/>
                <w:szCs w:val="20"/>
                <w:color w:val="auto"/>
              </w:rPr>
            </w:pPr>
            <w:r>
              <w:rPr>
                <w:rFonts w:ascii="Arial" w:cs="Arial" w:eastAsia="Arial" w:hAnsi="Arial"/>
                <w:sz w:val="24"/>
                <w:szCs w:val="24"/>
                <w:b w:val="1"/>
                <w:bCs w:val="1"/>
                <w:color w:val="B2B2B2"/>
                <w:w w:val="93"/>
              </w:rPr>
              <w:t>2021</w:t>
            </w:r>
          </w:p>
        </w:tc>
        <w:tc>
          <w:tcPr>
            <w:tcW w:w="140" w:type="dxa"/>
            <w:vAlign w:val="bottom"/>
            <w:vMerge w:val="continue"/>
          </w:tcPr>
          <w:p>
            <w:pPr>
              <w:spacing w:after="0"/>
              <w:rPr>
                <w:sz w:val="24"/>
                <w:szCs w:val="24"/>
                <w:color w:val="auto"/>
              </w:rPr>
            </w:pPr>
          </w:p>
        </w:tc>
        <w:tc>
          <w:tcPr>
            <w:tcW w:w="540" w:type="dxa"/>
            <w:vAlign w:val="bottom"/>
            <w:vMerge w:val="continue"/>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540" w:type="dxa"/>
            <w:vAlign w:val="bottom"/>
            <w:shd w:val="clear" w:color="auto" w:fill="666666"/>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shd w:val="clear" w:color="auto" w:fill="666666"/>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shd w:val="clear" w:color="auto" w:fill="666666"/>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shd w:val="clear" w:color="auto" w:fill="666666"/>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91"/>
          <w:szCs w:val="91"/>
          <w:b w:val="1"/>
          <w:bCs w:val="1"/>
          <w:color w:val="auto"/>
        </w:rPr>
        <w:t>$</w:t>
      </w:r>
      <w:r>
        <w:rPr>
          <w:rFonts w:ascii="Arial" w:cs="Arial" w:eastAsia="Arial" w:hAnsi="Arial"/>
          <w:sz w:val="200"/>
          <w:szCs w:val="200"/>
          <w:b w:val="1"/>
          <w:bCs w:val="1"/>
          <w:color w:val="auto"/>
        </w:rPr>
        <w:t>4.51</w:t>
      </w:r>
    </w:p>
    <w:p>
      <w:pPr>
        <w:spacing w:after="0"/>
        <w:rPr>
          <w:sz w:val="20"/>
          <w:szCs w:val="20"/>
          <w:color w:val="auto"/>
        </w:rPr>
      </w:pPr>
      <w:r>
        <w:rPr>
          <w:rFonts w:ascii="Arial" w:cs="Arial" w:eastAsia="Arial" w:hAnsi="Arial"/>
          <w:sz w:val="112"/>
          <w:szCs w:val="112"/>
          <w:b w:val="1"/>
          <w:bCs w:val="1"/>
          <w:color w:val="auto"/>
        </w:rPr>
        <w:t>BILLION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47"/>
          <w:szCs w:val="47"/>
          <w:b w:val="1"/>
          <w:bCs w:val="1"/>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-396240</wp:posOffset>
            </wp:positionV>
            <wp:extent cx="1123950" cy="1485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23950" cy="148590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-2072640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Arial" w:cs="Arial" w:eastAsia="Arial" w:hAnsi="Arial"/>
          <w:sz w:val="30"/>
          <w:szCs w:val="30"/>
          <w:b w:val="1"/>
          <w:bCs w:val="1"/>
          <w:color w:val="666666"/>
        </w:rPr>
        <w:t>vs. 2021</w:t>
      </w:r>
    </w:p>
    <w:p>
      <w:pPr>
        <w:spacing w:after="0" w:line="250" w:lineRule="exact"/>
        <w:rPr>
          <w:sz w:val="20"/>
          <w:szCs w:val="20"/>
          <w:color w:val="auto"/>
        </w:rPr>
      </w:pPr>
    </w:p>
    <w:p>
      <w:pPr>
        <w:sectPr>
          <w:pgSz w:w="11880" w:h="15480" w:orient="portrait"/>
          <w:cols w:equalWidth="0" w:num="3">
            <w:col w:w="3240" w:space="360"/>
            <w:col w:w="4540" w:space="720"/>
            <w:col w:w="1400"/>
          </w:cols>
          <w:pgMar w:left="720" w:top="973" w:right="900" w:bottom="150" w:gutter="0" w:footer="0" w:header="0"/>
        </w:sectPr>
      </w:pPr>
    </w:p>
    <w:tbl>
      <w:tblPr>
        <w:tblLayout w:type="fixed"/>
        <w:tblInd w:w="0" w:type="dxa"/>
        <w:tblCellMar>
          <w:top w:w="0" w:type="dxa"/>
          <w:left w:w="0" w:type="dxa"/>
          <w:bottom w:w="0" w:type="dxa"/>
          <w:right w:w="0" w:type="dxa"/>
        </w:tblCellMar>
      </w:tblPr>
      <w:tr>
        <w:trPr>
          <w:trHeight w:val="819"/>
        </w:trPr>
        <w:tc>
          <w:tcPr>
            <w:tcW w:w="3240" w:type="dxa"/>
            <w:vAlign w:val="bottom"/>
          </w:tcPr>
          <w:p>
            <w:pPr>
              <w:jc w:val="center"/>
              <w:ind w:left="110"/>
              <w:spacing w:after="0"/>
              <w:rPr>
                <w:sz w:val="20"/>
                <w:szCs w:val="20"/>
                <w:color w:val="auto"/>
              </w:rPr>
            </w:pPr>
            <w:r>
              <w:rPr>
                <w:rFonts w:ascii="Arial" w:cs="Arial" w:eastAsia="Arial" w:hAnsi="Arial"/>
                <w:sz w:val="20"/>
                <w:szCs w:val="20"/>
                <w:b w:val="1"/>
                <w:bCs w:val="1"/>
                <w:color w:val="auto"/>
                <w:w w:val="89"/>
              </w:rPr>
              <w:t>ADJUSTED NET EARNINGS</w:t>
            </w:r>
            <w:r>
              <w:rPr>
                <w:rFonts w:ascii="Arial" w:cs="Arial" w:eastAsia="Arial" w:hAnsi="Arial"/>
                <w:sz w:val="11"/>
                <w:szCs w:val="11"/>
                <w:color w:val="auto"/>
                <w:w w:val="89"/>
              </w:rPr>
              <w:t>1</w:t>
            </w:r>
          </w:p>
        </w:tc>
        <w:tc>
          <w:tcPr>
            <w:tcW w:w="1920" w:type="dxa"/>
            <w:vAlign w:val="bottom"/>
            <w:tcBorders>
              <w:right w:val="single" w:sz="8" w:color="auto"/>
            </w:tcBorders>
          </w:tcPr>
          <w:p>
            <w:pPr>
              <w:spacing w:after="0"/>
              <w:rPr>
                <w:sz w:val="24"/>
                <w:szCs w:val="24"/>
                <w:color w:val="auto"/>
              </w:rPr>
            </w:pPr>
          </w:p>
        </w:tc>
        <w:tc>
          <w:tcPr>
            <w:tcW w:w="2820" w:type="dxa"/>
            <w:vAlign w:val="bottom"/>
          </w:tcPr>
          <w:p>
            <w:pPr>
              <w:jc w:val="center"/>
              <w:ind w:left="182"/>
              <w:spacing w:after="0"/>
              <w:rPr>
                <w:sz w:val="20"/>
                <w:szCs w:val="20"/>
                <w:color w:val="auto"/>
              </w:rPr>
            </w:pPr>
            <w:r>
              <w:rPr>
                <w:rFonts w:ascii="Arial" w:cs="Arial" w:eastAsia="Arial" w:hAnsi="Arial"/>
                <w:sz w:val="20"/>
                <w:szCs w:val="20"/>
                <w:b w:val="1"/>
                <w:bCs w:val="1"/>
                <w:color w:val="auto"/>
                <w:w w:val="88"/>
              </w:rPr>
              <w:t>ADJUSTED NET EARNINGS</w:t>
            </w:r>
          </w:p>
        </w:tc>
        <w:tc>
          <w:tcPr>
            <w:tcW w:w="2280" w:type="dxa"/>
            <w:vAlign w:val="bottom"/>
            <w:vMerge w:val="restart"/>
          </w:tcPr>
          <w:p>
            <w:pPr>
              <w:jc w:val="right"/>
              <w:ind w:right="182"/>
              <w:spacing w:after="0"/>
              <w:rPr>
                <w:sz w:val="20"/>
                <w:szCs w:val="20"/>
                <w:color w:val="auto"/>
              </w:rPr>
            </w:pPr>
            <w:r>
              <w:rPr>
                <w:rFonts w:ascii="Arial" w:cs="Arial" w:eastAsia="Arial" w:hAnsi="Arial"/>
                <w:sz w:val="76"/>
                <w:szCs w:val="76"/>
                <w:b w:val="1"/>
                <w:bCs w:val="1"/>
                <w:color w:val="auto"/>
                <w:w w:val="98"/>
              </w:rPr>
              <w:t>9.8%</w:t>
            </w:r>
          </w:p>
        </w:tc>
        <w:tc>
          <w:tcPr>
            <w:tcW w:w="0" w:type="dxa"/>
            <w:vAlign w:val="bottom"/>
          </w:tcPr>
          <w:p>
            <w:pPr>
              <w:spacing w:after="0"/>
              <w:rPr>
                <w:sz w:val="1"/>
                <w:szCs w:val="1"/>
                <w:color w:val="auto"/>
              </w:rPr>
            </w:pPr>
          </w:p>
        </w:tc>
      </w:tr>
      <w:tr>
        <w:trPr>
          <w:trHeight w:val="168"/>
        </w:trPr>
        <w:tc>
          <w:tcPr>
            <w:tcW w:w="3240" w:type="dxa"/>
            <w:vAlign w:val="bottom"/>
            <w:vMerge w:val="restart"/>
          </w:tcPr>
          <w:p>
            <w:pPr>
              <w:jc w:val="center"/>
              <w:ind w:left="110"/>
              <w:spacing w:after="0"/>
              <w:rPr>
                <w:sz w:val="20"/>
                <w:szCs w:val="20"/>
                <w:color w:val="auto"/>
              </w:rPr>
            </w:pPr>
            <w:r>
              <w:rPr>
                <w:rFonts w:ascii="Arial" w:cs="Arial" w:eastAsia="Arial" w:hAnsi="Arial"/>
                <w:sz w:val="24"/>
                <w:szCs w:val="24"/>
                <w:color w:val="auto"/>
                <w:w w:val="96"/>
              </w:rPr>
              <w:t>$444.2M</w:t>
            </w:r>
          </w:p>
        </w:tc>
        <w:tc>
          <w:tcPr>
            <w:tcW w:w="1920" w:type="dxa"/>
            <w:vAlign w:val="bottom"/>
            <w:tcBorders>
              <w:right w:val="single" w:sz="8" w:color="auto"/>
            </w:tcBorders>
          </w:tcPr>
          <w:p>
            <w:pPr>
              <w:spacing w:after="0"/>
              <w:rPr>
                <w:sz w:val="14"/>
                <w:szCs w:val="14"/>
                <w:color w:val="auto"/>
              </w:rPr>
            </w:pPr>
          </w:p>
        </w:tc>
        <w:tc>
          <w:tcPr>
            <w:tcW w:w="2820" w:type="dxa"/>
            <w:vAlign w:val="bottom"/>
          </w:tcPr>
          <w:p>
            <w:pPr>
              <w:jc w:val="center"/>
              <w:ind w:left="162"/>
              <w:spacing w:after="0" w:line="168" w:lineRule="exact"/>
              <w:rPr>
                <w:sz w:val="20"/>
                <w:szCs w:val="20"/>
                <w:color w:val="auto"/>
              </w:rPr>
            </w:pPr>
            <w:r>
              <w:rPr>
                <w:rFonts w:ascii="Arial" w:cs="Arial" w:eastAsia="Arial" w:hAnsi="Arial"/>
                <w:sz w:val="19"/>
                <w:szCs w:val="19"/>
                <w:b w:val="1"/>
                <w:bCs w:val="1"/>
                <w:color w:val="auto"/>
                <w:w w:val="91"/>
              </w:rPr>
              <w:t>AS A PERCENTAGE OF</w:t>
            </w:r>
          </w:p>
        </w:tc>
        <w:tc>
          <w:tcPr>
            <w:tcW w:w="2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7"/>
        </w:trPr>
        <w:tc>
          <w:tcPr>
            <w:tcW w:w="3240" w:type="dxa"/>
            <w:vAlign w:val="bottom"/>
            <w:vMerge w:val="continue"/>
          </w:tcPr>
          <w:p>
            <w:pPr>
              <w:spacing w:after="0"/>
              <w:rPr>
                <w:sz w:val="24"/>
                <w:szCs w:val="24"/>
                <w:color w:val="auto"/>
              </w:rPr>
            </w:pPr>
          </w:p>
        </w:tc>
        <w:tc>
          <w:tcPr>
            <w:tcW w:w="1920" w:type="dxa"/>
            <w:vAlign w:val="bottom"/>
            <w:tcBorders>
              <w:right w:val="single" w:sz="8" w:color="auto"/>
            </w:tcBorders>
          </w:tcPr>
          <w:p>
            <w:pPr>
              <w:jc w:val="right"/>
              <w:ind w:right="823"/>
              <w:spacing w:after="0"/>
              <w:rPr>
                <w:sz w:val="20"/>
                <w:szCs w:val="20"/>
                <w:color w:val="auto"/>
              </w:rPr>
            </w:pPr>
            <w:r>
              <w:rPr>
                <w:rFonts w:ascii="Arial" w:cs="Arial" w:eastAsia="Arial" w:hAnsi="Arial"/>
                <w:sz w:val="24"/>
                <w:szCs w:val="24"/>
                <w:b w:val="1"/>
                <w:bCs w:val="1"/>
                <w:color w:val="FFFFFF"/>
              </w:rPr>
              <w:t>13.1%</w:t>
            </w:r>
          </w:p>
        </w:tc>
        <w:tc>
          <w:tcPr>
            <w:tcW w:w="2820" w:type="dxa"/>
            <w:vAlign w:val="bottom"/>
          </w:tcPr>
          <w:p>
            <w:pPr>
              <w:jc w:val="center"/>
              <w:ind w:left="182"/>
              <w:spacing w:after="0"/>
              <w:rPr>
                <w:sz w:val="20"/>
                <w:szCs w:val="20"/>
                <w:color w:val="auto"/>
              </w:rPr>
            </w:pPr>
            <w:r>
              <w:rPr>
                <w:rFonts w:ascii="Arial" w:cs="Arial" w:eastAsia="Arial" w:hAnsi="Arial"/>
                <w:sz w:val="20"/>
                <w:szCs w:val="20"/>
                <w:b w:val="1"/>
                <w:bCs w:val="1"/>
                <w:color w:val="auto"/>
                <w:w w:val="89"/>
              </w:rPr>
              <w:t>NET SALES</w:t>
            </w:r>
            <w:r>
              <w:rPr>
                <w:rFonts w:ascii="Arial" w:cs="Arial" w:eastAsia="Arial" w:hAnsi="Arial"/>
                <w:sz w:val="11"/>
                <w:szCs w:val="11"/>
                <w:color w:val="auto"/>
                <w:w w:val="89"/>
              </w:rPr>
              <w:t>1</w:t>
            </w:r>
          </w:p>
        </w:tc>
        <w:tc>
          <w:tcPr>
            <w:tcW w:w="2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240" w:type="dxa"/>
            <w:vAlign w:val="bottom"/>
          </w:tcPr>
          <w:p>
            <w:pPr>
              <w:spacing w:after="0"/>
              <w:rPr>
                <w:sz w:val="15"/>
                <w:szCs w:val="15"/>
                <w:color w:val="auto"/>
              </w:rPr>
            </w:pPr>
          </w:p>
        </w:tc>
        <w:tc>
          <w:tcPr>
            <w:tcW w:w="1920" w:type="dxa"/>
            <w:vAlign w:val="bottom"/>
            <w:tcBorders>
              <w:right w:val="single" w:sz="8" w:color="auto"/>
            </w:tcBorders>
          </w:tcPr>
          <w:p>
            <w:pPr>
              <w:jc w:val="center"/>
              <w:ind w:right="503"/>
              <w:spacing w:after="0"/>
              <w:rPr>
                <w:sz w:val="20"/>
                <w:szCs w:val="20"/>
                <w:color w:val="auto"/>
              </w:rPr>
            </w:pPr>
            <w:r>
              <w:rPr>
                <w:rFonts w:ascii="Arial" w:cs="Arial" w:eastAsia="Arial" w:hAnsi="Arial"/>
                <w:sz w:val="15"/>
                <w:szCs w:val="15"/>
                <w:b w:val="1"/>
                <w:bCs w:val="1"/>
                <w:color w:val="B2B2B2"/>
                <w:w w:val="95"/>
              </w:rPr>
              <w:t>vs. 2021</w:t>
            </w:r>
          </w:p>
        </w:tc>
        <w:tc>
          <w:tcPr>
            <w:tcW w:w="28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324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2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-1177925</wp:posOffset>
            </wp:positionV>
            <wp:extent cx="1076325" cy="977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76325" cy="97790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750"/>
        </w:trPr>
        <w:tc>
          <w:tcPr>
            <w:tcW w:w="1940" w:type="dxa"/>
            <w:vAlign w:val="bottom"/>
          </w:tcPr>
          <w:p>
            <w:pPr>
              <w:jc w:val="center"/>
              <w:spacing w:after="0"/>
              <w:rPr>
                <w:sz w:val="20"/>
                <w:szCs w:val="20"/>
                <w:color w:val="auto"/>
              </w:rPr>
            </w:pPr>
            <w:r>
              <w:rPr>
                <w:rFonts w:ascii="Arial" w:cs="Arial" w:eastAsia="Arial" w:hAnsi="Arial"/>
                <w:sz w:val="20"/>
                <w:szCs w:val="20"/>
                <w:b w:val="1"/>
                <w:bCs w:val="1"/>
                <w:color w:val="auto"/>
                <w:w w:val="89"/>
              </w:rPr>
              <w:t>ADJUSTED</w:t>
            </w:r>
          </w:p>
        </w:tc>
        <w:tc>
          <w:tcPr>
            <w:tcW w:w="1860" w:type="dxa"/>
            <w:vAlign w:val="bottom"/>
            <w:tcBorders>
              <w:right w:val="single" w:sz="8" w:color="auto"/>
            </w:tcBorders>
          </w:tcPr>
          <w:p>
            <w:pPr>
              <w:spacing w:after="0"/>
              <w:rPr>
                <w:sz w:val="24"/>
                <w:szCs w:val="24"/>
                <w:color w:val="auto"/>
              </w:rPr>
            </w:pPr>
          </w:p>
        </w:tc>
        <w:tc>
          <w:tcPr>
            <w:tcW w:w="35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CASH DIVIDENDS PAID ON</w:t>
            </w:r>
          </w:p>
        </w:tc>
        <w:tc>
          <w:tcPr>
            <w:tcW w:w="29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8"/>
              </w:rPr>
              <w:t>SHARE REPURCHASES</w:t>
            </w:r>
          </w:p>
        </w:tc>
        <w:tc>
          <w:tcPr>
            <w:tcW w:w="0" w:type="dxa"/>
            <w:vAlign w:val="bottom"/>
          </w:tcPr>
          <w:p>
            <w:pPr>
              <w:spacing w:after="0"/>
              <w:rPr>
                <w:sz w:val="1"/>
                <w:szCs w:val="1"/>
                <w:color w:val="auto"/>
              </w:rPr>
            </w:pPr>
          </w:p>
        </w:tc>
      </w:tr>
      <w:tr>
        <w:trPr>
          <w:trHeight w:val="186"/>
        </w:trPr>
        <w:tc>
          <w:tcPr>
            <w:tcW w:w="1940" w:type="dxa"/>
            <w:vAlign w:val="bottom"/>
          </w:tcPr>
          <w:p>
            <w:pPr>
              <w:jc w:val="center"/>
              <w:spacing w:after="0" w:line="186" w:lineRule="exact"/>
              <w:rPr>
                <w:sz w:val="20"/>
                <w:szCs w:val="20"/>
                <w:color w:val="auto"/>
              </w:rPr>
            </w:pPr>
            <w:r>
              <w:rPr>
                <w:rFonts w:ascii="Arial" w:cs="Arial" w:eastAsia="Arial" w:hAnsi="Arial"/>
                <w:sz w:val="20"/>
                <w:szCs w:val="20"/>
                <w:b w:val="1"/>
                <w:bCs w:val="1"/>
                <w:color w:val="auto"/>
                <w:w w:val="89"/>
              </w:rPr>
              <w:t>DILUTED EPS</w:t>
            </w:r>
            <w:r>
              <w:rPr>
                <w:rFonts w:ascii="Arial" w:cs="Arial" w:eastAsia="Arial" w:hAnsi="Arial"/>
                <w:sz w:val="11"/>
                <w:szCs w:val="11"/>
                <w:color w:val="auto"/>
                <w:w w:val="89"/>
              </w:rPr>
              <w:t>1</w:t>
            </w:r>
          </w:p>
        </w:tc>
        <w:tc>
          <w:tcPr>
            <w:tcW w:w="186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20"/>
                <w:szCs w:val="20"/>
                <w:b w:val="1"/>
                <w:bCs w:val="1"/>
                <w:color w:val="auto"/>
                <w:w w:val="86"/>
              </w:rPr>
              <w:t>COMMON STOCK OUTSTANDING</w:t>
            </w:r>
          </w:p>
        </w:tc>
        <w:tc>
          <w:tcPr>
            <w:tcW w:w="2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940" w:type="dxa"/>
            <w:vAlign w:val="bottom"/>
            <w:vMerge w:val="restart"/>
          </w:tcPr>
          <w:p>
            <w:pPr>
              <w:jc w:val="center"/>
              <w:spacing w:after="0"/>
              <w:rPr>
                <w:sz w:val="20"/>
                <w:szCs w:val="20"/>
                <w:color w:val="auto"/>
              </w:rPr>
            </w:pPr>
            <w:r>
              <w:rPr>
                <w:rFonts w:ascii="Arial" w:cs="Arial" w:eastAsia="Arial" w:hAnsi="Arial"/>
                <w:sz w:val="24"/>
                <w:szCs w:val="24"/>
                <w:color w:val="auto"/>
                <w:w w:val="93"/>
              </w:rPr>
              <w:t>$4.20</w:t>
            </w:r>
          </w:p>
        </w:tc>
        <w:tc>
          <w:tcPr>
            <w:tcW w:w="1860" w:type="dxa"/>
            <w:vAlign w:val="bottom"/>
            <w:tcBorders>
              <w:right w:val="single" w:sz="8" w:color="auto"/>
            </w:tcBorders>
            <w:vMerge w:val="restart"/>
          </w:tcPr>
          <w:p>
            <w:pPr>
              <w:jc w:val="right"/>
              <w:ind w:right="783"/>
              <w:spacing w:after="0"/>
              <w:rPr>
                <w:sz w:val="20"/>
                <w:szCs w:val="20"/>
                <w:color w:val="auto"/>
              </w:rPr>
            </w:pPr>
            <w:r>
              <w:rPr>
                <w:rFonts w:ascii="Arial" w:cs="Arial" w:eastAsia="Arial" w:hAnsi="Arial"/>
                <w:sz w:val="24"/>
                <w:szCs w:val="24"/>
                <w:b w:val="1"/>
                <w:bCs w:val="1"/>
                <w:color w:val="FFFFFF"/>
              </w:rPr>
              <w:t>16.0%</w:t>
            </w:r>
          </w:p>
        </w:tc>
        <w:tc>
          <w:tcPr>
            <w:tcW w:w="3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4"/>
                <w:szCs w:val="24"/>
                <w:color w:val="auto"/>
                <w:w w:val="87"/>
              </w:rPr>
              <w:t>$125.7M</w:t>
            </w:r>
          </w:p>
        </w:tc>
        <w:tc>
          <w:tcPr>
            <w:tcW w:w="2960" w:type="dxa"/>
            <w:vAlign w:val="bottom"/>
          </w:tcPr>
          <w:p>
            <w:pPr>
              <w:jc w:val="center"/>
              <w:ind w:left="10"/>
              <w:spacing w:after="0" w:line="270" w:lineRule="exact"/>
              <w:rPr>
                <w:sz w:val="20"/>
                <w:szCs w:val="20"/>
                <w:color w:val="auto"/>
              </w:rPr>
            </w:pPr>
            <w:r>
              <w:rPr>
                <w:rFonts w:ascii="Arial" w:cs="Arial" w:eastAsia="Arial" w:hAnsi="Arial"/>
                <w:sz w:val="24"/>
                <w:szCs w:val="24"/>
                <w:color w:val="auto"/>
                <w:w w:val="94"/>
              </w:rPr>
              <w:t>$140.0M</w:t>
            </w:r>
          </w:p>
        </w:tc>
        <w:tc>
          <w:tcPr>
            <w:tcW w:w="0" w:type="dxa"/>
            <w:vAlign w:val="bottom"/>
          </w:tcPr>
          <w:p>
            <w:pPr>
              <w:spacing w:after="0"/>
              <w:rPr>
                <w:sz w:val="1"/>
                <w:szCs w:val="1"/>
                <w:color w:val="auto"/>
              </w:rPr>
            </w:pPr>
          </w:p>
        </w:tc>
      </w:tr>
      <w:tr>
        <w:trPr>
          <w:trHeight w:val="129"/>
        </w:trPr>
        <w:tc>
          <w:tcPr>
            <w:tcW w:w="1940" w:type="dxa"/>
            <w:vAlign w:val="bottom"/>
            <w:vMerge w:val="continue"/>
          </w:tcPr>
          <w:p>
            <w:pPr>
              <w:spacing w:after="0"/>
              <w:rPr>
                <w:sz w:val="11"/>
                <w:szCs w:val="11"/>
                <w:color w:val="auto"/>
              </w:rPr>
            </w:pPr>
          </w:p>
        </w:tc>
        <w:tc>
          <w:tcPr>
            <w:tcW w:w="1860" w:type="dxa"/>
            <w:vAlign w:val="bottom"/>
            <w:tcBorders>
              <w:right w:val="single" w:sz="8" w:color="auto"/>
            </w:tcBorders>
            <w:vMerge w:val="continue"/>
          </w:tcPr>
          <w:p>
            <w:pPr>
              <w:spacing w:after="0"/>
              <w:rPr>
                <w:sz w:val="11"/>
                <w:szCs w:val="11"/>
                <w:color w:val="auto"/>
              </w:rPr>
            </w:pPr>
          </w:p>
        </w:tc>
        <w:tc>
          <w:tcPr>
            <w:tcW w:w="3500" w:type="dxa"/>
            <w:vAlign w:val="bottom"/>
            <w:tcBorders>
              <w:right w:val="single" w:sz="8" w:color="auto"/>
            </w:tcBorders>
            <w:vMerge w:val="continue"/>
          </w:tcPr>
          <w:p>
            <w:pPr>
              <w:spacing w:after="0"/>
              <w:rPr>
                <w:sz w:val="11"/>
                <w:szCs w:val="11"/>
                <w:color w:val="auto"/>
              </w:rPr>
            </w:pPr>
          </w:p>
        </w:tc>
        <w:tc>
          <w:tcPr>
            <w:tcW w:w="2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940" w:type="dxa"/>
            <w:vAlign w:val="bottom"/>
          </w:tcPr>
          <w:p>
            <w:pPr>
              <w:spacing w:after="0"/>
              <w:rPr>
                <w:sz w:val="15"/>
                <w:szCs w:val="15"/>
                <w:color w:val="auto"/>
              </w:rPr>
            </w:pPr>
          </w:p>
        </w:tc>
        <w:tc>
          <w:tcPr>
            <w:tcW w:w="1860" w:type="dxa"/>
            <w:vAlign w:val="bottom"/>
            <w:tcBorders>
              <w:right w:val="single" w:sz="8" w:color="auto"/>
            </w:tcBorders>
          </w:tcPr>
          <w:p>
            <w:pPr>
              <w:jc w:val="center"/>
              <w:ind w:right="503"/>
              <w:spacing w:after="0"/>
              <w:rPr>
                <w:sz w:val="20"/>
                <w:szCs w:val="20"/>
                <w:color w:val="auto"/>
              </w:rPr>
            </w:pPr>
            <w:r>
              <w:rPr>
                <w:rFonts w:ascii="Arial" w:cs="Arial" w:eastAsia="Arial" w:hAnsi="Arial"/>
                <w:sz w:val="15"/>
                <w:szCs w:val="15"/>
                <w:b w:val="1"/>
                <w:bCs w:val="1"/>
                <w:color w:val="B2B2B2"/>
                <w:w w:val="99"/>
              </w:rPr>
              <w:t>vs. 2021</w:t>
            </w:r>
          </w:p>
        </w:tc>
        <w:tc>
          <w:tcPr>
            <w:tcW w:w="3500" w:type="dxa"/>
            <w:vAlign w:val="bottom"/>
            <w:tcBorders>
              <w:right w:val="single" w:sz="8" w:color="auto"/>
            </w:tcBorders>
          </w:tcPr>
          <w:p>
            <w:pPr>
              <w:spacing w:after="0"/>
              <w:rPr>
                <w:sz w:val="15"/>
                <w:szCs w:val="15"/>
                <w:color w:val="auto"/>
              </w:rPr>
            </w:pPr>
          </w:p>
        </w:tc>
        <w:tc>
          <w:tcPr>
            <w:tcW w:w="2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1940" w:type="dxa"/>
            <w:vAlign w:val="bottom"/>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3500" w:type="dxa"/>
            <w:vAlign w:val="bottom"/>
            <w:tcBorders>
              <w:right w:val="single" w:sz="8" w:color="auto"/>
            </w:tcBorders>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9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1094740</wp:posOffset>
            </wp:positionH>
            <wp:positionV relativeFrom="paragraph">
              <wp:posOffset>-1183005</wp:posOffset>
            </wp:positionV>
            <wp:extent cx="1076325" cy="977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76325" cy="97790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660"/>
        </w:trPr>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RETURN ON AVERAGE</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AVERAGE NET WORKING</w:t>
            </w:r>
          </w:p>
        </w:tc>
        <w:tc>
          <w:tcPr>
            <w:tcW w:w="2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300" w:type="dxa"/>
            <w:vAlign w:val="bottom"/>
            <w:tcBorders>
              <w:right w:val="single" w:sz="8" w:color="auto"/>
            </w:tcBorders>
          </w:tcPr>
          <w:p>
            <w:pPr>
              <w:jc w:val="center"/>
              <w:spacing w:after="0" w:line="210" w:lineRule="exact"/>
              <w:rPr>
                <w:sz w:val="20"/>
                <w:szCs w:val="20"/>
                <w:color w:val="auto"/>
              </w:rPr>
            </w:pPr>
            <w:r>
              <w:rPr>
                <w:rFonts w:ascii="Arial" w:cs="Arial" w:eastAsia="Arial" w:hAnsi="Arial"/>
                <w:sz w:val="20"/>
                <w:szCs w:val="20"/>
                <w:b w:val="1"/>
                <w:bCs w:val="1"/>
                <w:color w:val="auto"/>
                <w:w w:val="89"/>
              </w:rPr>
              <w:t>INVESTED CAPITAL</w:t>
            </w:r>
            <w:r>
              <w:rPr>
                <w:rFonts w:ascii="Arial" w:cs="Arial" w:eastAsia="Arial" w:hAnsi="Arial"/>
                <w:sz w:val="11"/>
                <w:szCs w:val="11"/>
                <w:color w:val="auto"/>
                <w:w w:val="89"/>
              </w:rPr>
              <w:t>2</w:t>
            </w:r>
          </w:p>
        </w:tc>
        <w:tc>
          <w:tcPr>
            <w:tcW w:w="3420" w:type="dxa"/>
            <w:vAlign w:val="bottom"/>
            <w:tcBorders>
              <w:right w:val="single" w:sz="8" w:color="auto"/>
            </w:tcBorders>
          </w:tcPr>
          <w:p>
            <w:pPr>
              <w:jc w:val="center"/>
              <w:spacing w:after="0" w:line="210" w:lineRule="exact"/>
              <w:rPr>
                <w:sz w:val="20"/>
                <w:szCs w:val="20"/>
                <w:color w:val="auto"/>
              </w:rPr>
            </w:pPr>
            <w:r>
              <w:rPr>
                <w:rFonts w:ascii="Arial" w:cs="Arial" w:eastAsia="Arial" w:hAnsi="Arial"/>
                <w:sz w:val="20"/>
                <w:szCs w:val="20"/>
                <w:b w:val="1"/>
                <w:bCs w:val="1"/>
                <w:color w:val="auto"/>
                <w:w w:val="87"/>
              </w:rPr>
              <w:t>CAPITAL AS A PERCENTAGE</w:t>
            </w:r>
          </w:p>
        </w:tc>
        <w:tc>
          <w:tcPr>
            <w:tcW w:w="2520" w:type="dxa"/>
            <w:vAlign w:val="bottom"/>
          </w:tcPr>
          <w:p>
            <w:pPr>
              <w:jc w:val="center"/>
              <w:ind w:left="30"/>
              <w:spacing w:after="0" w:line="210" w:lineRule="exact"/>
              <w:rPr>
                <w:sz w:val="20"/>
                <w:szCs w:val="20"/>
                <w:color w:val="auto"/>
              </w:rPr>
            </w:pPr>
            <w:r>
              <w:rPr>
                <w:rFonts w:ascii="Arial" w:cs="Arial" w:eastAsia="Arial" w:hAnsi="Arial"/>
                <w:sz w:val="20"/>
                <w:szCs w:val="20"/>
                <w:b w:val="1"/>
                <w:bCs w:val="1"/>
                <w:color w:val="auto"/>
                <w:w w:val="89"/>
              </w:rPr>
              <w:t>R &amp; D INVESTMENT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300" w:type="dxa"/>
            <w:vAlign w:val="bottom"/>
            <w:tcBorders>
              <w:right w:val="single" w:sz="8" w:color="auto"/>
            </w:tcBorders>
            <w:vMerge w:val="restart"/>
          </w:tcPr>
          <w:p>
            <w:pPr>
              <w:jc w:val="center"/>
              <w:spacing w:after="0" w:line="465" w:lineRule="exact"/>
              <w:rPr>
                <w:sz w:val="20"/>
                <w:szCs w:val="20"/>
                <w:color w:val="auto"/>
              </w:rPr>
            </w:pPr>
            <w:r>
              <w:rPr>
                <w:rFonts w:ascii="Arial" w:cs="Arial" w:eastAsia="Arial" w:hAnsi="Arial"/>
                <w:sz w:val="42"/>
                <w:szCs w:val="42"/>
                <w:b w:val="1"/>
                <w:bCs w:val="1"/>
                <w:color w:val="auto"/>
                <w:w w:val="94"/>
              </w:rPr>
              <w:t>19.5%</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OF NET SALES</w:t>
            </w:r>
            <w:r>
              <w:rPr>
                <w:rFonts w:ascii="Arial" w:cs="Arial" w:eastAsia="Arial" w:hAnsi="Arial"/>
                <w:sz w:val="11"/>
                <w:szCs w:val="11"/>
                <w:color w:val="auto"/>
                <w:w w:val="88"/>
              </w:rPr>
              <w:t>3</w:t>
            </w:r>
          </w:p>
        </w:tc>
        <w:tc>
          <w:tcPr>
            <w:tcW w:w="2520" w:type="dxa"/>
            <w:vAlign w:val="bottom"/>
          </w:tcPr>
          <w:p>
            <w:pPr>
              <w:jc w:val="center"/>
              <w:ind w:left="30"/>
              <w:spacing w:after="0" w:line="249" w:lineRule="exact"/>
              <w:rPr>
                <w:sz w:val="20"/>
                <w:szCs w:val="20"/>
                <w:color w:val="auto"/>
              </w:rPr>
            </w:pPr>
            <w:r>
              <w:rPr>
                <w:rFonts w:ascii="Arial" w:cs="Arial" w:eastAsia="Arial" w:hAnsi="Arial"/>
                <w:sz w:val="24"/>
                <w:szCs w:val="24"/>
                <w:color w:val="auto"/>
                <w:w w:val="92"/>
              </w:rPr>
              <w:t>$155.6M</w:t>
            </w:r>
          </w:p>
        </w:tc>
        <w:tc>
          <w:tcPr>
            <w:tcW w:w="2020" w:type="dxa"/>
            <w:vAlign w:val="bottom"/>
            <w:vMerge w:val="restart"/>
          </w:tcPr>
          <w:p>
            <w:pPr>
              <w:jc w:val="right"/>
              <w:ind w:right="903"/>
              <w:spacing w:after="0"/>
              <w:rPr>
                <w:sz w:val="20"/>
                <w:szCs w:val="20"/>
                <w:color w:val="auto"/>
              </w:rPr>
            </w:pPr>
            <w:r>
              <w:rPr>
                <w:rFonts w:ascii="Arial" w:cs="Arial" w:eastAsia="Arial" w:hAnsi="Arial"/>
                <w:sz w:val="24"/>
                <w:szCs w:val="24"/>
                <w:b w:val="1"/>
                <w:bCs w:val="1"/>
                <w:color w:val="FFFFFF"/>
              </w:rPr>
              <w:t>10.4%</w:t>
            </w:r>
          </w:p>
        </w:tc>
        <w:tc>
          <w:tcPr>
            <w:tcW w:w="0" w:type="dxa"/>
            <w:vAlign w:val="bottom"/>
          </w:tcPr>
          <w:p>
            <w:pPr>
              <w:spacing w:after="0"/>
              <w:rPr>
                <w:sz w:val="1"/>
                <w:szCs w:val="1"/>
                <w:color w:val="auto"/>
              </w:rPr>
            </w:pPr>
          </w:p>
        </w:tc>
      </w:tr>
      <w:tr>
        <w:trPr>
          <w:trHeight w:val="216"/>
        </w:trPr>
        <w:tc>
          <w:tcPr>
            <w:tcW w:w="2300" w:type="dxa"/>
            <w:vAlign w:val="bottom"/>
            <w:tcBorders>
              <w:right w:val="single" w:sz="8" w:color="auto"/>
            </w:tcBorders>
            <w:vMerge w:val="continue"/>
          </w:tcPr>
          <w:p>
            <w:pPr>
              <w:spacing w:after="0"/>
              <w:rPr>
                <w:sz w:val="18"/>
                <w:szCs w:val="18"/>
                <w:color w:val="auto"/>
              </w:rPr>
            </w:pPr>
          </w:p>
        </w:tc>
        <w:tc>
          <w:tcPr>
            <w:tcW w:w="342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4"/>
                <w:szCs w:val="24"/>
                <w:color w:val="auto"/>
                <w:w w:val="91"/>
              </w:rPr>
              <w:t>17.1%</w:t>
            </w:r>
          </w:p>
        </w:tc>
        <w:tc>
          <w:tcPr>
            <w:tcW w:w="2520" w:type="dxa"/>
            <w:vAlign w:val="bottom"/>
          </w:tcPr>
          <w:p>
            <w:pPr>
              <w:spacing w:after="0"/>
              <w:rPr>
                <w:sz w:val="18"/>
                <w:szCs w:val="18"/>
                <w:color w:val="auto"/>
              </w:rPr>
            </w:pPr>
          </w:p>
        </w:tc>
        <w:tc>
          <w:tcPr>
            <w:tcW w:w="2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300" w:type="dxa"/>
            <w:vAlign w:val="bottom"/>
            <w:tcBorders>
              <w:right w:val="single" w:sz="8" w:color="auto"/>
            </w:tcBorders>
          </w:tcPr>
          <w:p>
            <w:pPr>
              <w:spacing w:after="0"/>
              <w:rPr>
                <w:sz w:val="15"/>
                <w:szCs w:val="15"/>
                <w:color w:val="auto"/>
              </w:rPr>
            </w:pPr>
          </w:p>
        </w:tc>
        <w:tc>
          <w:tcPr>
            <w:tcW w:w="3420" w:type="dxa"/>
            <w:vAlign w:val="bottom"/>
            <w:tcBorders>
              <w:right w:val="single" w:sz="8" w:color="auto"/>
            </w:tcBorders>
          </w:tcPr>
          <w:p>
            <w:pPr>
              <w:spacing w:after="0"/>
              <w:rPr>
                <w:sz w:val="15"/>
                <w:szCs w:val="15"/>
                <w:color w:val="auto"/>
              </w:rPr>
            </w:pPr>
          </w:p>
        </w:tc>
        <w:tc>
          <w:tcPr>
            <w:tcW w:w="2520" w:type="dxa"/>
            <w:vAlign w:val="bottom"/>
          </w:tcPr>
          <w:p>
            <w:pPr>
              <w:spacing w:after="0"/>
              <w:rPr>
                <w:sz w:val="15"/>
                <w:szCs w:val="15"/>
                <w:color w:val="auto"/>
              </w:rPr>
            </w:pPr>
          </w:p>
        </w:tc>
        <w:tc>
          <w:tcPr>
            <w:tcW w:w="2020" w:type="dxa"/>
            <w:vAlign w:val="bottom"/>
          </w:tcPr>
          <w:p>
            <w:pPr>
              <w:jc w:val="center"/>
              <w:ind w:right="563"/>
              <w:spacing w:after="0"/>
              <w:rPr>
                <w:sz w:val="20"/>
                <w:szCs w:val="20"/>
                <w:color w:val="auto"/>
              </w:rPr>
            </w:pPr>
            <w:r>
              <w:rPr>
                <w:rFonts w:ascii="Arial" w:cs="Arial" w:eastAsia="Arial" w:hAnsi="Arial"/>
                <w:sz w:val="15"/>
                <w:szCs w:val="15"/>
                <w:b w:val="1"/>
                <w:bCs w:val="1"/>
                <w:color w:val="B2B2B2"/>
                <w:w w:val="95"/>
              </w:rPr>
              <w:t>vs. 2021</w:t>
            </w:r>
          </w:p>
        </w:tc>
        <w:tc>
          <w:tcPr>
            <w:tcW w:w="0" w:type="dxa"/>
            <w:vAlign w:val="bottom"/>
          </w:tcPr>
          <w:p>
            <w:pPr>
              <w:spacing w:after="0"/>
              <w:rPr>
                <w:sz w:val="1"/>
                <w:szCs w:val="1"/>
                <w:color w:val="auto"/>
              </w:rPr>
            </w:pPr>
          </w:p>
        </w:tc>
      </w:tr>
      <w:tr>
        <w:trPr>
          <w:trHeight w:val="286"/>
        </w:trPr>
        <w:tc>
          <w:tcPr>
            <w:tcW w:w="2300" w:type="dxa"/>
            <w:vAlign w:val="bottom"/>
            <w:tcBorders>
              <w:right w:val="single" w:sz="8" w:color="auto"/>
            </w:tcBorders>
          </w:tcPr>
          <w:p>
            <w:pPr>
              <w:spacing w:after="0"/>
              <w:rPr>
                <w:sz w:val="24"/>
                <w:szCs w:val="24"/>
                <w:color w:val="auto"/>
              </w:rPr>
            </w:pPr>
          </w:p>
        </w:tc>
        <w:tc>
          <w:tcPr>
            <w:tcW w:w="3420" w:type="dxa"/>
            <w:vAlign w:val="bottom"/>
            <w:tcBorders>
              <w:right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3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-1183640</wp:posOffset>
            </wp:positionV>
            <wp:extent cx="1076325" cy="977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76325" cy="977900"/>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r>
              <w:rPr>
                <w:rFonts w:ascii="Arial" w:cs="Arial" w:eastAsia="Arial" w:hAnsi="Arial"/>
                <w:sz w:val="20"/>
                <w:szCs w:val="20"/>
                <w:b w:val="1"/>
                <w:bCs w:val="1"/>
                <w:color w:val="auto"/>
              </w:rPr>
              <w:t>NET SALES BY</w:t>
            </w:r>
          </w:p>
        </w:tc>
        <w:tc>
          <w:tcPr>
            <w:tcW w:w="3400" w:type="dxa"/>
            <w:vAlign w:val="bottom"/>
          </w:tcPr>
          <w:p>
            <w:pPr>
              <w:ind w:left="980"/>
              <w:spacing w:after="0"/>
              <w:rPr>
                <w:sz w:val="20"/>
                <w:szCs w:val="20"/>
                <w:color w:val="auto"/>
              </w:rPr>
            </w:pPr>
            <w:r>
              <w:rPr>
                <w:rFonts w:ascii="Arial" w:cs="Arial" w:eastAsia="Arial" w:hAnsi="Arial"/>
                <w:sz w:val="20"/>
                <w:szCs w:val="20"/>
                <w:b w:val="1"/>
                <w:bCs w:val="1"/>
                <w:color w:val="auto"/>
              </w:rPr>
              <w:t>NET SALES BY</w:t>
            </w:r>
          </w:p>
        </w:tc>
        <w:tc>
          <w:tcPr>
            <w:tcW w:w="2620" w:type="dxa"/>
            <w:vAlign w:val="bottom"/>
          </w:tcPr>
          <w:p>
            <w:pPr>
              <w:ind w:left="1020"/>
              <w:spacing w:after="0"/>
              <w:rPr>
                <w:sz w:val="20"/>
                <w:szCs w:val="20"/>
                <w:color w:val="auto"/>
              </w:rPr>
            </w:pPr>
            <w:r>
              <w:rPr>
                <w:rFonts w:ascii="Arial" w:cs="Arial" w:eastAsia="Arial" w:hAnsi="Arial"/>
                <w:sz w:val="20"/>
                <w:szCs w:val="20"/>
                <w:b w:val="1"/>
                <w:bCs w:val="1"/>
                <w:color w:val="auto"/>
              </w:rPr>
              <w:t>NET SALES BY</w:t>
            </w:r>
          </w:p>
        </w:tc>
        <w:tc>
          <w:tcPr>
            <w:tcW w:w="0" w:type="dxa"/>
            <w:vAlign w:val="bottom"/>
          </w:tcPr>
          <w:p>
            <w:pPr>
              <w:spacing w:after="0"/>
              <w:rPr>
                <w:sz w:val="1"/>
                <w:szCs w:val="1"/>
                <w:color w:val="auto"/>
              </w:rPr>
            </w:pPr>
          </w:p>
        </w:tc>
      </w:tr>
      <w:tr>
        <w:trPr>
          <w:trHeight w:val="210"/>
        </w:trPr>
        <w:tc>
          <w:tcPr>
            <w:tcW w:w="2560" w:type="dxa"/>
            <w:vAlign w:val="bottom"/>
          </w:tcPr>
          <w:p>
            <w:pPr>
              <w:spacing w:after="0" w:line="210" w:lineRule="exact"/>
              <w:rPr>
                <w:sz w:val="20"/>
                <w:szCs w:val="20"/>
                <w:color w:val="auto"/>
              </w:rPr>
            </w:pPr>
            <w:r>
              <w:rPr>
                <w:rFonts w:ascii="Arial" w:cs="Arial" w:eastAsia="Arial" w:hAnsi="Arial"/>
                <w:sz w:val="20"/>
                <w:szCs w:val="20"/>
                <w:b w:val="1"/>
                <w:bCs w:val="1"/>
                <w:color w:val="auto"/>
              </w:rPr>
              <w:t>SEGMENT</w:t>
            </w:r>
          </w:p>
        </w:tc>
        <w:tc>
          <w:tcPr>
            <w:tcW w:w="3400" w:type="dxa"/>
            <w:vAlign w:val="bottom"/>
          </w:tcPr>
          <w:p>
            <w:pPr>
              <w:ind w:left="980"/>
              <w:spacing w:after="0" w:line="210" w:lineRule="exact"/>
              <w:rPr>
                <w:sz w:val="20"/>
                <w:szCs w:val="20"/>
                <w:color w:val="auto"/>
              </w:rPr>
            </w:pPr>
            <w:r>
              <w:rPr>
                <w:rFonts w:ascii="Arial" w:cs="Arial" w:eastAsia="Arial" w:hAnsi="Arial"/>
                <w:sz w:val="20"/>
                <w:szCs w:val="20"/>
                <w:b w:val="1"/>
                <w:bCs w:val="1"/>
                <w:color w:val="auto"/>
              </w:rPr>
              <w:t>PRODUCT</w:t>
            </w:r>
          </w:p>
        </w:tc>
        <w:tc>
          <w:tcPr>
            <w:tcW w:w="2620" w:type="dxa"/>
            <w:vAlign w:val="bottom"/>
          </w:tcPr>
          <w:p>
            <w:pPr>
              <w:ind w:left="1020"/>
              <w:spacing w:after="0" w:line="210" w:lineRule="exact"/>
              <w:rPr>
                <w:sz w:val="20"/>
                <w:szCs w:val="20"/>
                <w:color w:val="auto"/>
              </w:rPr>
            </w:pPr>
            <w:r>
              <w:rPr>
                <w:rFonts w:ascii="Arial" w:cs="Arial" w:eastAsia="Arial" w:hAnsi="Arial"/>
                <w:sz w:val="20"/>
                <w:szCs w:val="20"/>
                <w:b w:val="1"/>
                <w:bCs w:val="1"/>
                <w:color w:val="auto"/>
                <w:w w:val="96"/>
              </w:rPr>
              <w:t>GEOGRAPHICAL</w:t>
            </w:r>
          </w:p>
        </w:tc>
        <w:tc>
          <w:tcPr>
            <w:tcW w:w="0" w:type="dxa"/>
            <w:vAlign w:val="bottom"/>
          </w:tcPr>
          <w:p>
            <w:pPr>
              <w:spacing w:after="0"/>
              <w:rPr>
                <w:sz w:val="1"/>
                <w:szCs w:val="1"/>
                <w:color w:val="auto"/>
              </w:rPr>
            </w:pPr>
          </w:p>
        </w:tc>
      </w:tr>
      <w:tr>
        <w:trPr>
          <w:trHeight w:val="234"/>
        </w:trPr>
        <w:tc>
          <w:tcPr>
            <w:tcW w:w="2560" w:type="dxa"/>
            <w:vAlign w:val="bottom"/>
            <w:vMerge w:val="restart"/>
          </w:tcPr>
          <w:p>
            <w:pPr>
              <w:spacing w:after="0"/>
              <w:rPr>
                <w:sz w:val="20"/>
                <w:szCs w:val="20"/>
                <w:color w:val="auto"/>
              </w:rPr>
            </w:pPr>
            <w:r>
              <w:rPr>
                <w:rFonts w:ascii="Wingdings 2" w:cs="Wingdings 2" w:eastAsia="Wingdings 2" w:hAnsi="Wingdings 2"/>
                <w:sz w:val="16"/>
                <w:szCs w:val="16"/>
                <w:color w:val="auto"/>
              </w:rPr>
              <w:t xml:space="preserve">¢ </w:t>
            </w:r>
            <w:r>
              <w:rPr>
                <w:rFonts w:ascii="Arial" w:cs="Arial" w:eastAsia="Arial" w:hAnsi="Arial"/>
                <w:sz w:val="16"/>
                <w:szCs w:val="16"/>
                <w:color w:val="auto"/>
              </w:rPr>
              <w:t>Professional 76.0%</w:t>
            </w:r>
          </w:p>
        </w:tc>
        <w:tc>
          <w:tcPr>
            <w:tcW w:w="3400" w:type="dxa"/>
            <w:vAlign w:val="bottom"/>
            <w:vMerge w:val="restart"/>
          </w:tcPr>
          <w:p>
            <w:pPr>
              <w:ind w:left="980"/>
              <w:spacing w:after="0"/>
              <w:rPr>
                <w:sz w:val="20"/>
                <w:szCs w:val="20"/>
                <w:color w:val="auto"/>
              </w:rPr>
            </w:pPr>
            <w:r>
              <w:rPr>
                <w:rFonts w:ascii="Wingdings 2" w:cs="Wingdings 2" w:eastAsia="Wingdings 2" w:hAnsi="Wingdings 2"/>
                <w:sz w:val="16"/>
                <w:szCs w:val="16"/>
                <w:color w:val="auto"/>
              </w:rPr>
              <w:t xml:space="preserve">¢ </w:t>
            </w:r>
            <w:r>
              <w:rPr>
                <w:rFonts w:ascii="Arial" w:cs="Arial" w:eastAsia="Arial" w:hAnsi="Arial"/>
                <w:sz w:val="16"/>
                <w:szCs w:val="16"/>
                <w:color w:val="auto"/>
              </w:rPr>
              <w:t>Equipment 89.7%</w:t>
            </w:r>
          </w:p>
        </w:tc>
        <w:tc>
          <w:tcPr>
            <w:tcW w:w="2620" w:type="dxa"/>
            <w:vAlign w:val="bottom"/>
          </w:tcPr>
          <w:p>
            <w:pPr>
              <w:ind w:left="1020"/>
              <w:spacing w:after="0"/>
              <w:rPr>
                <w:sz w:val="20"/>
                <w:szCs w:val="20"/>
                <w:color w:val="auto"/>
              </w:rPr>
            </w:pPr>
            <w:r>
              <w:rPr>
                <w:rFonts w:ascii="Arial" w:cs="Arial" w:eastAsia="Arial" w:hAnsi="Arial"/>
                <w:sz w:val="20"/>
                <w:szCs w:val="20"/>
                <w:b w:val="1"/>
                <w:bCs w:val="1"/>
                <w:color w:val="auto"/>
              </w:rPr>
              <w:t>LOCATION</w:t>
            </w:r>
          </w:p>
        </w:tc>
        <w:tc>
          <w:tcPr>
            <w:tcW w:w="0" w:type="dxa"/>
            <w:vAlign w:val="bottom"/>
          </w:tcPr>
          <w:p>
            <w:pPr>
              <w:spacing w:after="0"/>
              <w:rPr>
                <w:sz w:val="1"/>
                <w:szCs w:val="1"/>
                <w:color w:val="auto"/>
              </w:rPr>
            </w:pPr>
          </w:p>
        </w:tc>
      </w:tr>
      <w:tr>
        <w:trPr>
          <w:trHeight w:val="58"/>
        </w:trPr>
        <w:tc>
          <w:tcPr>
            <w:tcW w:w="2560" w:type="dxa"/>
            <w:vAlign w:val="bottom"/>
            <w:vMerge w:val="continue"/>
          </w:tcPr>
          <w:p>
            <w:pPr>
              <w:spacing w:after="0"/>
              <w:rPr>
                <w:sz w:val="5"/>
                <w:szCs w:val="5"/>
                <w:color w:val="auto"/>
              </w:rPr>
            </w:pPr>
          </w:p>
        </w:tc>
        <w:tc>
          <w:tcPr>
            <w:tcW w:w="3400" w:type="dxa"/>
            <w:vAlign w:val="bottom"/>
            <w:vMerge w:val="continue"/>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560" w:type="dxa"/>
            <w:vAlign w:val="bottom"/>
            <w:vMerge w:val="restart"/>
          </w:tcPr>
          <w:p>
            <w:pPr>
              <w:spacing w:after="0"/>
              <w:rPr>
                <w:sz w:val="20"/>
                <w:szCs w:val="20"/>
                <w:color w:val="auto"/>
              </w:rPr>
            </w:pPr>
            <w:r>
              <w:rPr>
                <w:rFonts w:ascii="Wingdings 2" w:cs="Wingdings 2" w:eastAsia="Wingdings 2" w:hAnsi="Wingdings 2"/>
                <w:sz w:val="16"/>
                <w:szCs w:val="16"/>
                <w:color w:val="666666"/>
              </w:rPr>
              <w:t xml:space="preserve">¢ </w:t>
            </w:r>
            <w:r>
              <w:rPr>
                <w:rFonts w:ascii="Arial" w:cs="Arial" w:eastAsia="Arial" w:hAnsi="Arial"/>
                <w:sz w:val="16"/>
                <w:szCs w:val="16"/>
                <w:color w:val="000000"/>
              </w:rPr>
              <w:t>Residential 23.7%</w:t>
            </w:r>
          </w:p>
        </w:tc>
        <w:tc>
          <w:tcPr>
            <w:tcW w:w="3400" w:type="dxa"/>
            <w:vAlign w:val="bottom"/>
            <w:vMerge w:val="restart"/>
          </w:tcPr>
          <w:p>
            <w:pPr>
              <w:ind w:left="980"/>
              <w:spacing w:after="0"/>
              <w:rPr>
                <w:sz w:val="20"/>
                <w:szCs w:val="20"/>
                <w:color w:val="auto"/>
              </w:rPr>
            </w:pPr>
            <w:r>
              <w:rPr>
                <w:rFonts w:ascii="Wingdings 2" w:cs="Wingdings 2" w:eastAsia="Wingdings 2" w:hAnsi="Wingdings 2"/>
                <w:sz w:val="16"/>
                <w:szCs w:val="16"/>
                <w:color w:val="666666"/>
              </w:rPr>
              <w:t xml:space="preserve">¢ </w:t>
            </w:r>
            <w:r>
              <w:rPr>
                <w:rFonts w:ascii="Arial" w:cs="Arial" w:eastAsia="Arial" w:hAnsi="Arial"/>
                <w:sz w:val="16"/>
                <w:szCs w:val="16"/>
                <w:color w:val="000000"/>
              </w:rPr>
              <w:t>Irrigation 10.3%</w:t>
            </w:r>
          </w:p>
        </w:tc>
        <w:tc>
          <w:tcPr>
            <w:tcW w:w="2620" w:type="dxa"/>
            <w:vAlign w:val="bottom"/>
          </w:tcPr>
          <w:p>
            <w:pPr>
              <w:ind w:left="1020"/>
              <w:spacing w:after="0"/>
              <w:rPr>
                <w:sz w:val="20"/>
                <w:szCs w:val="20"/>
                <w:color w:val="auto"/>
              </w:rPr>
            </w:pPr>
            <w:r>
              <w:rPr>
                <w:rFonts w:ascii="Wingdings 2" w:cs="Wingdings 2" w:eastAsia="Wingdings 2" w:hAnsi="Wingdings 2"/>
                <w:sz w:val="16"/>
                <w:szCs w:val="16"/>
                <w:color w:val="auto"/>
                <w:w w:val="89"/>
              </w:rPr>
              <w:t xml:space="preserve">¢ </w:t>
            </w:r>
            <w:r>
              <w:rPr>
                <w:rFonts w:ascii="Arial" w:cs="Arial" w:eastAsia="Arial" w:hAnsi="Arial"/>
                <w:sz w:val="16"/>
                <w:szCs w:val="16"/>
                <w:color w:val="auto"/>
                <w:w w:val="89"/>
              </w:rPr>
              <w:t>United States 80.5%</w:t>
            </w:r>
          </w:p>
        </w:tc>
        <w:tc>
          <w:tcPr>
            <w:tcW w:w="0" w:type="dxa"/>
            <w:vAlign w:val="bottom"/>
          </w:tcPr>
          <w:p>
            <w:pPr>
              <w:spacing w:after="0"/>
              <w:rPr>
                <w:sz w:val="1"/>
                <w:szCs w:val="1"/>
                <w:color w:val="auto"/>
              </w:rPr>
            </w:pPr>
          </w:p>
        </w:tc>
      </w:tr>
      <w:tr>
        <w:trPr>
          <w:trHeight w:val="70"/>
        </w:trPr>
        <w:tc>
          <w:tcPr>
            <w:tcW w:w="2560" w:type="dxa"/>
            <w:vAlign w:val="bottom"/>
            <w:vMerge w:val="continue"/>
          </w:tcPr>
          <w:p>
            <w:pPr>
              <w:spacing w:after="0"/>
              <w:rPr>
                <w:sz w:val="6"/>
                <w:szCs w:val="6"/>
                <w:color w:val="auto"/>
              </w:rPr>
            </w:pPr>
          </w:p>
        </w:tc>
        <w:tc>
          <w:tcPr>
            <w:tcW w:w="3400" w:type="dxa"/>
            <w:vAlign w:val="bottom"/>
            <w:vMerge w:val="continue"/>
          </w:tcPr>
          <w:p>
            <w:pPr>
              <w:spacing w:after="0"/>
              <w:rPr>
                <w:sz w:val="6"/>
                <w:szCs w:val="6"/>
                <w:color w:val="auto"/>
              </w:rPr>
            </w:pPr>
          </w:p>
        </w:tc>
        <w:tc>
          <w:tcPr>
            <w:tcW w:w="2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560" w:type="dxa"/>
            <w:vAlign w:val="bottom"/>
            <w:vMerge w:val="restart"/>
          </w:tcPr>
          <w:p>
            <w:pPr>
              <w:spacing w:after="0"/>
              <w:rPr>
                <w:sz w:val="20"/>
                <w:szCs w:val="20"/>
                <w:color w:val="auto"/>
              </w:rPr>
            </w:pPr>
            <w:r>
              <w:rPr>
                <w:rFonts w:ascii="Wingdings 2" w:cs="Wingdings 2" w:eastAsia="Wingdings 2" w:hAnsi="Wingdings 2"/>
                <w:sz w:val="16"/>
                <w:szCs w:val="16"/>
                <w:color w:val="CCCCCC"/>
              </w:rPr>
              <w:t xml:space="preserve">¢ </w:t>
            </w:r>
            <w:r>
              <w:rPr>
                <w:rFonts w:ascii="Arial" w:cs="Arial" w:eastAsia="Arial" w:hAnsi="Arial"/>
                <w:sz w:val="16"/>
                <w:szCs w:val="16"/>
                <w:color w:val="000000"/>
              </w:rPr>
              <w:t>Other 0.3%</w:t>
            </w:r>
          </w:p>
        </w:tc>
        <w:tc>
          <w:tcPr>
            <w:tcW w:w="3400" w:type="dxa"/>
            <w:vAlign w:val="bottom"/>
          </w:tcPr>
          <w:p>
            <w:pPr>
              <w:spacing w:after="0"/>
              <w:rPr>
                <w:sz w:val="18"/>
                <w:szCs w:val="18"/>
                <w:color w:val="auto"/>
              </w:rPr>
            </w:pPr>
          </w:p>
        </w:tc>
        <w:tc>
          <w:tcPr>
            <w:tcW w:w="2620" w:type="dxa"/>
            <w:vAlign w:val="bottom"/>
          </w:tcPr>
          <w:p>
            <w:pPr>
              <w:ind w:left="1020"/>
              <w:spacing w:after="0"/>
              <w:rPr>
                <w:sz w:val="20"/>
                <w:szCs w:val="20"/>
                <w:color w:val="auto"/>
              </w:rPr>
            </w:pPr>
            <w:r>
              <w:rPr>
                <w:rFonts w:ascii="Wingdings 2" w:cs="Wingdings 2" w:eastAsia="Wingdings 2" w:hAnsi="Wingdings 2"/>
                <w:sz w:val="16"/>
                <w:szCs w:val="16"/>
                <w:color w:val="666666"/>
                <w:w w:val="93"/>
              </w:rPr>
              <w:t xml:space="preserve">¢ </w:t>
            </w:r>
            <w:r>
              <w:rPr>
                <w:rFonts w:ascii="Arial" w:cs="Arial" w:eastAsia="Arial" w:hAnsi="Arial"/>
                <w:sz w:val="16"/>
                <w:szCs w:val="16"/>
                <w:color w:val="000000"/>
                <w:w w:val="93"/>
              </w:rPr>
              <w:t>International 19.5%</w:t>
            </w:r>
          </w:p>
        </w:tc>
        <w:tc>
          <w:tcPr>
            <w:tcW w:w="0" w:type="dxa"/>
            <w:vAlign w:val="bottom"/>
          </w:tcPr>
          <w:p>
            <w:pPr>
              <w:spacing w:after="0"/>
              <w:rPr>
                <w:sz w:val="1"/>
                <w:szCs w:val="1"/>
                <w:color w:val="auto"/>
              </w:rPr>
            </w:pPr>
          </w:p>
        </w:tc>
      </w:tr>
      <w:tr>
        <w:trPr>
          <w:trHeight w:val="70"/>
        </w:trPr>
        <w:tc>
          <w:tcPr>
            <w:tcW w:w="2560" w:type="dxa"/>
            <w:vAlign w:val="bottom"/>
            <w:vMerge w:val="continue"/>
          </w:tcPr>
          <w:p>
            <w:pPr>
              <w:spacing w:after="0"/>
              <w:rPr>
                <w:sz w:val="6"/>
                <w:szCs w:val="6"/>
                <w:color w:val="auto"/>
              </w:rPr>
            </w:pPr>
          </w:p>
        </w:tc>
        <w:tc>
          <w:tcPr>
            <w:tcW w:w="3400" w:type="dxa"/>
            <w:vAlign w:val="bottom"/>
          </w:tcPr>
          <w:p>
            <w:pPr>
              <w:spacing w:after="0"/>
              <w:rPr>
                <w:sz w:val="6"/>
                <w:szCs w:val="6"/>
                <w:color w:val="auto"/>
              </w:rPr>
            </w:pPr>
          </w:p>
        </w:tc>
        <w:tc>
          <w:tcPr>
            <w:tcW w:w="26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981710</wp:posOffset>
            </wp:positionH>
            <wp:positionV relativeFrom="paragraph">
              <wp:posOffset>-732790</wp:posOffset>
            </wp:positionV>
            <wp:extent cx="1022350" cy="1022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2350" cy="102235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-732790</wp:posOffset>
            </wp:positionV>
            <wp:extent cx="1022350" cy="1022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2350" cy="1022350"/>
                    </a:xfrm>
                    <a:prstGeom prst="rect">
                      <a:avLst/>
                    </a:prstGeom>
                    <a:noFill/>
                  </pic:spPr>
                </pic:pic>
              </a:graphicData>
            </a:graphic>
          </wp:anchor>
        </w:drawing>
        <w:drawing>
          <wp:anchor simplePos="0" relativeHeight="251657728" behindDoc="1" locked="0" layoutInCell="0" allowOverlap="1">
            <wp:simplePos x="0" y="0"/>
            <wp:positionH relativeFrom="column">
              <wp:posOffset>5516245</wp:posOffset>
            </wp:positionH>
            <wp:positionV relativeFrom="paragraph">
              <wp:posOffset>-732790</wp:posOffset>
            </wp:positionV>
            <wp:extent cx="1022350" cy="1022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2350" cy="1022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hanging="56"/>
        <w:spacing w:after="0"/>
        <w:tabs>
          <w:tab w:leader="none" w:pos="60" w:val="left"/>
        </w:tabs>
        <w:numPr>
          <w:ilvl w:val="0"/>
          <w:numId w:val="1"/>
        </w:numPr>
        <w:rPr>
          <w:rFonts w:ascii="Arial" w:cs="Arial" w:eastAsia="Arial" w:hAnsi="Arial"/>
          <w:sz w:val="7"/>
          <w:szCs w:val="7"/>
          <w:color w:val="auto"/>
        </w:rPr>
      </w:pPr>
      <w:r>
        <w:rPr>
          <w:rFonts w:ascii="Arial" w:cs="Arial" w:eastAsia="Arial" w:hAnsi="Arial"/>
          <w:sz w:val="12"/>
          <w:szCs w:val="12"/>
          <w:color w:val="auto"/>
        </w:rPr>
        <w:t>This Annual Report includes certain non-GAAP financial measures. Please refer to the disclosure, entitled “Non-GAAP Financial Measures,” which begins on page 42 of the Form 10-K.</w:t>
      </w:r>
    </w:p>
    <w:p>
      <w:pPr>
        <w:spacing w:after="0" w:line="42" w:lineRule="exact"/>
        <w:rPr>
          <w:rFonts w:ascii="Arial" w:cs="Arial" w:eastAsia="Arial" w:hAnsi="Arial"/>
          <w:sz w:val="7"/>
          <w:szCs w:val="7"/>
          <w:color w:val="auto"/>
        </w:rPr>
      </w:pPr>
    </w:p>
    <w:p>
      <w:pPr>
        <w:ind w:left="60" w:right="1620" w:hanging="56"/>
        <w:spacing w:after="0" w:line="226" w:lineRule="auto"/>
        <w:tabs>
          <w:tab w:leader="none" w:pos="60" w:val="left"/>
        </w:tabs>
        <w:numPr>
          <w:ilvl w:val="0"/>
          <w:numId w:val="1"/>
        </w:numPr>
        <w:rPr>
          <w:rFonts w:ascii="Arial" w:cs="Arial" w:eastAsia="Arial" w:hAnsi="Arial"/>
          <w:sz w:val="9"/>
          <w:szCs w:val="9"/>
          <w:color w:val="auto"/>
        </w:rPr>
      </w:pPr>
      <w:r>
        <w:rPr>
          <w:rFonts w:ascii="Arial" w:cs="Arial" w:eastAsia="Arial" w:hAnsi="Arial"/>
          <w:sz w:val="15"/>
          <w:szCs w:val="15"/>
          <w:color w:val="auto"/>
        </w:rPr>
        <w:t>This metric represents a non-GAAP financial metric and a reconciliation of this non-GAAP financial metric can be found in our Investor Presentation, which is available in the Investor section at www.thetorocompany.com.</w:t>
      </w:r>
    </w:p>
    <w:p>
      <w:pPr>
        <w:spacing w:after="0" w:line="15" w:lineRule="exact"/>
        <w:rPr>
          <w:rFonts w:ascii="Arial" w:cs="Arial" w:eastAsia="Arial" w:hAnsi="Arial"/>
          <w:sz w:val="9"/>
          <w:szCs w:val="9"/>
          <w:color w:val="auto"/>
        </w:rPr>
      </w:pPr>
    </w:p>
    <w:p>
      <w:pPr>
        <w:ind w:left="60" w:hanging="56"/>
        <w:spacing w:after="0"/>
        <w:tabs>
          <w:tab w:leader="none" w:pos="60" w:val="left"/>
        </w:tabs>
        <w:numPr>
          <w:ilvl w:val="0"/>
          <w:numId w:val="1"/>
        </w:numPr>
        <w:rPr>
          <w:rFonts w:ascii="Arial" w:cs="Arial" w:eastAsia="Arial" w:hAnsi="Arial"/>
          <w:sz w:val="8"/>
          <w:szCs w:val="8"/>
          <w:color w:val="auto"/>
        </w:rPr>
      </w:pPr>
      <w:r>
        <w:rPr>
          <w:rFonts w:ascii="Arial" w:cs="Arial" w:eastAsia="Arial" w:hAnsi="Arial"/>
          <w:sz w:val="14"/>
          <w:szCs w:val="14"/>
          <w:color w:val="auto"/>
        </w:rPr>
        <w:t>Defined as average net accounts receivable plus average net inventory, less average accounts payable as a percentage of net sales for a 12-month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445770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445770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0" w:orient="portrait"/>
          <w:cols w:equalWidth="0" w:num="1">
            <w:col w:w="10260"/>
          </w:cols>
          <w:pgMar w:left="720" w:top="973" w:right="900" w:bottom="150" w:gutter="0" w:footer="0" w:header="0"/>
          <w:type w:val="continuous"/>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260985</wp:posOffset>
            </wp:positionH>
            <wp:positionV relativeFrom="page">
              <wp:posOffset>203200</wp:posOffset>
            </wp:positionV>
            <wp:extent cx="7021830" cy="14617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21830" cy="1461770"/>
                    </a:xfrm>
                    <a:prstGeom prst="rect">
                      <a:avLst/>
                    </a:prstGeom>
                    <a:noFill/>
                  </pic:spPr>
                </pic:pic>
              </a:graphicData>
            </a:graphic>
          </wp:anchor>
        </w:drawing>
        <w:drawing>
          <wp:anchor simplePos="0" relativeHeight="251657728" behindDoc="1" locked="0" layoutInCell="0" allowOverlap="1">
            <wp:simplePos x="0" y="0"/>
            <wp:positionH relativeFrom="page">
              <wp:posOffset>3459480</wp:posOffset>
            </wp:positionH>
            <wp:positionV relativeFrom="page">
              <wp:posOffset>9253220</wp:posOffset>
            </wp:positionV>
            <wp:extent cx="625475" cy="5765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5475" cy="576580"/>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9822180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9822180</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258445</wp:posOffset>
            </wp:positionH>
            <wp:positionV relativeFrom="page">
              <wp:posOffset>241300</wp:posOffset>
            </wp:positionV>
            <wp:extent cx="6871335" cy="22440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71335" cy="2244090"/>
                    </a:xfrm>
                    <a:prstGeom prst="rect">
                      <a:avLst/>
                    </a:prstGeom>
                    <a:noFill/>
                  </pic:spPr>
                </pic:pic>
              </a:graphicData>
            </a:graphic>
          </wp:anchor>
        </w:drawing>
        <w:drawing>
          <wp:anchor simplePos="0" relativeHeight="251657728" behindDoc="1" locked="0" layoutInCell="0" allowOverlap="1">
            <wp:simplePos x="0" y="0"/>
            <wp:positionH relativeFrom="page">
              <wp:posOffset>3459480</wp:posOffset>
            </wp:positionH>
            <wp:positionV relativeFrom="page">
              <wp:posOffset>9253220</wp:posOffset>
            </wp:positionV>
            <wp:extent cx="624205" cy="5765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4205" cy="576580"/>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9822180</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9822180</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56"/>
        </w:trPr>
        <w:tc>
          <w:tcPr>
            <w:tcW w:w="4720" w:type="dxa"/>
            <w:vAlign w:val="bottom"/>
            <w:gridSpan w:val="2"/>
          </w:tcPr>
          <w:p>
            <w:pPr>
              <w:spacing w:after="0"/>
              <w:rPr>
                <w:sz w:val="20"/>
                <w:szCs w:val="20"/>
                <w:color w:val="auto"/>
              </w:rPr>
            </w:pPr>
            <w:r>
              <w:rPr>
                <w:rFonts w:ascii="Arial" w:cs="Arial" w:eastAsia="Arial" w:hAnsi="Arial"/>
                <w:sz w:val="22"/>
                <w:szCs w:val="22"/>
                <w:b w:val="1"/>
                <w:bCs w:val="1"/>
                <w:color w:val="auto"/>
              </w:rPr>
              <w:t xml:space="preserve">Executive Officers </w:t>
            </w:r>
            <w:r>
              <w:rPr>
                <w:rFonts w:ascii="Arial" w:cs="Arial" w:eastAsia="Arial" w:hAnsi="Arial"/>
                <w:sz w:val="16"/>
                <w:szCs w:val="16"/>
                <w:color w:val="auto"/>
              </w:rPr>
              <w:t>(as of December 12, 2022)</w:t>
            </w:r>
          </w:p>
        </w:tc>
        <w:tc>
          <w:tcPr>
            <w:tcW w:w="2660" w:type="dxa"/>
            <w:vAlign w:val="bottom"/>
          </w:tcPr>
          <w:p>
            <w:pPr>
              <w:ind w:left="380"/>
              <w:spacing w:after="0"/>
              <w:rPr>
                <w:sz w:val="20"/>
                <w:szCs w:val="20"/>
                <w:color w:val="auto"/>
              </w:rPr>
            </w:pPr>
            <w:r>
              <w:rPr>
                <w:rFonts w:ascii="Arial" w:cs="Arial" w:eastAsia="Arial" w:hAnsi="Arial"/>
                <w:sz w:val="22"/>
                <w:szCs w:val="22"/>
                <w:color w:val="auto"/>
              </w:rPr>
              <w:t>Board of Directors</w:t>
            </w:r>
          </w:p>
        </w:tc>
        <w:tc>
          <w:tcPr>
            <w:tcW w:w="0" w:type="dxa"/>
            <w:vAlign w:val="bottom"/>
          </w:tcPr>
          <w:p>
            <w:pPr>
              <w:spacing w:after="0"/>
              <w:rPr>
                <w:sz w:val="1"/>
                <w:szCs w:val="1"/>
                <w:color w:val="auto"/>
              </w:rPr>
            </w:pPr>
          </w:p>
        </w:tc>
      </w:tr>
      <w:tr>
        <w:trPr>
          <w:trHeight w:val="421"/>
        </w:trPr>
        <w:tc>
          <w:tcPr>
            <w:tcW w:w="2140" w:type="dxa"/>
            <w:vAlign w:val="bottom"/>
          </w:tcPr>
          <w:p>
            <w:pPr>
              <w:spacing w:after="0"/>
              <w:rPr>
                <w:sz w:val="20"/>
                <w:szCs w:val="20"/>
                <w:color w:val="auto"/>
              </w:rPr>
            </w:pPr>
            <w:r>
              <w:rPr>
                <w:rFonts w:ascii="Arial" w:cs="Arial" w:eastAsia="Arial" w:hAnsi="Arial"/>
                <w:sz w:val="19"/>
                <w:szCs w:val="19"/>
                <w:b w:val="1"/>
                <w:bCs w:val="1"/>
                <w:color w:val="auto"/>
              </w:rPr>
              <w:t>Richard M. Olson</w:t>
            </w:r>
          </w:p>
        </w:tc>
        <w:tc>
          <w:tcPr>
            <w:tcW w:w="2580" w:type="dxa"/>
            <w:vAlign w:val="bottom"/>
          </w:tcPr>
          <w:p>
            <w:pPr>
              <w:ind w:left="480"/>
              <w:spacing w:after="0"/>
              <w:rPr>
                <w:sz w:val="20"/>
                <w:szCs w:val="20"/>
                <w:color w:val="auto"/>
              </w:rPr>
            </w:pPr>
            <w:r>
              <w:rPr>
                <w:rFonts w:ascii="Arial" w:cs="Arial" w:eastAsia="Arial" w:hAnsi="Arial"/>
                <w:sz w:val="19"/>
                <w:szCs w:val="19"/>
                <w:b w:val="1"/>
                <w:bCs w:val="1"/>
                <w:color w:val="auto"/>
              </w:rPr>
              <w:t>Margeaux M. King</w:t>
            </w:r>
          </w:p>
        </w:tc>
        <w:tc>
          <w:tcPr>
            <w:tcW w:w="2660" w:type="dxa"/>
            <w:vAlign w:val="bottom"/>
          </w:tcPr>
          <w:p>
            <w:pPr>
              <w:ind w:left="380"/>
              <w:spacing w:after="0"/>
              <w:rPr>
                <w:sz w:val="20"/>
                <w:szCs w:val="20"/>
                <w:color w:val="auto"/>
              </w:rPr>
            </w:pPr>
            <w:r>
              <w:rPr>
                <w:rFonts w:ascii="Arial" w:cs="Arial" w:eastAsia="Arial" w:hAnsi="Arial"/>
                <w:sz w:val="19"/>
                <w:szCs w:val="19"/>
                <w:color w:val="auto"/>
              </w:rPr>
              <w:t>Janet K. Cooper</w:t>
            </w:r>
          </w:p>
        </w:tc>
        <w:tc>
          <w:tcPr>
            <w:tcW w:w="0" w:type="dxa"/>
            <w:vAlign w:val="bottom"/>
          </w:tcPr>
          <w:p>
            <w:pPr>
              <w:spacing w:after="0"/>
              <w:rPr>
                <w:sz w:val="1"/>
                <w:szCs w:val="1"/>
                <w:color w:val="auto"/>
              </w:rPr>
            </w:pPr>
          </w:p>
        </w:tc>
      </w:tr>
      <w:tr>
        <w:trPr>
          <w:trHeight w:val="196"/>
        </w:trPr>
        <w:tc>
          <w:tcPr>
            <w:tcW w:w="2140" w:type="dxa"/>
            <w:vAlign w:val="bottom"/>
          </w:tcPr>
          <w:p>
            <w:pPr>
              <w:spacing w:after="0"/>
              <w:rPr>
                <w:sz w:val="20"/>
                <w:szCs w:val="20"/>
                <w:color w:val="auto"/>
              </w:rPr>
            </w:pPr>
            <w:r>
              <w:rPr>
                <w:rFonts w:ascii="Arial" w:cs="Arial" w:eastAsia="Arial" w:hAnsi="Arial"/>
                <w:sz w:val="16"/>
                <w:szCs w:val="16"/>
                <w:color w:val="auto"/>
              </w:rPr>
              <w:t>Chairman of the Board,</w:t>
            </w:r>
          </w:p>
        </w:tc>
        <w:tc>
          <w:tcPr>
            <w:tcW w:w="2580" w:type="dxa"/>
            <w:vAlign w:val="bottom"/>
          </w:tcPr>
          <w:p>
            <w:pPr>
              <w:ind w:left="480"/>
              <w:spacing w:after="0"/>
              <w:rPr>
                <w:sz w:val="20"/>
                <w:szCs w:val="20"/>
                <w:color w:val="auto"/>
              </w:rPr>
            </w:pPr>
            <w:r>
              <w:rPr>
                <w:rFonts w:ascii="Arial" w:cs="Arial" w:eastAsia="Arial" w:hAnsi="Arial"/>
                <w:sz w:val="16"/>
                <w:szCs w:val="16"/>
                <w:color w:val="auto"/>
              </w:rPr>
              <w:t>Vice President,</w:t>
            </w:r>
          </w:p>
        </w:tc>
        <w:tc>
          <w:tcPr>
            <w:tcW w:w="2660" w:type="dxa"/>
            <w:vAlign w:val="bottom"/>
          </w:tcPr>
          <w:p>
            <w:pPr>
              <w:ind w:left="380"/>
              <w:spacing w:after="0"/>
              <w:rPr>
                <w:sz w:val="20"/>
                <w:szCs w:val="20"/>
                <w:color w:val="auto"/>
              </w:rPr>
            </w:pPr>
            <w:r>
              <w:rPr>
                <w:rFonts w:ascii="Arial" w:cs="Arial" w:eastAsia="Arial" w:hAnsi="Arial"/>
                <w:sz w:val="16"/>
                <w:szCs w:val="16"/>
                <w:color w:val="auto"/>
              </w:rPr>
              <w:t>Retired, Senior Vice</w:t>
            </w:r>
          </w:p>
        </w:tc>
        <w:tc>
          <w:tcPr>
            <w:tcW w:w="0" w:type="dxa"/>
            <w:vAlign w:val="bottom"/>
          </w:tcPr>
          <w:p>
            <w:pPr>
              <w:spacing w:after="0"/>
              <w:rPr>
                <w:sz w:val="1"/>
                <w:szCs w:val="1"/>
                <w:color w:val="auto"/>
              </w:rPr>
            </w:pPr>
          </w:p>
        </w:tc>
      </w:tr>
      <w:tr>
        <w:trPr>
          <w:trHeight w:val="200"/>
        </w:trPr>
        <w:tc>
          <w:tcPr>
            <w:tcW w:w="2140" w:type="dxa"/>
            <w:vAlign w:val="bottom"/>
          </w:tcPr>
          <w:p>
            <w:pPr>
              <w:spacing w:after="0"/>
              <w:rPr>
                <w:sz w:val="20"/>
                <w:szCs w:val="20"/>
                <w:color w:val="auto"/>
              </w:rPr>
            </w:pPr>
            <w:r>
              <w:rPr>
                <w:rFonts w:ascii="Arial" w:cs="Arial" w:eastAsia="Arial" w:hAnsi="Arial"/>
                <w:sz w:val="16"/>
                <w:szCs w:val="16"/>
                <w:color w:val="auto"/>
              </w:rPr>
              <w:t>President and Chief</w:t>
            </w:r>
          </w:p>
        </w:tc>
        <w:tc>
          <w:tcPr>
            <w:tcW w:w="2580" w:type="dxa"/>
            <w:vAlign w:val="bottom"/>
          </w:tcPr>
          <w:p>
            <w:pPr>
              <w:ind w:left="480"/>
              <w:spacing w:after="0"/>
              <w:rPr>
                <w:sz w:val="20"/>
                <w:szCs w:val="20"/>
                <w:color w:val="auto"/>
              </w:rPr>
            </w:pPr>
            <w:r>
              <w:rPr>
                <w:rFonts w:ascii="Arial" w:cs="Arial" w:eastAsia="Arial" w:hAnsi="Arial"/>
                <w:sz w:val="16"/>
                <w:szCs w:val="16"/>
                <w:color w:val="auto"/>
              </w:rPr>
              <w:t>Human Resources</w:t>
            </w:r>
          </w:p>
        </w:tc>
        <w:tc>
          <w:tcPr>
            <w:tcW w:w="2660" w:type="dxa"/>
            <w:vAlign w:val="bottom"/>
          </w:tcPr>
          <w:p>
            <w:pPr>
              <w:ind w:left="380"/>
              <w:spacing w:after="0"/>
              <w:rPr>
                <w:sz w:val="20"/>
                <w:szCs w:val="20"/>
                <w:color w:val="auto"/>
              </w:rPr>
            </w:pPr>
            <w:r>
              <w:rPr>
                <w:rFonts w:ascii="Arial" w:cs="Arial" w:eastAsia="Arial" w:hAnsi="Arial"/>
                <w:sz w:val="16"/>
                <w:szCs w:val="16"/>
                <w:color w:val="auto"/>
              </w:rPr>
              <w:t>President and Treasurer</w:t>
            </w:r>
          </w:p>
        </w:tc>
        <w:tc>
          <w:tcPr>
            <w:tcW w:w="0" w:type="dxa"/>
            <w:vAlign w:val="bottom"/>
          </w:tcPr>
          <w:p>
            <w:pPr>
              <w:spacing w:after="0"/>
              <w:rPr>
                <w:sz w:val="1"/>
                <w:szCs w:val="1"/>
                <w:color w:val="auto"/>
              </w:rPr>
            </w:pPr>
          </w:p>
        </w:tc>
      </w:tr>
      <w:tr>
        <w:trPr>
          <w:trHeight w:val="200"/>
        </w:trPr>
        <w:tc>
          <w:tcPr>
            <w:tcW w:w="2140" w:type="dxa"/>
            <w:vAlign w:val="bottom"/>
          </w:tcPr>
          <w:p>
            <w:pPr>
              <w:spacing w:after="0"/>
              <w:rPr>
                <w:sz w:val="20"/>
                <w:szCs w:val="20"/>
                <w:color w:val="auto"/>
              </w:rPr>
            </w:pPr>
            <w:r>
              <w:rPr>
                <w:rFonts w:ascii="Arial" w:cs="Arial" w:eastAsia="Arial" w:hAnsi="Arial"/>
                <w:sz w:val="16"/>
                <w:szCs w:val="16"/>
                <w:color w:val="auto"/>
              </w:rPr>
              <w:t>Executive Officer</w:t>
            </w:r>
          </w:p>
        </w:tc>
        <w:tc>
          <w:tcPr>
            <w:tcW w:w="2580" w:type="dxa"/>
            <w:vAlign w:val="bottom"/>
          </w:tcPr>
          <w:p>
            <w:pPr>
              <w:spacing w:after="0"/>
              <w:rPr>
                <w:sz w:val="17"/>
                <w:szCs w:val="17"/>
                <w:color w:val="auto"/>
              </w:rPr>
            </w:pPr>
          </w:p>
        </w:tc>
        <w:tc>
          <w:tcPr>
            <w:tcW w:w="2660" w:type="dxa"/>
            <w:vAlign w:val="bottom"/>
          </w:tcPr>
          <w:p>
            <w:pPr>
              <w:ind w:left="380"/>
              <w:spacing w:after="0"/>
              <w:rPr>
                <w:sz w:val="20"/>
                <w:szCs w:val="20"/>
                <w:color w:val="auto"/>
              </w:rPr>
            </w:pPr>
            <w:r>
              <w:rPr>
                <w:rFonts w:ascii="Arial" w:cs="Arial" w:eastAsia="Arial" w:hAnsi="Arial"/>
                <w:sz w:val="16"/>
                <w:szCs w:val="16"/>
                <w:color w:val="auto"/>
              </w:rPr>
              <w:t>Qwest Communications</w:t>
            </w:r>
          </w:p>
        </w:tc>
        <w:tc>
          <w:tcPr>
            <w:tcW w:w="0" w:type="dxa"/>
            <w:vAlign w:val="bottom"/>
          </w:tcPr>
          <w:p>
            <w:pPr>
              <w:spacing w:after="0"/>
              <w:rPr>
                <w:sz w:val="1"/>
                <w:szCs w:val="1"/>
                <w:color w:val="auto"/>
              </w:rPr>
            </w:pPr>
          </w:p>
        </w:tc>
      </w:tr>
      <w:tr>
        <w:trPr>
          <w:trHeight w:val="232"/>
        </w:trPr>
        <w:tc>
          <w:tcPr>
            <w:tcW w:w="2140" w:type="dxa"/>
            <w:vAlign w:val="bottom"/>
            <w:vMerge w:val="restart"/>
          </w:tcPr>
          <w:p>
            <w:pPr>
              <w:spacing w:after="0"/>
              <w:rPr>
                <w:sz w:val="20"/>
                <w:szCs w:val="20"/>
                <w:color w:val="auto"/>
              </w:rPr>
            </w:pPr>
            <w:r>
              <w:rPr>
                <w:rFonts w:ascii="Arial" w:cs="Arial" w:eastAsia="Arial" w:hAnsi="Arial"/>
                <w:sz w:val="19"/>
                <w:szCs w:val="19"/>
                <w:b w:val="1"/>
                <w:bCs w:val="1"/>
                <w:color w:val="auto"/>
              </w:rPr>
              <w:t>Kevin N. Carpenter</w:t>
            </w:r>
          </w:p>
        </w:tc>
        <w:tc>
          <w:tcPr>
            <w:tcW w:w="2580" w:type="dxa"/>
            <w:vAlign w:val="bottom"/>
          </w:tcPr>
          <w:p>
            <w:pPr>
              <w:ind w:left="480"/>
              <w:spacing w:after="0"/>
              <w:rPr>
                <w:sz w:val="20"/>
                <w:szCs w:val="20"/>
                <w:color w:val="auto"/>
              </w:rPr>
            </w:pPr>
            <w:r>
              <w:rPr>
                <w:rFonts w:ascii="Arial" w:cs="Arial" w:eastAsia="Arial" w:hAnsi="Arial"/>
                <w:sz w:val="19"/>
                <w:szCs w:val="19"/>
                <w:b w:val="1"/>
                <w:bCs w:val="1"/>
                <w:color w:val="auto"/>
              </w:rPr>
              <w:t>Peter D. Moeller</w:t>
            </w:r>
          </w:p>
        </w:tc>
        <w:tc>
          <w:tcPr>
            <w:tcW w:w="2660" w:type="dxa"/>
            <w:vAlign w:val="bottom"/>
          </w:tcPr>
          <w:p>
            <w:pPr>
              <w:ind w:left="380"/>
              <w:spacing w:after="0"/>
              <w:rPr>
                <w:sz w:val="20"/>
                <w:szCs w:val="20"/>
                <w:color w:val="auto"/>
              </w:rPr>
            </w:pPr>
            <w:r>
              <w:rPr>
                <w:rFonts w:ascii="Arial" w:cs="Arial" w:eastAsia="Arial" w:hAnsi="Arial"/>
                <w:sz w:val="16"/>
                <w:szCs w:val="16"/>
                <w:color w:val="auto"/>
              </w:rPr>
              <w:t>International Inc.</w:t>
            </w:r>
          </w:p>
        </w:tc>
        <w:tc>
          <w:tcPr>
            <w:tcW w:w="0" w:type="dxa"/>
            <w:vAlign w:val="bottom"/>
          </w:tcPr>
          <w:p>
            <w:pPr>
              <w:spacing w:after="0"/>
              <w:rPr>
                <w:sz w:val="1"/>
                <w:szCs w:val="1"/>
                <w:color w:val="auto"/>
              </w:rPr>
            </w:pPr>
          </w:p>
        </w:tc>
      </w:tr>
      <w:tr>
        <w:trPr>
          <w:trHeight w:val="200"/>
        </w:trPr>
        <w:tc>
          <w:tcPr>
            <w:tcW w:w="2140" w:type="dxa"/>
            <w:vAlign w:val="bottom"/>
            <w:vMerge w:val="continue"/>
          </w:tcPr>
          <w:p>
            <w:pPr>
              <w:spacing w:after="0"/>
              <w:rPr>
                <w:sz w:val="17"/>
                <w:szCs w:val="17"/>
                <w:color w:val="auto"/>
              </w:rPr>
            </w:pPr>
          </w:p>
        </w:tc>
        <w:tc>
          <w:tcPr>
            <w:tcW w:w="2580" w:type="dxa"/>
            <w:vAlign w:val="bottom"/>
          </w:tcPr>
          <w:p>
            <w:pPr>
              <w:ind w:left="480"/>
              <w:spacing w:after="0"/>
              <w:rPr>
                <w:sz w:val="20"/>
                <w:szCs w:val="20"/>
                <w:color w:val="auto"/>
              </w:rPr>
            </w:pPr>
            <w:r>
              <w:rPr>
                <w:rFonts w:ascii="Arial" w:cs="Arial" w:eastAsia="Arial" w:hAnsi="Arial"/>
                <w:sz w:val="16"/>
                <w:szCs w:val="16"/>
                <w:color w:val="auto"/>
              </w:rPr>
              <w:t>Vice President,</w:t>
            </w:r>
          </w:p>
        </w:tc>
        <w:tc>
          <w:tcPr>
            <w:tcW w:w="2660" w:type="dxa"/>
            <w:vAlign w:val="bottom"/>
            <w:vMerge w:val="restart"/>
          </w:tcPr>
          <w:p>
            <w:pPr>
              <w:ind w:left="380"/>
              <w:spacing w:after="0"/>
              <w:rPr>
                <w:sz w:val="20"/>
                <w:szCs w:val="20"/>
                <w:color w:val="auto"/>
              </w:rPr>
            </w:pPr>
            <w:r>
              <w:rPr>
                <w:rFonts w:ascii="Arial" w:cs="Arial" w:eastAsia="Arial" w:hAnsi="Arial"/>
                <w:sz w:val="19"/>
                <w:szCs w:val="19"/>
                <w:color w:val="auto"/>
              </w:rPr>
              <w:t>Gary L. Ellis</w:t>
            </w: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20"/>
                <w:szCs w:val="20"/>
                <w:color w:val="auto"/>
              </w:rPr>
            </w:pPr>
            <w:r>
              <w:rPr>
                <w:rFonts w:ascii="Arial" w:cs="Arial" w:eastAsia="Arial" w:hAnsi="Arial"/>
                <w:sz w:val="16"/>
                <w:szCs w:val="16"/>
                <w:color w:val="auto"/>
              </w:rPr>
              <w:t>Vice President,</w:t>
            </w:r>
          </w:p>
        </w:tc>
        <w:tc>
          <w:tcPr>
            <w:tcW w:w="2580" w:type="dxa"/>
            <w:vAlign w:val="bottom"/>
          </w:tcPr>
          <w:p>
            <w:pPr>
              <w:ind w:left="480"/>
              <w:spacing w:after="0"/>
              <w:rPr>
                <w:sz w:val="20"/>
                <w:szCs w:val="20"/>
                <w:color w:val="auto"/>
              </w:rPr>
            </w:pPr>
            <w:r>
              <w:rPr>
                <w:rFonts w:ascii="Arial" w:cs="Arial" w:eastAsia="Arial" w:hAnsi="Arial"/>
                <w:sz w:val="16"/>
                <w:szCs w:val="16"/>
                <w:color w:val="auto"/>
              </w:rPr>
              <w:t>International</w:t>
            </w:r>
          </w:p>
        </w:tc>
        <w:tc>
          <w:tcPr>
            <w:tcW w:w="2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40" w:type="dxa"/>
            <w:vAlign w:val="bottom"/>
          </w:tcPr>
          <w:p>
            <w:pPr>
              <w:spacing w:after="0"/>
              <w:rPr>
                <w:sz w:val="20"/>
                <w:szCs w:val="20"/>
                <w:color w:val="auto"/>
              </w:rPr>
            </w:pPr>
            <w:r>
              <w:rPr>
                <w:rFonts w:ascii="Arial" w:cs="Arial" w:eastAsia="Arial" w:hAnsi="Arial"/>
                <w:sz w:val="16"/>
                <w:szCs w:val="16"/>
                <w:color w:val="auto"/>
              </w:rPr>
              <w:t>Global Operations and</w:t>
            </w:r>
          </w:p>
        </w:tc>
        <w:tc>
          <w:tcPr>
            <w:tcW w:w="2580" w:type="dxa"/>
            <w:vAlign w:val="bottom"/>
          </w:tcPr>
          <w:p>
            <w:pPr>
              <w:spacing w:after="0"/>
              <w:rPr>
                <w:sz w:val="17"/>
                <w:szCs w:val="17"/>
                <w:color w:val="auto"/>
              </w:rPr>
            </w:pPr>
          </w:p>
        </w:tc>
        <w:tc>
          <w:tcPr>
            <w:tcW w:w="2660" w:type="dxa"/>
            <w:vAlign w:val="bottom"/>
          </w:tcPr>
          <w:p>
            <w:pPr>
              <w:ind w:left="380"/>
              <w:spacing w:after="0"/>
              <w:rPr>
                <w:sz w:val="20"/>
                <w:szCs w:val="20"/>
                <w:color w:val="auto"/>
              </w:rPr>
            </w:pPr>
            <w:r>
              <w:rPr>
                <w:rFonts w:ascii="Arial" w:cs="Arial" w:eastAsia="Arial" w:hAnsi="Arial"/>
                <w:sz w:val="16"/>
                <w:szCs w:val="16"/>
                <w:color w:val="auto"/>
                <w:w w:val="95"/>
              </w:rPr>
              <w:t>Retired, Executive Vice President</w:t>
            </w:r>
          </w:p>
        </w:tc>
        <w:tc>
          <w:tcPr>
            <w:tcW w:w="0" w:type="dxa"/>
            <w:vAlign w:val="bottom"/>
          </w:tcPr>
          <w:p>
            <w:pPr>
              <w:spacing w:after="0"/>
              <w:rPr>
                <w:sz w:val="1"/>
                <w:szCs w:val="1"/>
                <w:color w:val="auto"/>
              </w:rPr>
            </w:pPr>
          </w:p>
        </w:tc>
      </w:tr>
      <w:tr>
        <w:trPr>
          <w:trHeight w:val="225"/>
        </w:trPr>
        <w:tc>
          <w:tcPr>
            <w:tcW w:w="2140" w:type="dxa"/>
            <w:vAlign w:val="bottom"/>
          </w:tcPr>
          <w:p>
            <w:pPr>
              <w:spacing w:after="0"/>
              <w:rPr>
                <w:sz w:val="20"/>
                <w:szCs w:val="20"/>
                <w:color w:val="auto"/>
              </w:rPr>
            </w:pPr>
            <w:r>
              <w:rPr>
                <w:rFonts w:ascii="Arial" w:cs="Arial" w:eastAsia="Arial" w:hAnsi="Arial"/>
                <w:sz w:val="16"/>
                <w:szCs w:val="16"/>
                <w:color w:val="auto"/>
              </w:rPr>
              <w:t>Integrated Supply Chain</w:t>
            </w:r>
          </w:p>
        </w:tc>
        <w:tc>
          <w:tcPr>
            <w:tcW w:w="2580" w:type="dxa"/>
            <w:vAlign w:val="bottom"/>
          </w:tcPr>
          <w:p>
            <w:pPr>
              <w:ind w:left="480"/>
              <w:spacing w:after="0"/>
              <w:rPr>
                <w:sz w:val="20"/>
                <w:szCs w:val="20"/>
                <w:color w:val="auto"/>
              </w:rPr>
            </w:pPr>
            <w:r>
              <w:rPr>
                <w:rFonts w:ascii="Arial" w:cs="Arial" w:eastAsia="Arial" w:hAnsi="Arial"/>
                <w:sz w:val="19"/>
                <w:szCs w:val="19"/>
                <w:b w:val="1"/>
                <w:bCs w:val="1"/>
                <w:color w:val="auto"/>
              </w:rPr>
              <w:t>Renee J. Peterson</w:t>
            </w:r>
          </w:p>
        </w:tc>
        <w:tc>
          <w:tcPr>
            <w:tcW w:w="2660" w:type="dxa"/>
            <w:vAlign w:val="bottom"/>
          </w:tcPr>
          <w:p>
            <w:pPr>
              <w:ind w:left="380"/>
              <w:spacing w:after="0"/>
              <w:rPr>
                <w:sz w:val="20"/>
                <w:szCs w:val="20"/>
                <w:color w:val="auto"/>
              </w:rPr>
            </w:pPr>
            <w:r>
              <w:rPr>
                <w:rFonts w:ascii="Arial" w:cs="Arial" w:eastAsia="Arial" w:hAnsi="Arial"/>
                <w:sz w:val="16"/>
                <w:szCs w:val="16"/>
                <w:color w:val="auto"/>
              </w:rPr>
              <w:t>Medtronic plc</w:t>
            </w:r>
          </w:p>
        </w:tc>
        <w:tc>
          <w:tcPr>
            <w:tcW w:w="0" w:type="dxa"/>
            <w:vAlign w:val="bottom"/>
          </w:tcPr>
          <w:p>
            <w:pPr>
              <w:spacing w:after="0"/>
              <w:rPr>
                <w:sz w:val="1"/>
                <w:szCs w:val="1"/>
                <w:color w:val="auto"/>
              </w:rPr>
            </w:pPr>
          </w:p>
        </w:tc>
      </w:tr>
      <w:tr>
        <w:trPr>
          <w:trHeight w:val="190"/>
        </w:trPr>
        <w:tc>
          <w:tcPr>
            <w:tcW w:w="2140" w:type="dxa"/>
            <w:vAlign w:val="bottom"/>
            <w:vMerge w:val="restart"/>
          </w:tcPr>
          <w:p>
            <w:pPr>
              <w:spacing w:after="0"/>
              <w:rPr>
                <w:sz w:val="20"/>
                <w:szCs w:val="20"/>
                <w:color w:val="auto"/>
              </w:rPr>
            </w:pPr>
            <w:r>
              <w:rPr>
                <w:rFonts w:ascii="Arial" w:cs="Arial" w:eastAsia="Arial" w:hAnsi="Arial"/>
                <w:sz w:val="19"/>
                <w:szCs w:val="19"/>
                <w:b w:val="1"/>
                <w:bCs w:val="1"/>
                <w:color w:val="auto"/>
              </w:rPr>
              <w:t>Jody M. Christy</w:t>
            </w:r>
          </w:p>
        </w:tc>
        <w:tc>
          <w:tcPr>
            <w:tcW w:w="2580" w:type="dxa"/>
            <w:vAlign w:val="bottom"/>
          </w:tcPr>
          <w:p>
            <w:pPr>
              <w:ind w:left="480"/>
              <w:spacing w:after="0"/>
              <w:rPr>
                <w:sz w:val="20"/>
                <w:szCs w:val="20"/>
                <w:color w:val="auto"/>
              </w:rPr>
            </w:pPr>
            <w:r>
              <w:rPr>
                <w:rFonts w:ascii="Arial" w:cs="Arial" w:eastAsia="Arial" w:hAnsi="Arial"/>
                <w:sz w:val="16"/>
                <w:szCs w:val="16"/>
                <w:color w:val="auto"/>
              </w:rPr>
              <w:t>Vice President and</w:t>
            </w: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140" w:type="dxa"/>
            <w:vAlign w:val="bottom"/>
            <w:vMerge w:val="continue"/>
          </w:tcPr>
          <w:p>
            <w:pPr>
              <w:spacing w:after="0"/>
              <w:rPr>
                <w:sz w:val="19"/>
                <w:szCs w:val="19"/>
                <w:color w:val="auto"/>
              </w:rPr>
            </w:pPr>
          </w:p>
        </w:tc>
        <w:tc>
          <w:tcPr>
            <w:tcW w:w="2580" w:type="dxa"/>
            <w:vAlign w:val="bottom"/>
          </w:tcPr>
          <w:p>
            <w:pPr>
              <w:ind w:left="480"/>
              <w:spacing w:after="0"/>
              <w:rPr>
                <w:sz w:val="20"/>
                <w:szCs w:val="20"/>
                <w:color w:val="auto"/>
              </w:rPr>
            </w:pPr>
            <w:r>
              <w:rPr>
                <w:rFonts w:ascii="Arial" w:cs="Arial" w:eastAsia="Arial" w:hAnsi="Arial"/>
                <w:sz w:val="16"/>
                <w:szCs w:val="16"/>
                <w:color w:val="auto"/>
              </w:rPr>
              <w:t>Chief Financial Officer</w:t>
            </w:r>
          </w:p>
        </w:tc>
        <w:tc>
          <w:tcPr>
            <w:tcW w:w="2660" w:type="dxa"/>
            <w:vAlign w:val="bottom"/>
          </w:tcPr>
          <w:p>
            <w:pPr>
              <w:ind w:left="380"/>
              <w:spacing w:after="0"/>
              <w:rPr>
                <w:sz w:val="20"/>
                <w:szCs w:val="20"/>
                <w:color w:val="auto"/>
              </w:rPr>
            </w:pPr>
            <w:r>
              <w:rPr>
                <w:rFonts w:ascii="Arial" w:cs="Arial" w:eastAsia="Arial" w:hAnsi="Arial"/>
                <w:sz w:val="19"/>
                <w:szCs w:val="19"/>
                <w:color w:val="auto"/>
              </w:rPr>
              <w:t>Jeffrey M. Ettinger</w:t>
            </w:r>
          </w:p>
        </w:tc>
        <w:tc>
          <w:tcPr>
            <w:tcW w:w="0" w:type="dxa"/>
            <w:vAlign w:val="bottom"/>
          </w:tcPr>
          <w:p>
            <w:pPr>
              <w:spacing w:after="0"/>
              <w:rPr>
                <w:sz w:val="1"/>
                <w:szCs w:val="1"/>
                <w:color w:val="auto"/>
              </w:rPr>
            </w:pPr>
          </w:p>
        </w:tc>
      </w:tr>
      <w:tr>
        <w:trPr>
          <w:trHeight w:val="199"/>
        </w:trPr>
        <w:tc>
          <w:tcPr>
            <w:tcW w:w="2140" w:type="dxa"/>
            <w:vAlign w:val="bottom"/>
          </w:tcPr>
          <w:p>
            <w:pPr>
              <w:spacing w:after="0" w:line="181" w:lineRule="exact"/>
              <w:rPr>
                <w:sz w:val="20"/>
                <w:szCs w:val="20"/>
                <w:color w:val="auto"/>
              </w:rPr>
            </w:pPr>
            <w:r>
              <w:rPr>
                <w:rFonts w:ascii="Arial" w:cs="Arial" w:eastAsia="Arial" w:hAnsi="Arial"/>
                <w:sz w:val="16"/>
                <w:szCs w:val="16"/>
                <w:color w:val="auto"/>
              </w:rPr>
              <w:t>Vice President, BOSS</w:t>
            </w:r>
          </w:p>
        </w:tc>
        <w:tc>
          <w:tcPr>
            <w:tcW w:w="2580" w:type="dxa"/>
            <w:vAlign w:val="bottom"/>
            <w:vMerge w:val="restart"/>
          </w:tcPr>
          <w:p>
            <w:pPr>
              <w:ind w:left="480"/>
              <w:spacing w:after="0"/>
              <w:rPr>
                <w:sz w:val="20"/>
                <w:szCs w:val="20"/>
                <w:color w:val="auto"/>
              </w:rPr>
            </w:pPr>
            <w:r>
              <w:rPr>
                <w:rFonts w:ascii="Arial" w:cs="Arial" w:eastAsia="Arial" w:hAnsi="Arial"/>
                <w:sz w:val="19"/>
                <w:szCs w:val="19"/>
                <w:b w:val="1"/>
                <w:bCs w:val="1"/>
                <w:color w:val="auto"/>
              </w:rPr>
              <w:t>Darren L. Redetzke</w:t>
            </w:r>
          </w:p>
        </w:tc>
        <w:tc>
          <w:tcPr>
            <w:tcW w:w="2660" w:type="dxa"/>
            <w:vAlign w:val="bottom"/>
          </w:tcPr>
          <w:p>
            <w:pPr>
              <w:ind w:left="380"/>
              <w:spacing w:after="0"/>
              <w:rPr>
                <w:sz w:val="20"/>
                <w:szCs w:val="20"/>
                <w:color w:val="auto"/>
              </w:rPr>
            </w:pPr>
            <w:r>
              <w:rPr>
                <w:rFonts w:ascii="Arial" w:cs="Arial" w:eastAsia="Arial" w:hAnsi="Arial"/>
                <w:sz w:val="16"/>
                <w:szCs w:val="16"/>
                <w:color w:val="auto"/>
              </w:rPr>
              <w:t>Retired, Chairman and</w:t>
            </w:r>
          </w:p>
        </w:tc>
        <w:tc>
          <w:tcPr>
            <w:tcW w:w="0" w:type="dxa"/>
            <w:vAlign w:val="bottom"/>
          </w:tcPr>
          <w:p>
            <w:pPr>
              <w:spacing w:after="0"/>
              <w:rPr>
                <w:sz w:val="1"/>
                <w:szCs w:val="1"/>
                <w:color w:val="auto"/>
              </w:rPr>
            </w:pPr>
          </w:p>
        </w:tc>
      </w:tr>
      <w:tr>
        <w:trPr>
          <w:trHeight w:val="219"/>
        </w:trPr>
        <w:tc>
          <w:tcPr>
            <w:tcW w:w="2140" w:type="dxa"/>
            <w:vAlign w:val="bottom"/>
            <w:vMerge w:val="restart"/>
          </w:tcPr>
          <w:p>
            <w:pPr>
              <w:spacing w:after="0"/>
              <w:rPr>
                <w:sz w:val="20"/>
                <w:szCs w:val="20"/>
                <w:color w:val="auto"/>
              </w:rPr>
            </w:pPr>
            <w:r>
              <w:rPr>
                <w:rFonts w:ascii="Arial" w:cs="Arial" w:eastAsia="Arial" w:hAnsi="Arial"/>
                <w:sz w:val="19"/>
                <w:szCs w:val="19"/>
                <w:b w:val="1"/>
                <w:bCs w:val="1"/>
                <w:color w:val="auto"/>
              </w:rPr>
              <w:t>Amy E. Dahl</w:t>
            </w:r>
          </w:p>
        </w:tc>
        <w:tc>
          <w:tcPr>
            <w:tcW w:w="2580" w:type="dxa"/>
            <w:vAlign w:val="bottom"/>
            <w:vMerge w:val="continue"/>
          </w:tcPr>
          <w:p>
            <w:pPr>
              <w:spacing w:after="0"/>
              <w:rPr>
                <w:sz w:val="19"/>
                <w:szCs w:val="19"/>
                <w:color w:val="auto"/>
              </w:rPr>
            </w:pPr>
          </w:p>
        </w:tc>
        <w:tc>
          <w:tcPr>
            <w:tcW w:w="2660" w:type="dxa"/>
            <w:vAlign w:val="bottom"/>
          </w:tcPr>
          <w:p>
            <w:pPr>
              <w:ind w:left="380"/>
              <w:spacing w:after="0"/>
              <w:rPr>
                <w:sz w:val="20"/>
                <w:szCs w:val="20"/>
                <w:color w:val="auto"/>
              </w:rPr>
            </w:pPr>
            <w:r>
              <w:rPr>
                <w:rFonts w:ascii="Arial" w:cs="Arial" w:eastAsia="Arial" w:hAnsi="Arial"/>
                <w:sz w:val="16"/>
                <w:szCs w:val="16"/>
                <w:color w:val="auto"/>
              </w:rPr>
              <w:t>Chief Executive Officer</w:t>
            </w:r>
          </w:p>
        </w:tc>
        <w:tc>
          <w:tcPr>
            <w:tcW w:w="0" w:type="dxa"/>
            <w:vAlign w:val="bottom"/>
          </w:tcPr>
          <w:p>
            <w:pPr>
              <w:spacing w:after="0"/>
              <w:rPr>
                <w:sz w:val="1"/>
                <w:szCs w:val="1"/>
                <w:color w:val="auto"/>
              </w:rPr>
            </w:pPr>
          </w:p>
        </w:tc>
      </w:tr>
      <w:tr>
        <w:trPr>
          <w:trHeight w:val="200"/>
        </w:trPr>
        <w:tc>
          <w:tcPr>
            <w:tcW w:w="2140" w:type="dxa"/>
            <w:vAlign w:val="bottom"/>
            <w:vMerge w:val="continue"/>
          </w:tcPr>
          <w:p>
            <w:pPr>
              <w:spacing w:after="0"/>
              <w:rPr>
                <w:sz w:val="17"/>
                <w:szCs w:val="17"/>
                <w:color w:val="auto"/>
              </w:rPr>
            </w:pPr>
          </w:p>
        </w:tc>
        <w:tc>
          <w:tcPr>
            <w:tcW w:w="2580" w:type="dxa"/>
            <w:vAlign w:val="bottom"/>
          </w:tcPr>
          <w:p>
            <w:pPr>
              <w:ind w:left="480"/>
              <w:spacing w:after="0"/>
              <w:rPr>
                <w:sz w:val="20"/>
                <w:szCs w:val="20"/>
                <w:color w:val="auto"/>
              </w:rPr>
            </w:pPr>
            <w:r>
              <w:rPr>
                <w:rFonts w:ascii="Arial" w:cs="Arial" w:eastAsia="Arial" w:hAnsi="Arial"/>
                <w:sz w:val="16"/>
                <w:szCs w:val="16"/>
                <w:color w:val="auto"/>
              </w:rPr>
              <w:t>Vice President,</w:t>
            </w:r>
          </w:p>
        </w:tc>
        <w:tc>
          <w:tcPr>
            <w:tcW w:w="2660" w:type="dxa"/>
            <w:vAlign w:val="bottom"/>
          </w:tcPr>
          <w:p>
            <w:pPr>
              <w:ind w:left="380"/>
              <w:spacing w:after="0" w:line="181" w:lineRule="exact"/>
              <w:rPr>
                <w:sz w:val="20"/>
                <w:szCs w:val="20"/>
                <w:color w:val="auto"/>
              </w:rPr>
            </w:pPr>
            <w:r>
              <w:rPr>
                <w:rFonts w:ascii="Arial" w:cs="Arial" w:eastAsia="Arial" w:hAnsi="Arial"/>
                <w:sz w:val="16"/>
                <w:szCs w:val="16"/>
                <w:color w:val="auto"/>
              </w:rPr>
              <w:t>Hormel Foods Corporation</w:t>
            </w:r>
          </w:p>
        </w:tc>
        <w:tc>
          <w:tcPr>
            <w:tcW w:w="0" w:type="dxa"/>
            <w:vAlign w:val="bottom"/>
          </w:tcPr>
          <w:p>
            <w:pPr>
              <w:spacing w:after="0"/>
              <w:rPr>
                <w:sz w:val="1"/>
                <w:szCs w:val="1"/>
                <w:color w:val="auto"/>
              </w:rPr>
            </w:pPr>
          </w:p>
        </w:tc>
      </w:tr>
      <w:tr>
        <w:trPr>
          <w:trHeight w:val="190"/>
        </w:trPr>
        <w:tc>
          <w:tcPr>
            <w:tcW w:w="2140" w:type="dxa"/>
            <w:vAlign w:val="bottom"/>
          </w:tcPr>
          <w:p>
            <w:pPr>
              <w:spacing w:after="0"/>
              <w:rPr>
                <w:sz w:val="20"/>
                <w:szCs w:val="20"/>
                <w:color w:val="auto"/>
              </w:rPr>
            </w:pPr>
            <w:r>
              <w:rPr>
                <w:rFonts w:ascii="Arial" w:cs="Arial" w:eastAsia="Arial" w:hAnsi="Arial"/>
                <w:sz w:val="16"/>
                <w:szCs w:val="16"/>
                <w:color w:val="auto"/>
              </w:rPr>
              <w:t>Vice President,</w:t>
            </w:r>
          </w:p>
        </w:tc>
        <w:tc>
          <w:tcPr>
            <w:tcW w:w="2580" w:type="dxa"/>
            <w:vAlign w:val="bottom"/>
          </w:tcPr>
          <w:p>
            <w:pPr>
              <w:ind w:left="480"/>
              <w:spacing w:after="0"/>
              <w:rPr>
                <w:sz w:val="20"/>
                <w:szCs w:val="20"/>
                <w:color w:val="auto"/>
              </w:rPr>
            </w:pPr>
            <w:r>
              <w:rPr>
                <w:rFonts w:ascii="Arial" w:cs="Arial" w:eastAsia="Arial" w:hAnsi="Arial"/>
                <w:sz w:val="16"/>
                <w:szCs w:val="16"/>
                <w:color w:val="auto"/>
              </w:rPr>
              <w:t>Strategic Technologies</w:t>
            </w: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140" w:type="dxa"/>
            <w:vAlign w:val="bottom"/>
          </w:tcPr>
          <w:p>
            <w:pPr>
              <w:spacing w:after="0"/>
              <w:rPr>
                <w:sz w:val="20"/>
                <w:szCs w:val="20"/>
                <w:color w:val="auto"/>
              </w:rPr>
            </w:pPr>
            <w:r>
              <w:rPr>
                <w:rFonts w:ascii="Arial" w:cs="Arial" w:eastAsia="Arial" w:hAnsi="Arial"/>
                <w:sz w:val="16"/>
                <w:szCs w:val="16"/>
                <w:color w:val="auto"/>
              </w:rPr>
              <w:t>General Counsel and</w:t>
            </w:r>
          </w:p>
        </w:tc>
        <w:tc>
          <w:tcPr>
            <w:tcW w:w="2580" w:type="dxa"/>
            <w:vAlign w:val="bottom"/>
            <w:vMerge w:val="restart"/>
          </w:tcPr>
          <w:p>
            <w:pPr>
              <w:ind w:left="480"/>
              <w:spacing w:after="0"/>
              <w:rPr>
                <w:sz w:val="20"/>
                <w:szCs w:val="20"/>
                <w:color w:val="auto"/>
              </w:rPr>
            </w:pPr>
            <w:r>
              <w:rPr>
                <w:rFonts w:ascii="Arial" w:cs="Arial" w:eastAsia="Arial" w:hAnsi="Arial"/>
                <w:sz w:val="19"/>
                <w:szCs w:val="19"/>
                <w:b w:val="1"/>
                <w:bCs w:val="1"/>
                <w:color w:val="auto"/>
              </w:rPr>
              <w:t>Richard W. Rodier</w:t>
            </w:r>
          </w:p>
        </w:tc>
        <w:tc>
          <w:tcPr>
            <w:tcW w:w="2660" w:type="dxa"/>
            <w:vAlign w:val="bottom"/>
          </w:tcPr>
          <w:p>
            <w:pPr>
              <w:ind w:left="380"/>
              <w:spacing w:after="0"/>
              <w:rPr>
                <w:sz w:val="20"/>
                <w:szCs w:val="20"/>
                <w:color w:val="auto"/>
              </w:rPr>
            </w:pPr>
            <w:r>
              <w:rPr>
                <w:rFonts w:ascii="Arial" w:cs="Arial" w:eastAsia="Arial" w:hAnsi="Arial"/>
                <w:sz w:val="19"/>
                <w:szCs w:val="19"/>
                <w:color w:val="auto"/>
              </w:rPr>
              <w:t>Eric P. Hansotia</w:t>
            </w:r>
          </w:p>
        </w:tc>
        <w:tc>
          <w:tcPr>
            <w:tcW w:w="0" w:type="dxa"/>
            <w:vAlign w:val="bottom"/>
          </w:tcPr>
          <w:p>
            <w:pPr>
              <w:spacing w:after="0"/>
              <w:rPr>
                <w:sz w:val="1"/>
                <w:szCs w:val="1"/>
                <w:color w:val="auto"/>
              </w:rPr>
            </w:pPr>
          </w:p>
        </w:tc>
      </w:tr>
      <w:tr>
        <w:trPr>
          <w:trHeight w:val="218"/>
        </w:trPr>
        <w:tc>
          <w:tcPr>
            <w:tcW w:w="2140" w:type="dxa"/>
            <w:vAlign w:val="bottom"/>
          </w:tcPr>
          <w:p>
            <w:pPr>
              <w:spacing w:after="0" w:line="181" w:lineRule="exact"/>
              <w:rPr>
                <w:sz w:val="20"/>
                <w:szCs w:val="20"/>
                <w:color w:val="auto"/>
              </w:rPr>
            </w:pPr>
            <w:r>
              <w:rPr>
                <w:rFonts w:ascii="Arial" w:cs="Arial" w:eastAsia="Arial" w:hAnsi="Arial"/>
                <w:sz w:val="16"/>
                <w:szCs w:val="16"/>
                <w:color w:val="auto"/>
              </w:rPr>
              <w:t>Corporate Secretary</w:t>
            </w:r>
          </w:p>
        </w:tc>
        <w:tc>
          <w:tcPr>
            <w:tcW w:w="2580" w:type="dxa"/>
            <w:vAlign w:val="bottom"/>
            <w:vMerge w:val="continue"/>
          </w:tcPr>
          <w:p>
            <w:pPr>
              <w:spacing w:after="0"/>
              <w:rPr>
                <w:sz w:val="18"/>
                <w:szCs w:val="18"/>
                <w:color w:val="auto"/>
              </w:rPr>
            </w:pPr>
          </w:p>
        </w:tc>
        <w:tc>
          <w:tcPr>
            <w:tcW w:w="2660" w:type="dxa"/>
            <w:vAlign w:val="bottom"/>
          </w:tcPr>
          <w:p>
            <w:pPr>
              <w:ind w:left="380"/>
              <w:spacing w:after="0"/>
              <w:rPr>
                <w:sz w:val="20"/>
                <w:szCs w:val="20"/>
                <w:color w:val="auto"/>
              </w:rPr>
            </w:pPr>
            <w:r>
              <w:rPr>
                <w:rFonts w:ascii="Arial" w:cs="Arial" w:eastAsia="Arial" w:hAnsi="Arial"/>
                <w:sz w:val="16"/>
                <w:szCs w:val="16"/>
                <w:color w:val="auto"/>
              </w:rPr>
              <w:t>Chairman, President and</w:t>
            </w:r>
          </w:p>
        </w:tc>
        <w:tc>
          <w:tcPr>
            <w:tcW w:w="0" w:type="dxa"/>
            <w:vAlign w:val="bottom"/>
          </w:tcPr>
          <w:p>
            <w:pPr>
              <w:spacing w:after="0"/>
              <w:rPr>
                <w:sz w:val="1"/>
                <w:szCs w:val="1"/>
                <w:color w:val="auto"/>
              </w:rPr>
            </w:pPr>
          </w:p>
        </w:tc>
      </w:tr>
      <w:tr>
        <w:trPr>
          <w:trHeight w:val="190"/>
        </w:trPr>
        <w:tc>
          <w:tcPr>
            <w:tcW w:w="2140" w:type="dxa"/>
            <w:vAlign w:val="bottom"/>
            <w:vMerge w:val="restart"/>
          </w:tcPr>
          <w:p>
            <w:pPr>
              <w:spacing w:after="0"/>
              <w:rPr>
                <w:sz w:val="20"/>
                <w:szCs w:val="20"/>
                <w:color w:val="auto"/>
              </w:rPr>
            </w:pPr>
            <w:r>
              <w:rPr>
                <w:rFonts w:ascii="Arial" w:cs="Arial" w:eastAsia="Arial" w:hAnsi="Arial"/>
                <w:sz w:val="19"/>
                <w:szCs w:val="19"/>
                <w:b w:val="1"/>
                <w:bCs w:val="1"/>
                <w:color w:val="auto"/>
              </w:rPr>
              <w:t>Angela C. Drake</w:t>
            </w:r>
          </w:p>
        </w:tc>
        <w:tc>
          <w:tcPr>
            <w:tcW w:w="2580" w:type="dxa"/>
            <w:vAlign w:val="bottom"/>
          </w:tcPr>
          <w:p>
            <w:pPr>
              <w:ind w:left="480"/>
              <w:spacing w:after="0"/>
              <w:rPr>
                <w:sz w:val="20"/>
                <w:szCs w:val="20"/>
                <w:color w:val="auto"/>
              </w:rPr>
            </w:pPr>
            <w:r>
              <w:rPr>
                <w:rFonts w:ascii="Arial" w:cs="Arial" w:eastAsia="Arial" w:hAnsi="Arial"/>
                <w:sz w:val="16"/>
                <w:szCs w:val="16"/>
                <w:color w:val="auto"/>
              </w:rPr>
              <w:t>Group Vice President,</w:t>
            </w:r>
          </w:p>
        </w:tc>
        <w:tc>
          <w:tcPr>
            <w:tcW w:w="2660" w:type="dxa"/>
            <w:vAlign w:val="bottom"/>
          </w:tcPr>
          <w:p>
            <w:pPr>
              <w:ind w:left="380"/>
              <w:spacing w:after="0"/>
              <w:rPr>
                <w:sz w:val="20"/>
                <w:szCs w:val="20"/>
                <w:color w:val="auto"/>
              </w:rPr>
            </w:pPr>
            <w:r>
              <w:rPr>
                <w:rFonts w:ascii="Arial" w:cs="Arial" w:eastAsia="Arial" w:hAnsi="Arial"/>
                <w:sz w:val="16"/>
                <w:szCs w:val="16"/>
                <w:color w:val="auto"/>
              </w:rPr>
              <w:t>Chief Executive Officer</w:t>
            </w:r>
          </w:p>
        </w:tc>
        <w:tc>
          <w:tcPr>
            <w:tcW w:w="0" w:type="dxa"/>
            <w:vAlign w:val="bottom"/>
          </w:tcPr>
          <w:p>
            <w:pPr>
              <w:spacing w:after="0"/>
              <w:rPr>
                <w:sz w:val="1"/>
                <w:szCs w:val="1"/>
                <w:color w:val="auto"/>
              </w:rPr>
            </w:pPr>
          </w:p>
        </w:tc>
      </w:tr>
      <w:tr>
        <w:trPr>
          <w:trHeight w:val="210"/>
        </w:trPr>
        <w:tc>
          <w:tcPr>
            <w:tcW w:w="2140" w:type="dxa"/>
            <w:vAlign w:val="bottom"/>
            <w:vMerge w:val="continue"/>
          </w:tcPr>
          <w:p>
            <w:pPr>
              <w:spacing w:after="0"/>
              <w:rPr>
                <w:sz w:val="18"/>
                <w:szCs w:val="18"/>
                <w:color w:val="auto"/>
              </w:rPr>
            </w:pPr>
          </w:p>
        </w:tc>
        <w:tc>
          <w:tcPr>
            <w:tcW w:w="2580" w:type="dxa"/>
            <w:vAlign w:val="bottom"/>
          </w:tcPr>
          <w:p>
            <w:pPr>
              <w:ind w:left="480"/>
              <w:spacing w:after="0"/>
              <w:rPr>
                <w:sz w:val="20"/>
                <w:szCs w:val="20"/>
                <w:color w:val="auto"/>
              </w:rPr>
            </w:pPr>
            <w:r>
              <w:rPr>
                <w:rFonts w:ascii="Arial" w:cs="Arial" w:eastAsia="Arial" w:hAnsi="Arial"/>
                <w:sz w:val="16"/>
                <w:szCs w:val="16"/>
                <w:color w:val="auto"/>
              </w:rPr>
              <w:t>Construction Businesses</w:t>
            </w:r>
          </w:p>
        </w:tc>
        <w:tc>
          <w:tcPr>
            <w:tcW w:w="2660" w:type="dxa"/>
            <w:vAlign w:val="bottom"/>
          </w:tcPr>
          <w:p>
            <w:pPr>
              <w:ind w:left="380"/>
              <w:spacing w:after="0"/>
              <w:rPr>
                <w:sz w:val="20"/>
                <w:szCs w:val="20"/>
                <w:color w:val="auto"/>
              </w:rPr>
            </w:pPr>
            <w:r>
              <w:rPr>
                <w:rFonts w:ascii="Arial" w:cs="Arial" w:eastAsia="Arial" w:hAnsi="Arial"/>
                <w:sz w:val="16"/>
                <w:szCs w:val="16"/>
                <w:color w:val="auto"/>
              </w:rPr>
              <w:t>AGCO Corporation</w:t>
            </w:r>
          </w:p>
        </w:tc>
        <w:tc>
          <w:tcPr>
            <w:tcW w:w="0" w:type="dxa"/>
            <w:vAlign w:val="bottom"/>
          </w:tcPr>
          <w:p>
            <w:pPr>
              <w:spacing w:after="0"/>
              <w:rPr>
                <w:sz w:val="1"/>
                <w:szCs w:val="1"/>
                <w:color w:val="auto"/>
              </w:rPr>
            </w:pPr>
          </w:p>
        </w:tc>
      </w:tr>
      <w:tr>
        <w:trPr>
          <w:trHeight w:val="190"/>
        </w:trPr>
        <w:tc>
          <w:tcPr>
            <w:tcW w:w="2140" w:type="dxa"/>
            <w:vAlign w:val="bottom"/>
          </w:tcPr>
          <w:p>
            <w:pPr>
              <w:spacing w:after="0"/>
              <w:rPr>
                <w:sz w:val="20"/>
                <w:szCs w:val="20"/>
                <w:color w:val="auto"/>
              </w:rPr>
            </w:pPr>
            <w:r>
              <w:rPr>
                <w:rFonts w:ascii="Arial" w:cs="Arial" w:eastAsia="Arial" w:hAnsi="Arial"/>
                <w:sz w:val="16"/>
                <w:szCs w:val="16"/>
                <w:color w:val="auto"/>
              </w:rPr>
              <w:t>Vice President, Finance</w:t>
            </w:r>
          </w:p>
        </w:tc>
        <w:tc>
          <w:tcPr>
            <w:tcW w:w="25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vMerge w:val="restart"/>
          </w:tcPr>
          <w:p>
            <w:pPr>
              <w:spacing w:after="0"/>
              <w:rPr>
                <w:sz w:val="20"/>
                <w:szCs w:val="20"/>
                <w:color w:val="auto"/>
              </w:rPr>
            </w:pPr>
            <w:r>
              <w:rPr>
                <w:rFonts w:ascii="Arial" w:cs="Arial" w:eastAsia="Arial" w:hAnsi="Arial"/>
                <w:sz w:val="19"/>
                <w:szCs w:val="19"/>
                <w:b w:val="1"/>
                <w:bCs w:val="1"/>
                <w:color w:val="auto"/>
              </w:rPr>
              <w:t>Edric C. Funk</w:t>
            </w:r>
          </w:p>
        </w:tc>
        <w:tc>
          <w:tcPr>
            <w:tcW w:w="2580" w:type="dxa"/>
            <w:vAlign w:val="bottom"/>
          </w:tcPr>
          <w:p>
            <w:pPr>
              <w:ind w:left="480"/>
              <w:spacing w:after="0"/>
              <w:rPr>
                <w:sz w:val="20"/>
                <w:szCs w:val="20"/>
                <w:color w:val="auto"/>
              </w:rPr>
            </w:pPr>
            <w:r>
              <w:rPr>
                <w:rFonts w:ascii="Arial" w:cs="Arial" w:eastAsia="Arial" w:hAnsi="Arial"/>
                <w:sz w:val="19"/>
                <w:szCs w:val="19"/>
                <w:b w:val="1"/>
                <w:bCs w:val="1"/>
                <w:color w:val="auto"/>
              </w:rPr>
              <w:t>Kurt D. Svendsen</w:t>
            </w:r>
          </w:p>
        </w:tc>
        <w:tc>
          <w:tcPr>
            <w:tcW w:w="2660" w:type="dxa"/>
            <w:vAlign w:val="bottom"/>
          </w:tcPr>
          <w:p>
            <w:pPr>
              <w:ind w:left="380"/>
              <w:spacing w:after="0"/>
              <w:rPr>
                <w:sz w:val="20"/>
                <w:szCs w:val="20"/>
                <w:color w:val="auto"/>
              </w:rPr>
            </w:pPr>
            <w:r>
              <w:rPr>
                <w:rFonts w:ascii="Arial" w:cs="Arial" w:eastAsia="Arial" w:hAnsi="Arial"/>
                <w:sz w:val="19"/>
                <w:szCs w:val="19"/>
                <w:color w:val="auto"/>
              </w:rPr>
              <w:t>Katherine J. Harless</w:t>
            </w:r>
          </w:p>
        </w:tc>
        <w:tc>
          <w:tcPr>
            <w:tcW w:w="0" w:type="dxa"/>
            <w:vAlign w:val="bottom"/>
          </w:tcPr>
          <w:p>
            <w:pPr>
              <w:spacing w:after="0"/>
              <w:rPr>
                <w:sz w:val="1"/>
                <w:szCs w:val="1"/>
                <w:color w:val="auto"/>
              </w:rPr>
            </w:pPr>
          </w:p>
        </w:tc>
      </w:tr>
      <w:tr>
        <w:trPr>
          <w:trHeight w:val="200"/>
        </w:trPr>
        <w:tc>
          <w:tcPr>
            <w:tcW w:w="2140" w:type="dxa"/>
            <w:vAlign w:val="bottom"/>
            <w:vMerge w:val="continue"/>
          </w:tcPr>
          <w:p>
            <w:pPr>
              <w:spacing w:after="0"/>
              <w:rPr>
                <w:sz w:val="17"/>
                <w:szCs w:val="17"/>
                <w:color w:val="auto"/>
              </w:rPr>
            </w:pPr>
          </w:p>
        </w:tc>
        <w:tc>
          <w:tcPr>
            <w:tcW w:w="2580" w:type="dxa"/>
            <w:vAlign w:val="bottom"/>
          </w:tcPr>
          <w:p>
            <w:pPr>
              <w:ind w:left="480"/>
              <w:spacing w:after="0"/>
              <w:rPr>
                <w:sz w:val="20"/>
                <w:szCs w:val="20"/>
                <w:color w:val="auto"/>
              </w:rPr>
            </w:pPr>
            <w:r>
              <w:rPr>
                <w:rFonts w:ascii="Arial" w:cs="Arial" w:eastAsia="Arial" w:hAnsi="Arial"/>
                <w:sz w:val="16"/>
                <w:szCs w:val="16"/>
                <w:color w:val="auto"/>
              </w:rPr>
              <w:t>Vice President,</w:t>
            </w:r>
          </w:p>
        </w:tc>
        <w:tc>
          <w:tcPr>
            <w:tcW w:w="2660" w:type="dxa"/>
            <w:vAlign w:val="bottom"/>
          </w:tcPr>
          <w:p>
            <w:pPr>
              <w:ind w:left="380"/>
              <w:spacing w:after="0"/>
              <w:rPr>
                <w:sz w:val="20"/>
                <w:szCs w:val="20"/>
                <w:color w:val="auto"/>
              </w:rPr>
            </w:pPr>
            <w:r>
              <w:rPr>
                <w:rFonts w:ascii="Arial" w:cs="Arial" w:eastAsia="Arial" w:hAnsi="Arial"/>
                <w:sz w:val="16"/>
                <w:szCs w:val="16"/>
                <w:color w:val="auto"/>
              </w:rPr>
              <w:t>Retired, President and</w:t>
            </w:r>
          </w:p>
        </w:tc>
        <w:tc>
          <w:tcPr>
            <w:tcW w:w="0" w:type="dxa"/>
            <w:vAlign w:val="bottom"/>
          </w:tcPr>
          <w:p>
            <w:pPr>
              <w:spacing w:after="0"/>
              <w:rPr>
                <w:sz w:val="1"/>
                <w:szCs w:val="1"/>
                <w:color w:val="auto"/>
              </w:rPr>
            </w:pPr>
          </w:p>
        </w:tc>
      </w:tr>
      <w:tr>
        <w:trPr>
          <w:trHeight w:val="193"/>
        </w:trPr>
        <w:tc>
          <w:tcPr>
            <w:tcW w:w="2140" w:type="dxa"/>
            <w:vAlign w:val="bottom"/>
          </w:tcPr>
          <w:p>
            <w:pPr>
              <w:spacing w:after="0"/>
              <w:rPr>
                <w:sz w:val="20"/>
                <w:szCs w:val="20"/>
                <w:color w:val="auto"/>
              </w:rPr>
            </w:pPr>
            <w:r>
              <w:rPr>
                <w:rFonts w:ascii="Arial" w:cs="Arial" w:eastAsia="Arial" w:hAnsi="Arial"/>
                <w:sz w:val="16"/>
                <w:szCs w:val="16"/>
                <w:color w:val="auto"/>
              </w:rPr>
              <w:t>Group Vice President,</w:t>
            </w:r>
          </w:p>
        </w:tc>
        <w:tc>
          <w:tcPr>
            <w:tcW w:w="2580" w:type="dxa"/>
            <w:vAlign w:val="bottom"/>
          </w:tcPr>
          <w:p>
            <w:pPr>
              <w:ind w:left="480"/>
              <w:spacing w:after="0"/>
              <w:rPr>
                <w:sz w:val="20"/>
                <w:szCs w:val="20"/>
                <w:color w:val="auto"/>
              </w:rPr>
            </w:pPr>
            <w:r>
              <w:rPr>
                <w:rFonts w:ascii="Arial" w:cs="Arial" w:eastAsia="Arial" w:hAnsi="Arial"/>
                <w:sz w:val="16"/>
                <w:szCs w:val="16"/>
                <w:color w:val="auto"/>
              </w:rPr>
              <w:t>Strategy, Corporate and</w:t>
            </w:r>
          </w:p>
        </w:tc>
        <w:tc>
          <w:tcPr>
            <w:tcW w:w="2660" w:type="dxa"/>
            <w:vAlign w:val="bottom"/>
          </w:tcPr>
          <w:p>
            <w:pPr>
              <w:ind w:left="380"/>
              <w:spacing w:after="0"/>
              <w:rPr>
                <w:sz w:val="20"/>
                <w:szCs w:val="20"/>
                <w:color w:val="auto"/>
              </w:rPr>
            </w:pPr>
            <w:r>
              <w:rPr>
                <w:rFonts w:ascii="Arial" w:cs="Arial" w:eastAsia="Arial" w:hAnsi="Arial"/>
                <w:sz w:val="16"/>
                <w:szCs w:val="16"/>
                <w:color w:val="auto"/>
              </w:rPr>
              <w:t>Chief Executive Officer</w:t>
            </w:r>
          </w:p>
        </w:tc>
        <w:tc>
          <w:tcPr>
            <w:tcW w:w="0" w:type="dxa"/>
            <w:vAlign w:val="bottom"/>
          </w:tcPr>
          <w:p>
            <w:pPr>
              <w:spacing w:after="0"/>
              <w:rPr>
                <w:sz w:val="1"/>
                <w:szCs w:val="1"/>
                <w:color w:val="auto"/>
              </w:rPr>
            </w:pPr>
          </w:p>
        </w:tc>
      </w:tr>
      <w:tr>
        <w:trPr>
          <w:trHeight w:val="200"/>
        </w:trPr>
        <w:tc>
          <w:tcPr>
            <w:tcW w:w="2140" w:type="dxa"/>
            <w:vAlign w:val="bottom"/>
          </w:tcPr>
          <w:p>
            <w:pPr>
              <w:spacing w:after="0"/>
              <w:rPr>
                <w:sz w:val="20"/>
                <w:szCs w:val="20"/>
                <w:color w:val="auto"/>
              </w:rPr>
            </w:pPr>
            <w:r>
              <w:rPr>
                <w:rFonts w:ascii="Arial" w:cs="Arial" w:eastAsia="Arial" w:hAnsi="Arial"/>
                <w:sz w:val="16"/>
                <w:szCs w:val="16"/>
                <w:color w:val="auto"/>
              </w:rPr>
              <w:t>Golf, Grounds and</w:t>
            </w:r>
          </w:p>
        </w:tc>
        <w:tc>
          <w:tcPr>
            <w:tcW w:w="2580" w:type="dxa"/>
            <w:vAlign w:val="bottom"/>
          </w:tcPr>
          <w:p>
            <w:pPr>
              <w:ind w:left="480"/>
              <w:spacing w:after="0"/>
              <w:rPr>
                <w:sz w:val="20"/>
                <w:szCs w:val="20"/>
                <w:color w:val="auto"/>
              </w:rPr>
            </w:pPr>
            <w:r>
              <w:rPr>
                <w:rFonts w:ascii="Arial" w:cs="Arial" w:eastAsia="Arial" w:hAnsi="Arial"/>
                <w:sz w:val="16"/>
                <w:szCs w:val="16"/>
                <w:color w:val="auto"/>
              </w:rPr>
              <w:t>Channel Development</w:t>
            </w:r>
          </w:p>
        </w:tc>
        <w:tc>
          <w:tcPr>
            <w:tcW w:w="2660" w:type="dxa"/>
            <w:vAlign w:val="bottom"/>
          </w:tcPr>
          <w:p>
            <w:pPr>
              <w:ind w:left="380"/>
              <w:spacing w:after="0"/>
              <w:rPr>
                <w:sz w:val="20"/>
                <w:szCs w:val="20"/>
                <w:color w:val="auto"/>
              </w:rPr>
            </w:pPr>
            <w:r>
              <w:rPr>
                <w:rFonts w:ascii="Arial" w:cs="Arial" w:eastAsia="Arial" w:hAnsi="Arial"/>
                <w:sz w:val="16"/>
                <w:szCs w:val="16"/>
                <w:color w:val="auto"/>
              </w:rPr>
              <w:t>Idearc Inc.</w:t>
            </w:r>
          </w:p>
        </w:tc>
        <w:tc>
          <w:tcPr>
            <w:tcW w:w="0" w:type="dxa"/>
            <w:vAlign w:val="bottom"/>
          </w:tcPr>
          <w:p>
            <w:pPr>
              <w:spacing w:after="0"/>
              <w:rPr>
                <w:sz w:val="1"/>
                <w:szCs w:val="1"/>
                <w:color w:val="auto"/>
              </w:rPr>
            </w:pPr>
          </w:p>
        </w:tc>
      </w:tr>
      <w:tr>
        <w:trPr>
          <w:trHeight w:val="197"/>
        </w:trPr>
        <w:tc>
          <w:tcPr>
            <w:tcW w:w="2140" w:type="dxa"/>
            <w:vAlign w:val="bottom"/>
          </w:tcPr>
          <w:p>
            <w:pPr>
              <w:spacing w:after="0"/>
              <w:rPr>
                <w:sz w:val="20"/>
                <w:szCs w:val="20"/>
                <w:color w:val="auto"/>
              </w:rPr>
            </w:pPr>
            <w:r>
              <w:rPr>
                <w:rFonts w:ascii="Arial" w:cs="Arial" w:eastAsia="Arial" w:hAnsi="Arial"/>
                <w:sz w:val="16"/>
                <w:szCs w:val="16"/>
                <w:color w:val="auto"/>
              </w:rPr>
              <w:t>Irrigation Businesses</w:t>
            </w:r>
          </w:p>
        </w:tc>
        <w:tc>
          <w:tcPr>
            <w:tcW w:w="25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140" w:type="dxa"/>
            <w:vAlign w:val="bottom"/>
            <w:vMerge w:val="restart"/>
          </w:tcPr>
          <w:p>
            <w:pPr>
              <w:spacing w:after="0"/>
              <w:rPr>
                <w:sz w:val="20"/>
                <w:szCs w:val="20"/>
                <w:color w:val="auto"/>
              </w:rPr>
            </w:pPr>
            <w:r>
              <w:rPr>
                <w:rFonts w:ascii="Arial" w:cs="Arial" w:eastAsia="Arial" w:hAnsi="Arial"/>
                <w:sz w:val="19"/>
                <w:szCs w:val="19"/>
                <w:b w:val="1"/>
                <w:bCs w:val="1"/>
                <w:color w:val="auto"/>
              </w:rPr>
              <w:t>Blake M. Grams</w:t>
            </w:r>
          </w:p>
        </w:tc>
        <w:tc>
          <w:tcPr>
            <w:tcW w:w="2580" w:type="dxa"/>
            <w:vAlign w:val="bottom"/>
          </w:tcPr>
          <w:p>
            <w:pPr>
              <w:ind w:left="480"/>
              <w:spacing w:after="0"/>
              <w:rPr>
                <w:sz w:val="20"/>
                <w:szCs w:val="20"/>
                <w:color w:val="auto"/>
              </w:rPr>
            </w:pPr>
            <w:r>
              <w:rPr>
                <w:rFonts w:ascii="Arial" w:cs="Arial" w:eastAsia="Arial" w:hAnsi="Arial"/>
                <w:sz w:val="19"/>
                <w:szCs w:val="19"/>
                <w:b w:val="1"/>
                <w:bCs w:val="1"/>
                <w:color w:val="auto"/>
              </w:rPr>
              <w:t>Daryn A. Walters</w:t>
            </w:r>
          </w:p>
        </w:tc>
        <w:tc>
          <w:tcPr>
            <w:tcW w:w="2660" w:type="dxa"/>
            <w:vAlign w:val="bottom"/>
          </w:tcPr>
          <w:p>
            <w:pPr>
              <w:ind w:left="380"/>
              <w:spacing w:after="0"/>
              <w:rPr>
                <w:sz w:val="20"/>
                <w:szCs w:val="20"/>
                <w:color w:val="auto"/>
              </w:rPr>
            </w:pPr>
            <w:r>
              <w:rPr>
                <w:rFonts w:ascii="Arial" w:cs="Arial" w:eastAsia="Arial" w:hAnsi="Arial"/>
                <w:sz w:val="19"/>
                <w:szCs w:val="19"/>
                <w:color w:val="auto"/>
              </w:rPr>
              <w:t>Jeffrey L. Harmening</w:t>
            </w:r>
          </w:p>
        </w:tc>
        <w:tc>
          <w:tcPr>
            <w:tcW w:w="0" w:type="dxa"/>
            <w:vAlign w:val="bottom"/>
          </w:tcPr>
          <w:p>
            <w:pPr>
              <w:spacing w:after="0"/>
              <w:rPr>
                <w:sz w:val="1"/>
                <w:szCs w:val="1"/>
                <w:color w:val="auto"/>
              </w:rPr>
            </w:pPr>
          </w:p>
        </w:tc>
      </w:tr>
      <w:tr>
        <w:trPr>
          <w:trHeight w:val="197"/>
        </w:trPr>
        <w:tc>
          <w:tcPr>
            <w:tcW w:w="2140" w:type="dxa"/>
            <w:vAlign w:val="bottom"/>
            <w:vMerge w:val="continue"/>
          </w:tcPr>
          <w:p>
            <w:pPr>
              <w:spacing w:after="0"/>
              <w:rPr>
                <w:sz w:val="17"/>
                <w:szCs w:val="17"/>
                <w:color w:val="auto"/>
              </w:rPr>
            </w:pPr>
          </w:p>
        </w:tc>
        <w:tc>
          <w:tcPr>
            <w:tcW w:w="2580" w:type="dxa"/>
            <w:vAlign w:val="bottom"/>
          </w:tcPr>
          <w:p>
            <w:pPr>
              <w:ind w:left="480"/>
              <w:spacing w:after="0"/>
              <w:rPr>
                <w:sz w:val="20"/>
                <w:szCs w:val="20"/>
                <w:color w:val="auto"/>
              </w:rPr>
            </w:pPr>
            <w:r>
              <w:rPr>
                <w:rFonts w:ascii="Arial" w:cs="Arial" w:eastAsia="Arial" w:hAnsi="Arial"/>
                <w:sz w:val="16"/>
                <w:szCs w:val="16"/>
                <w:color w:val="auto"/>
              </w:rPr>
              <w:t>Vice President,</w:t>
            </w:r>
          </w:p>
        </w:tc>
        <w:tc>
          <w:tcPr>
            <w:tcW w:w="2660" w:type="dxa"/>
            <w:vAlign w:val="bottom"/>
          </w:tcPr>
          <w:p>
            <w:pPr>
              <w:ind w:left="380"/>
              <w:spacing w:after="0"/>
              <w:rPr>
                <w:sz w:val="20"/>
                <w:szCs w:val="20"/>
                <w:color w:val="auto"/>
              </w:rPr>
            </w:pPr>
            <w:r>
              <w:rPr>
                <w:rFonts w:ascii="Arial" w:cs="Arial" w:eastAsia="Arial" w:hAnsi="Arial"/>
                <w:sz w:val="16"/>
                <w:szCs w:val="16"/>
                <w:color w:val="auto"/>
              </w:rPr>
              <w:t>Chairman and Chief</w:t>
            </w:r>
          </w:p>
        </w:tc>
        <w:tc>
          <w:tcPr>
            <w:tcW w:w="0" w:type="dxa"/>
            <w:vAlign w:val="bottom"/>
          </w:tcPr>
          <w:p>
            <w:pPr>
              <w:spacing w:after="0"/>
              <w:rPr>
                <w:sz w:val="1"/>
                <w:szCs w:val="1"/>
                <w:color w:val="auto"/>
              </w:rPr>
            </w:pPr>
          </w:p>
        </w:tc>
      </w:tr>
      <w:tr>
        <w:trPr>
          <w:trHeight w:val="200"/>
        </w:trPr>
        <w:tc>
          <w:tcPr>
            <w:tcW w:w="2140" w:type="dxa"/>
            <w:vAlign w:val="bottom"/>
          </w:tcPr>
          <w:p>
            <w:pPr>
              <w:spacing w:after="0"/>
              <w:rPr>
                <w:sz w:val="20"/>
                <w:szCs w:val="20"/>
                <w:color w:val="auto"/>
              </w:rPr>
            </w:pPr>
            <w:r>
              <w:rPr>
                <w:rFonts w:ascii="Arial" w:cs="Arial" w:eastAsia="Arial" w:hAnsi="Arial"/>
                <w:sz w:val="16"/>
                <w:szCs w:val="16"/>
                <w:color w:val="auto"/>
              </w:rPr>
              <w:t>Vice President,</w:t>
            </w:r>
          </w:p>
        </w:tc>
        <w:tc>
          <w:tcPr>
            <w:tcW w:w="2580" w:type="dxa"/>
            <w:vAlign w:val="bottom"/>
          </w:tcPr>
          <w:p>
            <w:pPr>
              <w:ind w:left="480"/>
              <w:spacing w:after="0"/>
              <w:rPr>
                <w:sz w:val="20"/>
                <w:szCs w:val="20"/>
                <w:color w:val="auto"/>
              </w:rPr>
            </w:pPr>
            <w:r>
              <w:rPr>
                <w:rFonts w:ascii="Arial" w:cs="Arial" w:eastAsia="Arial" w:hAnsi="Arial"/>
                <w:sz w:val="16"/>
                <w:szCs w:val="16"/>
                <w:color w:val="auto"/>
              </w:rPr>
              <w:t>Exmark and</w:t>
            </w:r>
          </w:p>
        </w:tc>
        <w:tc>
          <w:tcPr>
            <w:tcW w:w="2660" w:type="dxa"/>
            <w:vAlign w:val="bottom"/>
          </w:tcPr>
          <w:p>
            <w:pPr>
              <w:ind w:left="380"/>
              <w:spacing w:after="0"/>
              <w:rPr>
                <w:sz w:val="20"/>
                <w:szCs w:val="20"/>
                <w:color w:val="auto"/>
              </w:rPr>
            </w:pPr>
            <w:r>
              <w:rPr>
                <w:rFonts w:ascii="Arial" w:cs="Arial" w:eastAsia="Arial" w:hAnsi="Arial"/>
                <w:sz w:val="16"/>
                <w:szCs w:val="16"/>
                <w:color w:val="auto"/>
              </w:rPr>
              <w:t>Executive Officer</w:t>
            </w:r>
          </w:p>
        </w:tc>
        <w:tc>
          <w:tcPr>
            <w:tcW w:w="0" w:type="dxa"/>
            <w:vAlign w:val="bottom"/>
          </w:tcPr>
          <w:p>
            <w:pPr>
              <w:spacing w:after="0"/>
              <w:rPr>
                <w:sz w:val="1"/>
                <w:szCs w:val="1"/>
                <w:color w:val="auto"/>
              </w:rPr>
            </w:pPr>
          </w:p>
        </w:tc>
      </w:tr>
      <w:tr>
        <w:trPr>
          <w:trHeight w:val="200"/>
        </w:trPr>
        <w:tc>
          <w:tcPr>
            <w:tcW w:w="2140" w:type="dxa"/>
            <w:vAlign w:val="bottom"/>
          </w:tcPr>
          <w:p>
            <w:pPr>
              <w:spacing w:after="0"/>
              <w:rPr>
                <w:sz w:val="20"/>
                <w:szCs w:val="20"/>
                <w:color w:val="auto"/>
              </w:rPr>
            </w:pPr>
            <w:r>
              <w:rPr>
                <w:rFonts w:ascii="Arial" w:cs="Arial" w:eastAsia="Arial" w:hAnsi="Arial"/>
                <w:sz w:val="16"/>
                <w:szCs w:val="16"/>
                <w:color w:val="auto"/>
              </w:rPr>
              <w:t>Sustainability, Business</w:t>
            </w:r>
          </w:p>
        </w:tc>
        <w:tc>
          <w:tcPr>
            <w:tcW w:w="2580" w:type="dxa"/>
            <w:vAlign w:val="bottom"/>
          </w:tcPr>
          <w:p>
            <w:pPr>
              <w:ind w:left="480"/>
              <w:spacing w:after="0"/>
              <w:rPr>
                <w:sz w:val="20"/>
                <w:szCs w:val="20"/>
                <w:color w:val="auto"/>
              </w:rPr>
            </w:pPr>
            <w:r>
              <w:rPr>
                <w:rFonts w:ascii="Arial" w:cs="Arial" w:eastAsia="Arial" w:hAnsi="Arial"/>
                <w:sz w:val="16"/>
                <w:szCs w:val="16"/>
                <w:color w:val="auto"/>
              </w:rPr>
              <w:t>Intimidator Group</w:t>
            </w:r>
          </w:p>
        </w:tc>
        <w:tc>
          <w:tcPr>
            <w:tcW w:w="2660" w:type="dxa"/>
            <w:vAlign w:val="bottom"/>
          </w:tcPr>
          <w:p>
            <w:pPr>
              <w:ind w:left="380"/>
              <w:spacing w:after="0"/>
              <w:rPr>
                <w:sz w:val="20"/>
                <w:szCs w:val="20"/>
                <w:color w:val="auto"/>
              </w:rPr>
            </w:pPr>
            <w:r>
              <w:rPr>
                <w:rFonts w:ascii="Arial" w:cs="Arial" w:eastAsia="Arial" w:hAnsi="Arial"/>
                <w:sz w:val="16"/>
                <w:szCs w:val="16"/>
                <w:color w:val="auto"/>
              </w:rPr>
              <w:t>General Mills, Inc.</w:t>
            </w:r>
          </w:p>
        </w:tc>
        <w:tc>
          <w:tcPr>
            <w:tcW w:w="0" w:type="dxa"/>
            <w:vAlign w:val="bottom"/>
          </w:tcPr>
          <w:p>
            <w:pPr>
              <w:spacing w:after="0"/>
              <w:rPr>
                <w:sz w:val="1"/>
                <w:szCs w:val="1"/>
                <w:color w:val="auto"/>
              </w:rPr>
            </w:pPr>
          </w:p>
        </w:tc>
      </w:tr>
      <w:tr>
        <w:trPr>
          <w:trHeight w:val="190"/>
        </w:trPr>
        <w:tc>
          <w:tcPr>
            <w:tcW w:w="2140" w:type="dxa"/>
            <w:vAlign w:val="bottom"/>
          </w:tcPr>
          <w:p>
            <w:pPr>
              <w:spacing w:after="0"/>
              <w:rPr>
                <w:sz w:val="20"/>
                <w:szCs w:val="20"/>
                <w:color w:val="auto"/>
              </w:rPr>
            </w:pPr>
            <w:r>
              <w:rPr>
                <w:rFonts w:ascii="Arial" w:cs="Arial" w:eastAsia="Arial" w:hAnsi="Arial"/>
                <w:sz w:val="16"/>
                <w:szCs w:val="16"/>
                <w:color w:val="auto"/>
              </w:rPr>
              <w:t>Analytics and Process</w:t>
            </w:r>
          </w:p>
        </w:tc>
        <w:tc>
          <w:tcPr>
            <w:tcW w:w="25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Improvement</w:t>
      </w:r>
    </w:p>
    <w:p>
      <w:pPr>
        <w:ind w:left="5080"/>
        <w:spacing w:after="0" w:line="235" w:lineRule="auto"/>
        <w:rPr>
          <w:sz w:val="20"/>
          <w:szCs w:val="20"/>
          <w:color w:val="auto"/>
        </w:rPr>
      </w:pPr>
      <w:r>
        <w:rPr>
          <w:rFonts w:ascii="Arial" w:cs="Arial" w:eastAsia="Arial" w:hAnsi="Arial"/>
          <w:sz w:val="16"/>
          <w:szCs w:val="16"/>
          <w:color w:val="auto"/>
        </w:rPr>
        <w:t>*Lead Independent Director</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Gregory S. Janey</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Group Vice President,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Contractor and Residential</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Businesses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 Christian Koch</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Chairman, President and</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Carlisle Companies Incorporated</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Joyce A. Mullen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President and</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Insight North America</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Richard M. Olson</w:t>
      </w:r>
    </w:p>
    <w:p>
      <w:pPr>
        <w:spacing w:after="0" w:line="1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Chairman of the Board, President and Chief Executive Officer The Toro Company</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James C. O’Rourke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President and</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The Mosaic Company</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Jill M. Pemberton</w:t>
      </w:r>
    </w:p>
    <w:p>
      <w:pPr>
        <w:spacing w:after="0" w:line="11" w:lineRule="exact"/>
        <w:rPr>
          <w:sz w:val="20"/>
          <w:szCs w:val="20"/>
          <w:color w:val="auto"/>
        </w:rPr>
      </w:pPr>
    </w:p>
    <w:p>
      <w:pPr>
        <w:ind w:right="760"/>
        <w:spacing w:after="0" w:line="281" w:lineRule="auto"/>
        <w:rPr>
          <w:sz w:val="20"/>
          <w:szCs w:val="20"/>
          <w:color w:val="auto"/>
        </w:rPr>
      </w:pPr>
      <w:r>
        <w:rPr>
          <w:rFonts w:ascii="Arial" w:cs="Arial" w:eastAsia="Arial" w:hAnsi="Arial"/>
          <w:sz w:val="15"/>
          <w:szCs w:val="15"/>
          <w:color w:val="auto"/>
        </w:rPr>
        <w:t>Chief Financial Officer, North America LVMH Moët Hennessy Louis Vuitton</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Michael G. Vale, Ph.D.</w:t>
      </w:r>
    </w:p>
    <w:p>
      <w:pPr>
        <w:spacing w:after="0" w:line="11" w:lineRule="exact"/>
        <w:rPr>
          <w:sz w:val="20"/>
          <w:szCs w:val="20"/>
          <w:color w:val="auto"/>
        </w:rPr>
      </w:pPr>
    </w:p>
    <w:p>
      <w:pPr>
        <w:ind w:right="860"/>
        <w:spacing w:after="0" w:line="283" w:lineRule="auto"/>
        <w:rPr>
          <w:sz w:val="20"/>
          <w:szCs w:val="20"/>
          <w:color w:val="auto"/>
        </w:rPr>
      </w:pPr>
      <w:r>
        <w:rPr>
          <w:rFonts w:ascii="Arial" w:cs="Arial" w:eastAsia="Arial" w:hAnsi="Arial"/>
          <w:sz w:val="15"/>
          <w:szCs w:val="15"/>
          <w:color w:val="auto"/>
        </w:rPr>
        <w:t>Group President, Safety and Industrial 3M Company</w:t>
      </w:r>
    </w:p>
    <w:p>
      <w:pPr>
        <w:spacing w:after="0" w:line="2096" w:lineRule="exact"/>
        <w:rPr>
          <w:sz w:val="20"/>
          <w:szCs w:val="20"/>
          <w:color w:val="auto"/>
        </w:rPr>
      </w:pPr>
    </w:p>
    <w:p>
      <w:pPr>
        <w:sectPr>
          <w:pgSz w:w="11880" w:h="15480" w:orient="portrait"/>
          <w:cols w:equalWidth="0" w:num="2">
            <w:col w:w="7380" w:space="280"/>
            <w:col w:w="2300"/>
          </w:cols>
          <w:pgMar w:left="900" w:top="681" w:right="1020" w:bottom="144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Shareholder Assistance</w:t>
      </w:r>
    </w:p>
    <w:p>
      <w:pPr>
        <w:spacing w:after="0" w:line="24" w:lineRule="exact"/>
        <w:rPr>
          <w:sz w:val="20"/>
          <w:szCs w:val="20"/>
          <w:color w:val="auto"/>
        </w:rPr>
      </w:pPr>
    </w:p>
    <w:p>
      <w:pPr>
        <w:ind w:right="880"/>
        <w:spacing w:after="0" w:line="260" w:lineRule="auto"/>
        <w:rPr>
          <w:sz w:val="20"/>
          <w:szCs w:val="20"/>
          <w:color w:val="auto"/>
        </w:rPr>
      </w:pPr>
      <w:r>
        <w:rPr>
          <w:rFonts w:ascii="Arial" w:cs="Arial" w:eastAsia="Arial" w:hAnsi="Arial"/>
          <w:sz w:val="19"/>
          <w:szCs w:val="19"/>
          <w:color w:val="auto"/>
        </w:rPr>
        <w:t>Communications concerning The Toro Company stock, including shareholder change of address, certificate replacement, share transfer requirements, the direct stock purchase plan, dividends, the dividend reinvestment plan and similar matters should be directed to our transfer agent at:</w:t>
      </w:r>
    </w:p>
    <w:p>
      <w:pPr>
        <w:spacing w:after="0" w:line="4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Broadridge Shareholder Services</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9"/>
          <w:szCs w:val="19"/>
          <w:color w:val="auto"/>
        </w:rPr>
        <w:t>c/o Broadridge Corporate Issuer Solutions</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9"/>
          <w:szCs w:val="19"/>
          <w:color w:val="auto"/>
        </w:rPr>
        <w:t>P.O. Box 1342</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9"/>
          <w:szCs w:val="19"/>
          <w:color w:val="auto"/>
        </w:rPr>
        <w:t>Brentwood, NY 11717-0718</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9"/>
          <w:szCs w:val="19"/>
          <w:color w:val="auto"/>
        </w:rPr>
        <w:t>1-844-956-0809 or 1-303-562-9697</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9"/>
          <w:szCs w:val="19"/>
          <w:color w:val="auto"/>
        </w:rPr>
        <w:t>shareholder@broadridge.com</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www.shareholder.broadridge.com/TTC</w:t>
      </w: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Investor Inquiries</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Individual shareholders may direct any questions to invest@thetorocompany.com.</w:t>
      </w:r>
    </w:p>
    <w:p>
      <w:pPr>
        <w:spacing w:after="0" w:line="20" w:lineRule="exact"/>
        <w:rPr>
          <w:sz w:val="20"/>
          <w:szCs w:val="20"/>
          <w:color w:val="auto"/>
        </w:rPr>
      </w:pPr>
    </w:p>
    <w:p>
      <w:pPr>
        <w:sectPr>
          <w:pgSz w:w="11880" w:h="15480" w:orient="portrait"/>
          <w:cols w:equalWidth="0" w:num="1">
            <w:col w:w="9960"/>
          </w:cols>
          <w:pgMar w:left="900" w:top="681" w:right="1020" w:bottom="1440" w:gutter="0" w:footer="0" w:header="0"/>
          <w:type w:val="continuous"/>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260"/>
        <w:spacing w:after="0" w:line="270" w:lineRule="auto"/>
        <w:rPr>
          <w:sz w:val="20"/>
          <w:szCs w:val="20"/>
          <w:color w:val="auto"/>
        </w:rPr>
      </w:pPr>
      <w:r>
        <w:rPr>
          <w:rFonts w:ascii="Arial" w:cs="Arial" w:eastAsia="Arial" w:hAnsi="Arial"/>
          <w:sz w:val="14"/>
          <w:szCs w:val="14"/>
          <w:color w:val="FFFFFF"/>
        </w:rPr>
        <w:t>The Ventrac</w:t>
      </w:r>
      <w:r>
        <w:rPr>
          <w:rFonts w:ascii="Arial" w:cs="Arial" w:eastAsia="Arial" w:hAnsi="Arial"/>
          <w:sz w:val="8"/>
          <w:szCs w:val="8"/>
          <w:color w:val="FFFFFF"/>
        </w:rPr>
        <w:t>®</w:t>
      </w:r>
      <w:r>
        <w:rPr>
          <w:rFonts w:ascii="Arial" w:cs="Arial" w:eastAsia="Arial" w:hAnsi="Arial"/>
          <w:sz w:val="14"/>
          <w:szCs w:val="14"/>
          <w:color w:val="FFFFFF"/>
        </w:rPr>
        <w:t xml:space="preserve"> 4520 compact tractor has become a top choice for versatility among grounds professionals. Combining the optimal blend of power and agility with over 30+ commercial attachments, the 4520 tractor elevates the Ventrac experience to the next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20" w:right="240"/>
        <w:spacing w:after="0" w:line="270" w:lineRule="auto"/>
        <w:rPr>
          <w:sz w:val="20"/>
          <w:szCs w:val="20"/>
          <w:color w:val="auto"/>
        </w:rPr>
      </w:pPr>
      <w:r>
        <w:rPr>
          <w:rFonts w:ascii="Arial" w:cs="Arial" w:eastAsia="Arial" w:hAnsi="Arial"/>
          <w:sz w:val="14"/>
          <w:szCs w:val="14"/>
          <w:color w:val="FFFFFF"/>
        </w:rPr>
        <w:t>The BOSS</w:t>
      </w:r>
      <w:r>
        <w:rPr>
          <w:rFonts w:ascii="Arial" w:cs="Arial" w:eastAsia="Arial" w:hAnsi="Arial"/>
          <w:sz w:val="8"/>
          <w:szCs w:val="8"/>
          <w:color w:val="FFFFFF"/>
        </w:rPr>
        <w:t>®</w:t>
      </w:r>
      <w:r>
        <w:rPr>
          <w:rFonts w:ascii="Arial" w:cs="Arial" w:eastAsia="Arial" w:hAnsi="Arial"/>
          <w:sz w:val="14"/>
          <w:szCs w:val="14"/>
          <w:color w:val="FFFFFF"/>
        </w:rPr>
        <w:t xml:space="preserve"> SR MAG has everything contractors need to dominate the snow and ice. Inspired by the innovative Snowrator, the powerful and versatile SR MAG brings an unprecedented level of performance to get sidewalk jobs done faster and more efficiently with a range of implements to tackle what winter brings.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348615</wp:posOffset>
            </wp:positionV>
            <wp:extent cx="3098800" cy="27552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098800" cy="27552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920"/>
        <w:spacing w:after="0" w:line="270" w:lineRule="auto"/>
        <w:rPr>
          <w:sz w:val="20"/>
          <w:szCs w:val="20"/>
          <w:color w:val="auto"/>
        </w:rPr>
      </w:pPr>
      <w:r>
        <w:rPr>
          <w:rFonts w:ascii="Arial" w:cs="Arial" w:eastAsia="Arial" w:hAnsi="Arial"/>
          <w:sz w:val="14"/>
          <w:szCs w:val="14"/>
          <w:color w:val="FFFFFF"/>
        </w:rPr>
        <w:t>The Spartan</w:t>
      </w:r>
      <w:r>
        <w:rPr>
          <w:rFonts w:ascii="Arial" w:cs="Arial" w:eastAsia="Arial" w:hAnsi="Arial"/>
          <w:sz w:val="8"/>
          <w:szCs w:val="8"/>
          <w:color w:val="FFFFFF"/>
        </w:rPr>
        <w:t>®</w:t>
      </w:r>
      <w:r>
        <w:rPr>
          <w:rFonts w:ascii="Arial" w:cs="Arial" w:eastAsia="Arial" w:hAnsi="Arial"/>
          <w:sz w:val="14"/>
          <w:szCs w:val="14"/>
          <w:color w:val="FFFFFF"/>
        </w:rPr>
        <w:t xml:space="preserve"> RZ Series performs like commercial-grade zero-turn mowers with a residential price. Packed with standard features and the Spartan signature styling, these machines deliver on performance and comfort to meet the needs of homeowners and small acreage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-3122930</wp:posOffset>
            </wp:positionV>
            <wp:extent cx="7543800" cy="62852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543800" cy="6285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900"/>
        <w:spacing w:after="0" w:line="249" w:lineRule="auto"/>
        <w:rPr>
          <w:sz w:val="20"/>
          <w:szCs w:val="20"/>
          <w:color w:val="auto"/>
        </w:rPr>
      </w:pPr>
      <w:r>
        <w:rPr>
          <w:rFonts w:ascii="Arial" w:cs="Arial" w:eastAsia="Arial" w:hAnsi="Arial"/>
          <w:sz w:val="15"/>
          <w:szCs w:val="15"/>
          <w:color w:val="FFFFFF"/>
        </w:rPr>
        <w:t>Enhancing utility contractors’ productivity while drilling through the toughest conditions including solid rock, the Ditch Witch</w:t>
      </w:r>
      <w:r>
        <w:rPr>
          <w:rFonts w:ascii="Arial" w:cs="Arial" w:eastAsia="Arial" w:hAnsi="Arial"/>
          <w:sz w:val="8"/>
          <w:szCs w:val="8"/>
          <w:color w:val="FFFFFF"/>
        </w:rPr>
        <w:t>®</w:t>
      </w:r>
      <w:r>
        <w:rPr>
          <w:rFonts w:ascii="Arial" w:cs="Arial" w:eastAsia="Arial" w:hAnsi="Arial"/>
          <w:sz w:val="15"/>
          <w:szCs w:val="15"/>
          <w:color w:val="FFFFFF"/>
        </w:rPr>
        <w:t xml:space="preserve"> AT32 All-Terrain horizontal directional drill delivers maximum power and productivity in a compact footprint. Truly in a class of its own, the AT32 gives contractors more of what they want to complete more jobs with increased efficiency and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299720</wp:posOffset>
            </wp:positionV>
            <wp:extent cx="3097530" cy="27565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097530" cy="2756535"/>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4680" w:space="720"/>
            <w:col w:w="4640"/>
          </w:cols>
          <w:pgMar w:left="940" w:top="1440" w:right="90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080"/>
        <w:spacing w:after="0" w:line="270" w:lineRule="auto"/>
        <w:rPr>
          <w:sz w:val="20"/>
          <w:szCs w:val="20"/>
          <w:color w:val="auto"/>
        </w:rPr>
      </w:pPr>
      <w:r>
        <w:rPr>
          <w:rFonts w:ascii="Arial" w:cs="Arial" w:eastAsia="Arial" w:hAnsi="Arial"/>
          <w:sz w:val="14"/>
          <w:szCs w:val="14"/>
          <w:color w:val="FFFFFF"/>
        </w:rPr>
        <w:t>Big, bad and powerful. That’s the Toro</w:t>
      </w:r>
      <w:r>
        <w:rPr>
          <w:rFonts w:ascii="Arial" w:cs="Arial" w:eastAsia="Arial" w:hAnsi="Arial"/>
          <w:sz w:val="8"/>
          <w:szCs w:val="8"/>
          <w:color w:val="FFFFFF"/>
        </w:rPr>
        <w:t>®</w:t>
      </w:r>
      <w:r>
        <w:rPr>
          <w:rFonts w:ascii="Arial" w:cs="Arial" w:eastAsia="Arial" w:hAnsi="Arial"/>
          <w:sz w:val="14"/>
          <w:szCs w:val="14"/>
          <w:color w:val="FFFFFF"/>
        </w:rPr>
        <w:t xml:space="preserve"> TITAN</w:t>
      </w:r>
      <w:r>
        <w:rPr>
          <w:rFonts w:ascii="Arial" w:cs="Arial" w:eastAsia="Arial" w:hAnsi="Arial"/>
          <w:sz w:val="8"/>
          <w:szCs w:val="8"/>
          <w:color w:val="FFFFFF"/>
        </w:rPr>
        <w:t>®</w:t>
      </w:r>
      <w:r>
        <w:rPr>
          <w:rFonts w:ascii="Arial" w:cs="Arial" w:eastAsia="Arial" w:hAnsi="Arial"/>
          <w:sz w:val="14"/>
          <w:szCs w:val="14"/>
          <w:color w:val="FFFFFF"/>
        </w:rPr>
        <w:t xml:space="preserve"> MAX zero-turn mower. Built on a commercial-worthy blue print with iron forged features and durability, this machine is designed to tackle acres upon acres of lawn or tough, rugged terrain in virtually any mowing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754380</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820"/>
        <w:spacing w:after="0" w:line="270" w:lineRule="auto"/>
        <w:rPr>
          <w:sz w:val="20"/>
          <w:szCs w:val="20"/>
          <w:color w:val="auto"/>
        </w:rPr>
      </w:pPr>
      <w:r>
        <w:rPr>
          <w:rFonts w:ascii="Arial" w:cs="Arial" w:eastAsia="Arial" w:hAnsi="Arial"/>
          <w:sz w:val="14"/>
          <w:szCs w:val="14"/>
          <w:color w:val="FFFFFF"/>
        </w:rPr>
        <w:t>When you combine Exmark's most productive zero-turn mower – the Lazer Z</w:t>
      </w:r>
      <w:r>
        <w:rPr>
          <w:rFonts w:ascii="Arial" w:cs="Arial" w:eastAsia="Arial" w:hAnsi="Arial"/>
          <w:sz w:val="8"/>
          <w:szCs w:val="8"/>
          <w:color w:val="FFFFFF"/>
        </w:rPr>
        <w:t>®</w:t>
      </w:r>
      <w:r>
        <w:rPr>
          <w:rFonts w:ascii="Arial" w:cs="Arial" w:eastAsia="Arial" w:hAnsi="Arial"/>
          <w:sz w:val="14"/>
          <w:szCs w:val="14"/>
          <w:color w:val="FFFFFF"/>
        </w:rPr>
        <w:t xml:space="preserve"> X-Series – with its innovative features and large deck sizes, you get the ultimate commercial zero-turn mower experience. To meet the needs of the most demanding landscape professionals, it's the perfect combination of power, productivity, and durability.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695960</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0" w:orient="portrait"/>
          <w:cols w:equalWidth="0" w:num="2">
            <w:col w:w="4680" w:space="720"/>
            <w:col w:w="4640"/>
          </w:cols>
          <w:pgMar w:left="940" w:top="1440" w:right="900" w:bottom="544" w:gutter="0" w:footer="0" w:header="0"/>
          <w:type w:val="continuous"/>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3136265</wp:posOffset>
            </wp:positionV>
            <wp:extent cx="7543800" cy="66935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543800" cy="6693535"/>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Toro Company</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8111 Lyndale Avenue South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Bloomington, MN 55420-1196</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952-888-8801</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C50013"/>
        </w:rPr>
        <w:t>www.thetorocompany.com</w:t>
      </w:r>
    </w:p>
    <w:p>
      <w:pPr>
        <w:spacing w:after="0" w:line="20" w:lineRule="exact"/>
        <w:rPr>
          <w:sz w:val="20"/>
          <w:szCs w:val="20"/>
          <w:color w:val="auto"/>
        </w:rPr>
      </w:pPr>
    </w:p>
    <w:sectPr>
      <w:pgSz w:w="11880" w:h="15480" w:orient="portrait"/>
      <w:cols w:equalWidth="0" w:num="1">
        <w:col w:w="9720"/>
      </w:cols>
      <w:pgMar w:left="7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 w:name="Wingdings 2">
    <w:panose1 w:val="05020102010507070707"/>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2023-02-07T14:30:52Z</dcterms:created>
  <dcterms:modified xsi:type="dcterms:W3CDTF">2023-02-07T14:30:52Z</dcterms:modified>
</cp:coreProperties>
</file>