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77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773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418"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Dordell Timothy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6"/>
          <w:szCs w:val="16"/>
          <w:color w:val="0000FF"/>
        </w:rPr>
        <w:t>VP, Secretary, General Counsel</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418"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418"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ind w:left="540"/>
              <w:spacing w:after="0"/>
              <w:rPr>
                <w:sz w:val="20"/>
                <w:szCs w:val="20"/>
                <w:color w:val="auto"/>
              </w:rPr>
            </w:pPr>
            <w:r>
              <w:rPr>
                <w:rFonts w:ascii="Arial" w:cs="Arial" w:eastAsia="Arial" w:hAnsi="Arial"/>
                <w:sz w:val="18"/>
                <w:szCs w:val="18"/>
                <w:color w:val="0000FF"/>
              </w:rPr>
              <w:t>06/10/2015</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M</w:t>
            </w:r>
          </w:p>
        </w:tc>
        <w:tc>
          <w:tcPr>
            <w:tcW w:w="780" w:type="dxa"/>
            <w:vAlign w:val="bottom"/>
          </w:tcPr>
          <w:p>
            <w:pPr>
              <w:ind w:left="160"/>
              <w:spacing w:after="0"/>
              <w:rPr>
                <w:sz w:val="20"/>
                <w:szCs w:val="20"/>
                <w:color w:val="auto"/>
              </w:rPr>
            </w:pPr>
            <w:r>
              <w:rPr>
                <w:rFonts w:ascii="Arial" w:cs="Arial" w:eastAsia="Arial" w:hAnsi="Arial"/>
                <w:sz w:val="18"/>
                <w:szCs w:val="18"/>
                <w:color w:val="0000FF"/>
              </w:rPr>
              <w:t>6,200</w:t>
            </w:r>
          </w:p>
        </w:tc>
        <w:tc>
          <w:tcPr>
            <w:tcW w:w="520" w:type="dxa"/>
            <w:vAlign w:val="bottom"/>
          </w:tcPr>
          <w:p>
            <w:pPr>
              <w:ind w:left="160"/>
              <w:spacing w:after="0"/>
              <w:rPr>
                <w:sz w:val="20"/>
                <w:szCs w:val="20"/>
                <w:color w:val="auto"/>
              </w:rPr>
            </w:pPr>
            <w:r>
              <w:rPr>
                <w:rFonts w:ascii="Arial" w:cs="Arial" w:eastAsia="Arial" w:hAnsi="Arial"/>
                <w:sz w:val="18"/>
                <w:szCs w:val="18"/>
                <w:color w:val="0000FF"/>
              </w:rPr>
              <w:t>A</w:t>
            </w:r>
          </w:p>
        </w:tc>
        <w:tc>
          <w:tcPr>
            <w:tcW w:w="780" w:type="dxa"/>
            <w:vAlign w:val="bottom"/>
          </w:tcPr>
          <w:p>
            <w:pPr>
              <w:jc w:val="center"/>
              <w:ind w:right="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22.45</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6,369.32</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06/10/2015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6,200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69.725</w:t>
            </w:r>
            <w:r>
              <w:rPr>
                <w:rFonts w:ascii="Arial" w:cs="Arial" w:eastAsia="Arial" w:hAnsi="Arial"/>
                <w:sz w:val="22"/>
                <w:szCs w:val="22"/>
                <w:color w:val="008000"/>
                <w:w w:val="86"/>
                <w:vertAlign w:val="superscript"/>
              </w:rPr>
              <w:t>(1)</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169.32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145.969</w:t>
            </w:r>
            <w:r>
              <w:rPr>
                <w:rFonts w:ascii="Arial" w:cs="Arial" w:eastAsia="Arial" w:hAnsi="Arial"/>
                <w:sz w:val="22"/>
                <w:szCs w:val="22"/>
                <w:color w:val="008000"/>
                <w:w w:val="84"/>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07"/>
              <w:spacing w:after="0"/>
              <w:rPr>
                <w:sz w:val="20"/>
                <w:szCs w:val="20"/>
                <w:color w:val="auto"/>
              </w:rPr>
            </w:pPr>
            <w:r>
              <w:rPr>
                <w:rFonts w:ascii="Arial" w:cs="Arial" w:eastAsia="Arial" w:hAnsi="Arial"/>
                <w:sz w:val="18"/>
                <w:szCs w:val="18"/>
                <w:color w:val="0000FF"/>
              </w:rPr>
              <w:t>I</w:t>
            </w:r>
          </w:p>
        </w:tc>
        <w:tc>
          <w:tcPr>
            <w:tcW w:w="9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117.514</w:t>
            </w:r>
            <w:r>
              <w:rPr>
                <w:rFonts w:ascii="Arial" w:cs="Arial" w:eastAsia="Arial" w:hAnsi="Arial"/>
                <w:sz w:val="22"/>
                <w:szCs w:val="22"/>
                <w:color w:val="008000"/>
                <w:w w:val="84"/>
                <w:vertAlign w:val="superscript"/>
              </w:rPr>
              <w:t>(3)</w:t>
            </w:r>
          </w:p>
        </w:tc>
        <w:tc>
          <w:tcPr>
            <w:tcW w:w="32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41,672.984</w:t>
            </w:r>
            <w:r>
              <w:rPr>
                <w:rFonts w:ascii="Arial" w:cs="Arial" w:eastAsia="Arial" w:hAnsi="Arial"/>
                <w:sz w:val="22"/>
                <w:szCs w:val="22"/>
                <w:color w:val="008000"/>
                <w:w w:val="85"/>
                <w:vertAlign w:val="superscript"/>
              </w:rPr>
              <w:t>(4)</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tcPr>
          <w:p>
            <w:pPr>
              <w:ind w:left="2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22.45</w:t>
            </w:r>
          </w:p>
        </w:tc>
        <w:tc>
          <w:tcPr>
            <w:tcW w:w="1140" w:type="dxa"/>
            <w:vAlign w:val="bottom"/>
          </w:tcPr>
          <w:p>
            <w:pPr>
              <w:ind w:left="260"/>
              <w:spacing w:after="0"/>
              <w:rPr>
                <w:sz w:val="20"/>
                <w:szCs w:val="20"/>
                <w:color w:val="auto"/>
              </w:rPr>
            </w:pPr>
            <w:r>
              <w:rPr>
                <w:rFonts w:ascii="Arial" w:cs="Arial" w:eastAsia="Arial" w:hAnsi="Arial"/>
                <w:sz w:val="14"/>
                <w:szCs w:val="14"/>
                <w:color w:val="0000FF"/>
              </w:rPr>
              <w:t>06/10/2015</w:t>
            </w:r>
          </w:p>
        </w:tc>
        <w:tc>
          <w:tcPr>
            <w:tcW w:w="114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Arial" w:cs="Arial" w:eastAsia="Arial" w:hAnsi="Arial"/>
                <w:sz w:val="14"/>
                <w:szCs w:val="14"/>
                <w:color w:val="0000FF"/>
                <w:w w:val="85"/>
              </w:rPr>
              <w:t>6,200</w:t>
            </w:r>
          </w:p>
        </w:tc>
        <w:tc>
          <w:tcPr>
            <w:tcW w:w="820" w:type="dxa"/>
            <w:vAlign w:val="bottom"/>
          </w:tcPr>
          <w:p>
            <w:pPr>
              <w:ind w:left="400"/>
              <w:spacing w:after="0"/>
              <w:rPr>
                <w:sz w:val="20"/>
                <w:szCs w:val="20"/>
                <w:color w:val="auto"/>
              </w:rPr>
            </w:pPr>
            <w:r>
              <w:rPr>
                <w:rFonts w:ascii="Arial" w:cs="Arial" w:eastAsia="Arial" w:hAnsi="Arial"/>
                <w:sz w:val="11"/>
                <w:szCs w:val="11"/>
                <w:color w:val="008000"/>
              </w:rPr>
              <w:t>(5)</w:t>
            </w:r>
          </w:p>
        </w:tc>
        <w:tc>
          <w:tcPr>
            <w:tcW w:w="780" w:type="dxa"/>
            <w:vAlign w:val="bottom"/>
          </w:tcPr>
          <w:p>
            <w:pPr>
              <w:ind w:left="140"/>
              <w:spacing w:after="0"/>
              <w:rPr>
                <w:sz w:val="20"/>
                <w:szCs w:val="20"/>
                <w:color w:val="auto"/>
              </w:rPr>
            </w:pPr>
            <w:r>
              <w:rPr>
                <w:rFonts w:ascii="Arial" w:cs="Arial" w:eastAsia="Arial" w:hAnsi="Arial"/>
                <w:sz w:val="14"/>
                <w:szCs w:val="14"/>
                <w:color w:val="0000FF"/>
                <w:w w:val="88"/>
              </w:rPr>
              <w:t>11/30/2016</w:t>
            </w:r>
          </w:p>
        </w:tc>
        <w:tc>
          <w:tcPr>
            <w:tcW w:w="1320" w:type="dxa"/>
            <w:vAlign w:val="bottom"/>
            <w:gridSpan w:val="3"/>
          </w:tcPr>
          <w:p>
            <w:pPr>
              <w:ind w:left="12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6,200</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40"/>
              <w:spacing w:after="0"/>
              <w:rPr>
                <w:sz w:val="20"/>
                <w:szCs w:val="20"/>
                <w:color w:val="auto"/>
              </w:rPr>
            </w:pPr>
            <w:r>
              <w:rPr>
                <w:rFonts w:ascii="Arial" w:cs="Arial" w:eastAsia="Arial" w:hAnsi="Arial"/>
                <w:sz w:val="14"/>
                <w:szCs w:val="14"/>
                <w:color w:val="0000FF"/>
              </w:rPr>
              <w:t>12,400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200"/>
              <w:spacing w:after="0" w:line="110" w:lineRule="exact"/>
              <w:rPr>
                <w:sz w:val="20"/>
                <w:szCs w:val="20"/>
                <w:color w:val="auto"/>
              </w:rPr>
            </w:pPr>
            <w:r>
              <w:rPr>
                <w:rFonts w:ascii="Arial" w:cs="Arial" w:eastAsia="Arial" w:hAnsi="Arial"/>
                <w:sz w:val="12"/>
                <w:szCs w:val="12"/>
                <w:color w:val="0000FF"/>
                <w:w w:val="99"/>
              </w:rPr>
              <w:t>Stock</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$69.56 to $69.97,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0.532 shares of common stock acquired by the reporting person since the date of his last report under The Toro Company Dividend Reinvestment Plan.</w:t>
      </w:r>
    </w:p>
    <w:p>
      <w:pPr>
        <w:spacing w:after="0" w:line="41"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0.352 net shares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151.692 performance share units acquired by the reporting person since the date of his last report under the dividend reinvestment feature of The Toro Company Deferred Compensation Plan for Officers.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November 30, 2006.</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06/11/2015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41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06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2019-12-23T20:48:10Z</dcterms:created>
  <dcterms:modified xsi:type="dcterms:W3CDTF">2019-12-23T20:48:10Z</dcterms:modified>
</cp:coreProperties>
</file>