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September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September 5, 2024, The Toro Company announced its financial results for the three and nine month periods ended August 2, 2024.</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476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84"/>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3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rPr>
              <w:t>99.1</w:t>
            </w:r>
          </w:p>
        </w:tc>
        <w:tc>
          <w:tcPr>
            <w:tcW w:w="886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0000FF"/>
              </w:rPr>
              <w:t>Press release dated September 5, 2024 (furnished herewith).</w:t>
            </w:r>
          </w:p>
        </w:tc>
      </w:tr>
      <w:tr>
        <w:trPr>
          <w:trHeight w:val="20"/>
        </w:trPr>
        <w:tc>
          <w:tcPr>
            <w:tcW w:w="2380" w:type="dxa"/>
            <w:vAlign w:val="bottom"/>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83"/>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73"/>
        </w:trPr>
        <w:tc>
          <w:tcPr>
            <w:tcW w:w="23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0"/>
          <w:szCs w:val="20"/>
          <w:color w:val="auto"/>
        </w:rPr>
        <w:t>Date: September 5, 2024</w:t>
      </w:r>
      <w:r>
        <w:rPr>
          <w:sz w:val="20"/>
          <w:szCs w:val="20"/>
          <w:color w:val="auto"/>
        </w:rPr>
        <w:tab/>
      </w:r>
      <w:r>
        <w:rPr>
          <w:rFonts w:ascii="Times New Roman" w:cs="Times New Roman" w:eastAsia="Times New Roman" w:hAnsi="Times New Roman"/>
          <w:sz w:val="19"/>
          <w:szCs w:val="19"/>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22860</wp:posOffset>
            </wp:positionV>
            <wp:extent cx="30943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Angela C. Drake</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Vice President, Chief Financial Officer</w:t>
      </w:r>
    </w:p>
    <w:p>
      <w:pPr>
        <w:sectPr>
          <w:pgSz w:w="11900" w:h="16838" w:orient="portrait"/>
          <w:cols w:equalWidth="0" w:num="1">
            <w:col w:w="11020"/>
          </w:cols>
          <w:pgMar w:left="320" w:top="886"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486025" cy="643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486025" cy="643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Jeremy Steffan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887-7962, </w:t>
      </w:r>
      <w:r>
        <w:rPr>
          <w:rFonts w:ascii="Arial" w:cs="Arial" w:eastAsia="Arial" w:hAnsi="Arial"/>
          <w:sz w:val="18"/>
          <w:szCs w:val="18"/>
          <w:u w:val="single" w:color="auto"/>
          <w:color w:val="0000FF"/>
        </w:rPr>
        <w:t>jeremy.steffan@toro.com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Reports Results for the Third Quarter of Fiscal 2024</w:t>
      </w:r>
    </w:p>
    <w:p>
      <w:pPr>
        <w:spacing w:after="0" w:line="28" w:lineRule="exact"/>
        <w:rPr>
          <w:sz w:val="20"/>
          <w:szCs w:val="20"/>
          <w:color w:val="auto"/>
        </w:rPr>
      </w:pPr>
    </w:p>
    <w:p>
      <w:pPr>
        <w:jc w:val="center"/>
        <w:spacing w:after="0" w:line="246" w:lineRule="auto"/>
        <w:rPr>
          <w:sz w:val="20"/>
          <w:szCs w:val="20"/>
          <w:color w:val="auto"/>
        </w:rPr>
      </w:pPr>
      <w:r>
        <w:rPr>
          <w:rFonts w:ascii="Arial" w:cs="Arial" w:eastAsia="Arial" w:hAnsi="Arial"/>
          <w:sz w:val="20"/>
          <w:szCs w:val="20"/>
          <w:i w:val="1"/>
          <w:iCs w:val="1"/>
          <w:color w:val="auto"/>
        </w:rPr>
        <w:t>Net Sales Growth Driven by Residential Mass Channel, Golf and Grounds, and Underground Construction Increased Macro Caution in July Drove Lower-Than-Expected Lawn Care Shipments to Dealers Significant Progress Made in Reducing Dealer Field Inventories of Lawn Care Products</w:t>
      </w:r>
    </w:p>
    <w:p>
      <w:pPr>
        <w:spacing w:after="0" w:line="193" w:lineRule="exact"/>
        <w:rPr>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Third-quarter net sales of $1.16 billion, up 6.9% from $1.08 billion in the same period of fiscal 2023</w:t>
      </w:r>
    </w:p>
    <w:p>
      <w:pPr>
        <w:spacing w:after="0" w:line="17" w:lineRule="exact"/>
        <w:rPr>
          <w:rFonts w:ascii="Arial" w:cs="Arial" w:eastAsia="Arial" w:hAnsi="Arial"/>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Third-quarter reported diluted EPS of $1.14, up from $(0.14) in the same period of fiscal 2023</w:t>
      </w: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Third-quarter *adjusted diluted EPS of $1.18, up 24.2% from $0.95 in the same period of fiscal 2023</w:t>
      </w: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Revises full-year *adjusted diluted EPS guidance to a range of $4.15 to $4.20</w:t>
      </w:r>
    </w:p>
    <w:p>
      <w:pPr>
        <w:spacing w:after="0" w:line="15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BLOOMINGTON, Minn.—(BUSINESS WIRE) — September 5, 2024—</w:t>
      </w:r>
      <w:r>
        <w:rPr>
          <w:rFonts w:ascii="Arial" w:cs="Arial" w:eastAsia="Arial" w:hAnsi="Arial"/>
          <w:sz w:val="20"/>
          <w:szCs w:val="20"/>
          <w:color w:val="auto"/>
        </w:rPr>
        <w:t>The Toro Company (NYSE: TTC), a</w:t>
      </w:r>
      <w:r>
        <w:rPr>
          <w:rFonts w:ascii="Arial" w:cs="Arial" w:eastAsia="Arial" w:hAnsi="Arial"/>
          <w:sz w:val="20"/>
          <w:szCs w:val="20"/>
          <w:b w:val="1"/>
          <w:bCs w:val="1"/>
          <w:color w:val="auto"/>
        </w:rPr>
        <w:t xml:space="preserve"> </w:t>
      </w:r>
      <w:r>
        <w:rPr>
          <w:rFonts w:ascii="Arial" w:cs="Arial" w:eastAsia="Arial" w:hAnsi="Arial"/>
          <w:sz w:val="20"/>
          <w:szCs w:val="20"/>
          <w:color w:val="0A0A0A"/>
        </w:rPr>
        <w:t>leading global</w:t>
      </w:r>
      <w:r>
        <w:rPr>
          <w:rFonts w:ascii="Arial" w:cs="Arial" w:eastAsia="Arial" w:hAnsi="Arial"/>
          <w:sz w:val="20"/>
          <w:szCs w:val="20"/>
          <w:b w:val="1"/>
          <w:bCs w:val="1"/>
          <w:color w:val="auto"/>
        </w:rPr>
        <w:t xml:space="preserve"> </w:t>
      </w:r>
      <w:r>
        <w:rPr>
          <w:rFonts w:ascii="Arial" w:cs="Arial" w:eastAsia="Arial" w:hAnsi="Arial"/>
          <w:sz w:val="20"/>
          <w:szCs w:val="20"/>
          <w:color w:val="0A0A0A"/>
        </w:rPr>
        <w:t xml:space="preserve">provider of solutions for the outdoor environment, </w:t>
      </w:r>
      <w:r>
        <w:rPr>
          <w:rFonts w:ascii="Arial" w:cs="Arial" w:eastAsia="Arial" w:hAnsi="Arial"/>
          <w:sz w:val="20"/>
          <w:szCs w:val="20"/>
          <w:color w:val="000000"/>
        </w:rPr>
        <w:t>today reported results for its fiscal third quarter ended August 2, 2024.</w:t>
      </w:r>
    </w:p>
    <w:p>
      <w:pPr>
        <w:spacing w:after="0" w:line="11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“Our team executed with discipline and delivered top- and bottom-line growth in a very dynamic environment,” said Richard M. Olson, chairman and chief executive officer. “We achieved substantial growth in our residential segment driven by our strong mass channel, as expected following aggressive destocking last year, and the strategic addition of Lowe’s this year. For our professional segment’s underground construction, and golf and grounds businesses, we successfully drove increased output and shipments to address the sustained demand and elevated order backlog. In both segments, we saw increased caution from homeowners and lawn care dealers as summer progressed due to macro factors, which resulted in lower-than-expected shipments of residential and professional lawn care products to our dealer channel. Even so, we continued to make significant progress in reducing dealer field inventories of those products.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“Throughout the quarter, we advanced our enterprise strategic priorities, including driving productivity and operational excellence. We are already realizing benefits from our multi-year productivity initiative named AMP, and we expect these benefits to accelerate during the next two years. We remain on track to deliver at least $100 million in annualized run rate savings by fiscal 2027. It remains our intention to reinvest a portion of the savings, to fuel our technology transformation and profitable growth, and drive long-term value for our shareholders."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2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business fundamentals remain strong, and we continue to execute with discipline,” added Olson. “For our professional segment, the demand drivers in our underground construction and golf businesses remain compelling. The projected strength in infrastructure spending for the foreseeable future is a positive outlier in the construction industry, and golf rounds played show no signs of slowing down. For these businesses, the healthy pace of orders has continued to keep backlog elevated and, as such, we are driving increased output to improve lead times. For lawn care products, we expect a heightened level of macro uncertainty will continue to drive near-term caution. Importantly, we have made significant progress in reducing our dealer field inventories of lawn care products and expect to exit the fiscal year in a much better position than last year. We expect enduring benefits from the investments we’ve made in our innovative product line-up, and from the strategic development of our independent dealer networks and mass partnerships.</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are extremely well positioned in attractive end markets, and look ahead with optimism to fiscal 2025 and beyond. Our team remains laser focused on operating with agility and discipline, driving productivity across the enterprise, and capitalizing on our innovative product portfolio to drive value for our customers, channel partners and shareholders,” concluded Olson.</w:t>
      </w:r>
    </w:p>
    <w:p>
      <w:pPr>
        <w:spacing w:after="0" w:line="205"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For fiscal 2024, the company now expects total company net sales growth of about 1%, and *adjusted diluted EPS in the range of $4.15 to $4.20. This guidance is based on current visibility and assumes:</w:t>
      </w:r>
    </w:p>
    <w:p>
      <w:pPr>
        <w:spacing w:after="0" w:line="19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0"/>
          <w:szCs w:val="20"/>
          <w:color w:val="auto"/>
        </w:rPr>
        <w:t>a continuation of macro factors that have driven increased consumer and channel caution;</w:t>
      </w:r>
    </w:p>
    <w:p>
      <w:pPr>
        <w:spacing w:after="0" w:line="8"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0"/>
          <w:szCs w:val="20"/>
          <w:color w:val="auto"/>
        </w:rPr>
        <w:t>continued strong demand and stable supply for our underground construction, and golf and grounds businesses; and</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0"/>
          <w:szCs w:val="20"/>
          <w:color w:val="auto"/>
        </w:rPr>
        <w:t>weather patterns aligned with historical averages for the remainder of the year.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This guidance also considers:</w:t>
      </w:r>
    </w:p>
    <w:p>
      <w:pPr>
        <w:spacing w:after="0" w:line="256" w:lineRule="exact"/>
        <w:rPr>
          <w:sz w:val="20"/>
          <w:szCs w:val="20"/>
          <w:color w:val="auto"/>
        </w:rPr>
      </w:pPr>
    </w:p>
    <w:p>
      <w:pPr>
        <w:ind w:left="660" w:right="20" w:hanging="328"/>
        <w:spacing w:after="0" w:line="243"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0"/>
          <w:szCs w:val="20"/>
          <w:color w:val="auto"/>
        </w:rPr>
        <w:t>remaining adjustments needed to normalize field inventory levels of lawn care products and snow and ice management solutions;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0"/>
          <w:szCs w:val="20"/>
          <w:color w:val="auto"/>
        </w:rPr>
        <w:t>manufacturing inefficiencies as production and inventory levels continue to be adjusted to market conditions; and</w:t>
      </w: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net impact across all residential mass channel partners related to our new strategic partnership with Lowe's.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THIRD-QUARTER FISCAL 2024 FINANCIAL HIGHLIGHTS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Reported</w:t>
            </w:r>
          </w:p>
        </w:tc>
        <w:tc>
          <w:tcPr>
            <w:tcW w:w="1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Adjusted*</w:t>
            </w:r>
          </w:p>
        </w:tc>
        <w:tc>
          <w:tcPr>
            <w:tcW w:w="1340" w:type="dxa"/>
            <w:vAlign w:val="bottom"/>
            <w:tcBorders>
              <w:bottom w:val="single" w:sz="8" w:color="auto"/>
            </w:tcBorders>
          </w:tcPr>
          <w:p>
            <w:pPr>
              <w:spacing w:after="0"/>
              <w:rPr>
                <w:sz w:val="19"/>
                <w:szCs w:val="19"/>
                <w:color w:val="auto"/>
              </w:rPr>
            </w:pPr>
          </w:p>
        </w:tc>
      </w:tr>
      <w:tr>
        <w:trPr>
          <w:trHeight w:val="20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millions, except per share data)</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FY24 Q3</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FY23 Q3</w:t>
            </w:r>
          </w:p>
        </w:tc>
        <w:tc>
          <w:tcPr>
            <w:tcW w:w="1340" w:type="dxa"/>
            <w:vAlign w:val="bottom"/>
            <w:tcBorders>
              <w:bottom w:val="single" w:sz="8" w:color="auto"/>
            </w:tcBorders>
          </w:tcPr>
          <w:p>
            <w:pPr>
              <w:jc w:val="right"/>
              <w:ind w:right="397"/>
              <w:spacing w:after="0"/>
              <w:rPr>
                <w:sz w:val="20"/>
                <w:szCs w:val="20"/>
                <w:color w:val="auto"/>
              </w:rPr>
            </w:pPr>
            <w:r>
              <w:rPr>
                <w:rFonts w:ascii="Arial" w:cs="Arial" w:eastAsia="Arial" w:hAnsi="Arial"/>
                <w:sz w:val="17"/>
                <w:szCs w:val="17"/>
                <w:b w:val="1"/>
                <w:bCs w:val="1"/>
                <w:color w:val="auto"/>
              </w:rPr>
              <w:t>% Change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FY24 Q3</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FY23 Q3</w:t>
            </w:r>
          </w:p>
        </w:tc>
        <w:tc>
          <w:tcPr>
            <w:tcW w:w="134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 Change</w:t>
            </w: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1,081.8</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7 %</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1,081.8</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7 %</w:t>
            </w:r>
          </w:p>
        </w:tc>
      </w:tr>
      <w:tr>
        <w:trPr>
          <w:trHeight w:val="216"/>
        </w:trPr>
        <w:tc>
          <w:tcPr>
            <w:tcW w:w="3580" w:type="dxa"/>
            <w:vAlign w:val="bottom"/>
          </w:tcPr>
          <w:p>
            <w:pPr>
              <w:ind w:left="20"/>
              <w:spacing w:after="0"/>
              <w:rPr>
                <w:sz w:val="20"/>
                <w:szCs w:val="20"/>
                <w:color w:val="auto"/>
              </w:rPr>
            </w:pPr>
            <w:r>
              <w:rPr>
                <w:rFonts w:ascii="Arial" w:cs="Arial" w:eastAsia="Arial" w:hAnsi="Arial"/>
                <w:sz w:val="17"/>
                <w:szCs w:val="17"/>
                <w:color w:val="auto"/>
              </w:rPr>
              <w:t>Net Earnings (Loss)</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119.3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(15.0)</w:t>
            </w:r>
          </w:p>
        </w:tc>
        <w:tc>
          <w:tcPr>
            <w:tcW w:w="1340" w:type="dxa"/>
            <w:vAlign w:val="bottom"/>
          </w:tcPr>
          <w:p>
            <w:pPr>
              <w:jc w:val="right"/>
              <w:spacing w:after="0"/>
              <w:rPr>
                <w:sz w:val="20"/>
                <w:szCs w:val="20"/>
                <w:color w:val="auto"/>
              </w:rPr>
            </w:pPr>
            <w:r>
              <w:rPr>
                <w:rFonts w:ascii="Arial" w:cs="Arial" w:eastAsia="Arial" w:hAnsi="Arial"/>
                <w:sz w:val="17"/>
                <w:szCs w:val="17"/>
                <w:color w:val="auto"/>
              </w:rPr>
              <w:t>895 %</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123.7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99.4</w:t>
            </w:r>
          </w:p>
        </w:tc>
        <w:tc>
          <w:tcPr>
            <w:tcW w:w="1340" w:type="dxa"/>
            <w:vAlign w:val="bottom"/>
          </w:tcPr>
          <w:p>
            <w:pPr>
              <w:jc w:val="right"/>
              <w:spacing w:after="0"/>
              <w:rPr>
                <w:sz w:val="20"/>
                <w:szCs w:val="20"/>
                <w:color w:val="auto"/>
              </w:rPr>
            </w:pPr>
            <w:r>
              <w:rPr>
                <w:rFonts w:ascii="Arial" w:cs="Arial" w:eastAsia="Arial" w:hAnsi="Arial"/>
                <w:sz w:val="17"/>
                <w:szCs w:val="17"/>
                <w:color w:val="auto"/>
              </w:rPr>
              <w:t>24 %</w:t>
            </w: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EPS</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914 %</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0.95</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24 %</w:t>
            </w:r>
          </w:p>
        </w:tc>
      </w:tr>
    </w:tbl>
    <w:p>
      <w:pPr>
        <w:sectPr>
          <w:pgSz w:w="11900" w:h="16838" w:orient="portrait"/>
          <w:cols w:equalWidth="0" w:num="1">
            <w:col w:w="11240"/>
          </w:cols>
          <w:pgMar w:left="320" w:top="76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THIRD-QUARTER FISCAL 2024 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77" w:lineRule="exact"/>
        <w:rPr>
          <w:sz w:val="20"/>
          <w:szCs w:val="20"/>
          <w:color w:val="auto"/>
        </w:rPr>
      </w:pPr>
    </w:p>
    <w:p>
      <w:pPr>
        <w:jc w:val="both"/>
        <w:ind w:left="660" w:hanging="328"/>
        <w:spacing w:after="0" w:line="25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Professional segment net sales for the third quarter were $880.9 million, down 1.7% from $896.3 million in the same period last year. The decrease was primarily driven by lower shipments of snow and ice management products, lawn care equipment, and compact utility loaders, partially offset by higher shipments of golf and grounds products, and underground construction equipment, along with net price realization.</w:t>
      </w:r>
    </w:p>
    <w:p>
      <w:pPr>
        <w:spacing w:after="0" w:line="135" w:lineRule="exact"/>
        <w:rPr>
          <w:rFonts w:ascii="Arial" w:cs="Arial" w:eastAsia="Arial" w:hAnsi="Arial"/>
          <w:sz w:val="20"/>
          <w:szCs w:val="20"/>
          <w:color w:val="auto"/>
        </w:rPr>
      </w:pPr>
    </w:p>
    <w:p>
      <w:pPr>
        <w:jc w:val="both"/>
        <w:ind w:left="660" w:hanging="328"/>
        <w:spacing w:after="0" w:line="247"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Professional segment earnings for the third quarter were $165.7 million, up from $13.0 million in the same period last year, and when expressed as a percentage of net sales, 18.8%, compared to 1.5% in the prior-year period. The increase in profitability was primarily due to prior-year non-cash impairment charges of $151.3 million, productivity improvements, product mix, and net price realization, partially offset by higher material and manufacturing costs and lower net sales volume.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77" w:lineRule="exact"/>
        <w:rPr>
          <w:sz w:val="20"/>
          <w:szCs w:val="20"/>
          <w:color w:val="auto"/>
        </w:rPr>
      </w:pPr>
    </w:p>
    <w:p>
      <w:pPr>
        <w:ind w:left="660" w:hanging="328"/>
        <w:spacing w:after="0" w:line="271"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Residential segment net sales for the third quarter were $267.5 million, up 52.6% from $175.3 million in the same period last year. The increase was primarily driven by higher shipments to our mass channel.</w:t>
      </w:r>
    </w:p>
    <w:p>
      <w:pPr>
        <w:spacing w:after="0" w:line="115"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Residential segment earnings for the third quarter were $32.6 million, up from $3.8 million in the same period last year, and when expressed as a percentage of net sales, 12.2%, up from 2.2% in the prior-year period. The year-over-year increase was largely driven by net sales leverage, productivity improvements, and net price realization primarily due to lower floor plan costs, partially offset by product mix and higher material and manufacturing costs.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Gross margin and *adjusted gross margin for the third quarter were 34.8% and 35.4%, respectively, up from 34.4% for both in the same prior-year period. The increase was primarily due to productivity improvements and net price realization, partially offset by higher material and manufacturing costs and product mix.</w:t>
      </w:r>
    </w:p>
    <w:p>
      <w:pPr>
        <w:spacing w:after="0" w:line="13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SG&amp;A expense as a percentage of net sales for the third quarter was 22.0%, compared with 22.2% in the prior-year period. The improvement was primarily driven by net sales leverage and lower marketing costs, partially offset by higher incentive expenses.</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Operating earnings as a percentage of net sales were 12.8% for the third quarter, compared with (1.8)% in the same prior-year period. *Adjusted operating earnings as a percentage of net sales for the third quarter were 13.7%, compared with 12.2% in the same prior-year period.</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Interest expense was $14.5 million for the third quarter, down $0.5 million from the same prior-year period. This decrease was primarily due to lower average outstanding borrowings.</w:t>
      </w:r>
    </w:p>
    <w:p>
      <w:pPr>
        <w:spacing w:after="0" w:line="11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reported effective tax rate for the third quarter was 17.3%, compared with 47.6% in the same prior-year period, primarily due to the tax impact related to non-cash impairment charges last year and a more favorable geographic mix of earnings this year. The *adjusted effective tax rate for the third quarter was 18.0% compared with 19.0% in the same prior-year period, primarily due to a more favorable geographic mix of earnings.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Arial" w:cs="Arial" w:eastAsia="Arial" w:hAnsi="Arial"/>
          <w:sz w:val="14"/>
          <w:szCs w:val="14"/>
          <w:i w:val="1"/>
          <w:iCs w:val="1"/>
          <w:color w:val="auto"/>
        </w:rPr>
        <w:t>*Non-GAAP financial measure. Please refer to the “Use of Non-GAAP Financial Information” for details regarding these measures, as well as the tables provided for a reconciliation of historical non-GAAP financial measures to the most comparable GAAP measures.</w:t>
      </w:r>
    </w:p>
    <w:p>
      <w:pPr>
        <w:sectPr>
          <w:pgSz w:w="11900" w:h="16838" w:orient="portrait"/>
          <w:cols w:equalWidth="0" w:num="1">
            <w:col w:w="11240"/>
          </w:cols>
          <w:pgMar w:left="320" w:top="76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September 5, 2024 at 10:00a.m. CDT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Toro Company will conduct its earnings call and webcast for investors beginning at 10:00a.m. CDT on September 5, 2024. The webcast will be available at www.thetorocompany.com/invest. Webcast participants will need to complete a brief registration form and should allocate extra time before the webcast begins to register and, if necessary, install audio software.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net sales of $4.55 billion in fiscal 2023, The Toro Company’s global presence extends to more than 125 countries through a portfolio of brands that includes Toro, Ditch Witch, Exmark, Spartan, BOSS, Ventrac, American Augers, Trencor, Subsite, HammerHead, Radius, Perrot, Hayter, Unique Lighting Systems, Irritrol, and Lawn-Boy. Through constant innovation and caring relationships built on trust and integrity, The Toro Company and its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19"/>
          <w:szCs w:val="19"/>
          <w:u w:val="single" w:color="auto"/>
          <w:color w:val="0000FF"/>
        </w:rPr>
        <w:t>www.thetorocompany.com</w:t>
      </w:r>
      <w:r>
        <w:rPr>
          <w:rFonts w:ascii="Arial" w:cs="Arial" w:eastAsia="Arial" w:hAnsi="Arial"/>
          <w:sz w:val="19"/>
          <w:szCs w:val="19"/>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This press release and the related earnings call reference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the related earnings call that are utilized as measures of the company’s operating performance consist of gross profit, gross margin, operating earnings, earnings before income taxes, net earnings, diluted EPS, and the effective tax rate, each as adjusted. The non-GAAP financial measures included within this press release and the related earnings call that are utilized as measures of the company’s liquidity consist of free cash flow and free cash flow conversion percentage.</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Toro Company does not provide a quantitative reconciliation of the company’s projected range for adjusted diluted EPS for fiscal 2024 to diluted EPS, which is the most directly comparable GAAP measure, in reliance on the unreasonable efforts exception provided under Item 10(e)(1)(i)(B) of Regulation S-K. The company’s adjusted diluted EPS guidance for fiscal 2024 excludes certain items that are inherently uncertain and difficult to predict, including certain non-cash, large and/or unpredictable charges and benefits; acquisitions and</w:t>
      </w:r>
    </w:p>
    <w:p>
      <w:pPr>
        <w:sectPr>
          <w:pgSz w:w="11900" w:h="16838" w:orient="portrait"/>
          <w:cols w:equalWidth="0" w:num="1">
            <w:col w:w="11240"/>
          </w:cols>
          <w:pgMar w:left="320" w:top="764" w:right="339" w:bottom="1440" w:gutter="0" w:footer="0" w:header="0"/>
        </w:sectPr>
      </w:pPr>
    </w:p>
    <w:bookmarkStart w:id="7" w:name="page8"/>
    <w:bookmarkEnd w:id="7"/>
    <w:p>
      <w:pPr>
        <w:jc w:val="both"/>
        <w:spacing w:after="0" w:line="241" w:lineRule="auto"/>
        <w:rPr>
          <w:sz w:val="20"/>
          <w:szCs w:val="20"/>
          <w:color w:val="auto"/>
        </w:rPr>
      </w:pPr>
      <w:r>
        <w:rPr>
          <w:rFonts w:ascii="Arial" w:cs="Arial" w:eastAsia="Arial" w:hAnsi="Arial"/>
          <w:sz w:val="20"/>
          <w:szCs w:val="20"/>
          <w:color w:val="auto"/>
        </w:rPr>
        <w:t>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2024 to diluted EPS reconciliation without unreasonable efforts. A quantitative reconciliation of adjusted diluted EPS for fiscal 2024 to diluted EPS would imply a degree of precision and certainty as to these future items that does not exist and could be confusing to investors. From a qualitative perspective, it is anticipated that the differences between adjusted diluted EPS for fiscal 2024 to diluted EPS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 The timing and amount of any of these excluded items could significantly impact the company’s diluted EPS for a particular period.</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“anticipate,” “believe,” “become,” “can,” “continue,” “could,” “encourage,” “estimate,” “expect,” “forecast,” “goal,” “guidance,” “improve,” “intend,” “likely,” “looking ahead,” “may,” “optimistic,” “outlook,” “plan,” “possible,” “potential,” “pro forma,” “project,” “promise,” “pursue,” “should,” “strive,” “target,” “will,” “would,” “seek,”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2024 financial guidance, expectations regarding demand trends, backlog and field inventory levels, our ability to manufacture products to meet demand, and the AMP initiative, and other statements made under the "Outlook" section of this release. Particular risks and uncertainties that may affect the company’s operating results or financial position or cause actual events and results to differ materially from those projected or implied include: adverse worldwide economic conditions, including inflationary pressures and higher interest rates; the effect of weather; customer, government and municipal revenue, budget spending levels and cash conservation efforts; loss of any substantial customer; inventory adjustments or changes in purchasing patterns by customers; fluctuations in the cost and availability of commodities, components, parts, and accessories, including steel, engines, hydraulics, and resins; the company’s ability to manufacture products to meet demand; disruption at or in proximity to its facilities or in its manufacturing or other operations, or those in its distribution channel customers, mass retailers or home centers where its products are sold, or suppliers; risks associated with acquisitions and dispositions; impacts of the company’s AMP initiative and any future restructuring activities or productivity or cost savings initiatives; the effect of natural disasters, social unrest, war and global pandemics; the level of growth or contraction in its key markets;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management of strategic partnerships, key customer relationships,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environmental, social, and governance practices; and other risks and uncertainties described in the company’s most recent annual report on Form 10-K, subsequent quarterly reports on Form 10-Q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40"/>
          </w:cols>
          <w:pgMar w:left="320" w:top="766" w:right="339" w:bottom="1440" w:gutter="0" w:footer="0" w:header="0"/>
        </w:sectPr>
      </w:pPr>
    </w:p>
    <w:bookmarkStart w:id="8" w:name="page9"/>
    <w:bookmarkEnd w:id="8"/>
    <w:p>
      <w:pPr>
        <w:jc w:val="center"/>
        <w:ind w:left="340" w:right="2380"/>
        <w:spacing w:after="0" w:line="262" w:lineRule="auto"/>
        <w:rPr>
          <w:sz w:val="20"/>
          <w:szCs w:val="20"/>
          <w:color w:val="auto"/>
        </w:rPr>
      </w:pPr>
      <w:r>
        <w:rPr>
          <w:rFonts w:ascii="Arial" w:cs="Arial" w:eastAsia="Arial" w:hAnsi="Arial"/>
          <w:sz w:val="20"/>
          <w:szCs w:val="20"/>
          <w:b w:val="1"/>
          <w:bCs w:val="1"/>
          <w:color w:val="auto"/>
        </w:rPr>
        <w:t>THE TORO COMPANY AND SUBSIDIARIES Condensed Consolidated Statements of Earnings (Loss) (Unaudited) (Dollars and shares in millions, except per-share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7"/>
                <w:szCs w:val="17"/>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7"/>
                <w:szCs w:val="17"/>
                <w:b w:val="1"/>
                <w:bCs w:val="1"/>
                <w:color w:val="auto"/>
              </w:rPr>
              <w:t>Nine Months Ended</w:t>
            </w:r>
          </w:p>
        </w:tc>
      </w:tr>
      <w:tr>
        <w:trPr>
          <w:trHeight w:val="210"/>
        </w:trPr>
        <w:tc>
          <w:tcPr>
            <w:tcW w:w="50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6"/>
              </w:rPr>
              <w:t>August 2, 2024</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6"/>
              </w:rPr>
              <w:t>August 4, 2023</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8"/>
              </w:rPr>
              <w:t>August 2, 2024</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98"/>
              </w:rPr>
              <w:t>August 4, 2023</w:t>
            </w: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1,156.9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1,081.8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3,507.8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3,570.0</w:t>
            </w:r>
          </w:p>
        </w:tc>
      </w:tr>
      <w:tr>
        <w:trPr>
          <w:trHeight w:val="216"/>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754.1</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709.4</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2,307.5</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2,322.0</w:t>
            </w:r>
          </w:p>
        </w:tc>
      </w:tr>
      <w:tr>
        <w:trPr>
          <w:trHeight w:val="210"/>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402.8</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372.4</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1,200.3</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1,248.0</w:t>
            </w:r>
          </w:p>
        </w:tc>
      </w:tr>
      <w:tr>
        <w:trPr>
          <w:trHeight w:val="216"/>
        </w:trPr>
        <w:tc>
          <w:tcPr>
            <w:tcW w:w="5060" w:type="dxa"/>
            <w:vAlign w:val="bottom"/>
          </w:tcPr>
          <w:p>
            <w:pPr>
              <w:ind w:left="140"/>
              <w:spacing w:after="0"/>
              <w:rPr>
                <w:sz w:val="20"/>
                <w:szCs w:val="20"/>
                <w:color w:val="auto"/>
              </w:rPr>
            </w:pPr>
            <w:r>
              <w:rPr>
                <w:rFonts w:ascii="Arial" w:cs="Arial" w:eastAsia="Arial" w:hAnsi="Arial"/>
                <w:sz w:val="17"/>
                <w:szCs w:val="17"/>
                <w:color w:val="auto"/>
              </w:rPr>
              <w:t>Gross margin</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34.8 %</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34.4 %</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34.2 %</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35.0 %</w:t>
            </w: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254.7</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240.2</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776.0</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760.6</w:t>
            </w:r>
          </w:p>
        </w:tc>
      </w:tr>
      <w:tr>
        <w:trPr>
          <w:trHeight w:val="216"/>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Non-cash impairment charges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151.3</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151.3</w:t>
            </w:r>
          </w:p>
        </w:tc>
      </w:tr>
      <w:tr>
        <w:trPr>
          <w:trHeight w:val="210"/>
        </w:trPr>
        <w:tc>
          <w:tcPr>
            <w:tcW w:w="5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earnings (loss)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148.1</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(19.1)</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424.3</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336.1</w:t>
            </w:r>
          </w:p>
        </w:tc>
      </w:tr>
      <w:tr>
        <w:trPr>
          <w:trHeight w:val="216"/>
        </w:trPr>
        <w:tc>
          <w:tcPr>
            <w:tcW w:w="506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8"/>
                <w:szCs w:val="18"/>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(14.5)</w:t>
            </w:r>
          </w:p>
        </w:tc>
        <w:tc>
          <w:tcPr>
            <w:tcW w:w="180" w:type="dxa"/>
            <w:vAlign w:val="bottom"/>
          </w:tcPr>
          <w:p>
            <w:pPr>
              <w:spacing w:after="0"/>
              <w:rPr>
                <w:sz w:val="18"/>
                <w:szCs w:val="18"/>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(15.0)</w:t>
            </w:r>
          </w:p>
        </w:tc>
        <w:tc>
          <w:tcPr>
            <w:tcW w:w="160" w:type="dxa"/>
            <w:vAlign w:val="bottom"/>
          </w:tcPr>
          <w:p>
            <w:pPr>
              <w:spacing w:after="0"/>
              <w:rPr>
                <w:sz w:val="18"/>
                <w:szCs w:val="18"/>
                <w:color w:val="auto"/>
              </w:rPr>
            </w:pPr>
          </w:p>
        </w:tc>
        <w:tc>
          <w:tcPr>
            <w:tcW w:w="1380" w:type="dxa"/>
            <w:vAlign w:val="bottom"/>
          </w:tcPr>
          <w:p>
            <w:pPr>
              <w:jc w:val="right"/>
              <w:ind w:right="137"/>
              <w:spacing w:after="0"/>
              <w:rPr>
                <w:sz w:val="20"/>
                <w:szCs w:val="20"/>
                <w:color w:val="auto"/>
              </w:rPr>
            </w:pPr>
            <w:r>
              <w:rPr>
                <w:rFonts w:ascii="Arial" w:cs="Arial" w:eastAsia="Arial" w:hAnsi="Arial"/>
                <w:sz w:val="17"/>
                <w:szCs w:val="17"/>
                <w:color w:val="auto"/>
              </w:rPr>
              <w:t>(47.4)</w:t>
            </w:r>
          </w:p>
        </w:tc>
        <w:tc>
          <w:tcPr>
            <w:tcW w:w="160" w:type="dxa"/>
            <w:vAlign w:val="bottom"/>
          </w:tcPr>
          <w:p>
            <w:pPr>
              <w:spacing w:after="0"/>
              <w:rPr>
                <w:sz w:val="18"/>
                <w:szCs w:val="18"/>
                <w:color w:val="auto"/>
              </w:rPr>
            </w:pPr>
          </w:p>
        </w:tc>
        <w:tc>
          <w:tcPr>
            <w:tcW w:w="1340" w:type="dxa"/>
            <w:vAlign w:val="bottom"/>
          </w:tcPr>
          <w:p>
            <w:pPr>
              <w:jc w:val="right"/>
              <w:ind w:right="97"/>
              <w:spacing w:after="0"/>
              <w:rPr>
                <w:sz w:val="20"/>
                <w:szCs w:val="20"/>
                <w:color w:val="auto"/>
              </w:rPr>
            </w:pPr>
            <w:r>
              <w:rPr>
                <w:rFonts w:ascii="Arial" w:cs="Arial" w:eastAsia="Arial" w:hAnsi="Arial"/>
                <w:sz w:val="17"/>
                <w:szCs w:val="17"/>
                <w:color w:val="auto"/>
              </w:rPr>
              <w:t>(43.8)</w:t>
            </w:r>
          </w:p>
        </w:tc>
      </w:tr>
      <w:tr>
        <w:trPr>
          <w:trHeight w:val="216"/>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10.6</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5.5</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26.6</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21.3</w:t>
            </w:r>
          </w:p>
        </w:tc>
      </w:tr>
      <w:tr>
        <w:trPr>
          <w:trHeight w:val="209"/>
        </w:trPr>
        <w:tc>
          <w:tcPr>
            <w:tcW w:w="5060" w:type="dxa"/>
            <w:vAlign w:val="bottom"/>
          </w:tcPr>
          <w:p>
            <w:pPr>
              <w:ind w:left="140"/>
              <w:spacing w:after="0"/>
              <w:rPr>
                <w:sz w:val="20"/>
                <w:szCs w:val="20"/>
                <w:color w:val="auto"/>
              </w:rPr>
            </w:pPr>
            <w:r>
              <w:rPr>
                <w:rFonts w:ascii="Arial" w:cs="Arial" w:eastAsia="Arial" w:hAnsi="Arial"/>
                <w:sz w:val="17"/>
                <w:szCs w:val="17"/>
                <w:color w:val="auto"/>
              </w:rPr>
              <w:t>Earnings (loss) before income taxes</w:t>
            </w:r>
          </w:p>
        </w:tc>
        <w:tc>
          <w:tcPr>
            <w:tcW w:w="24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144.2</w:t>
            </w:r>
          </w:p>
        </w:tc>
        <w:tc>
          <w:tcPr>
            <w:tcW w:w="180" w:type="dxa"/>
            <w:vAlign w:val="bottom"/>
          </w:tcPr>
          <w:p>
            <w:pPr>
              <w:spacing w:after="0"/>
              <w:rPr>
                <w:sz w:val="18"/>
                <w:szCs w:val="18"/>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(28.6)</w:t>
            </w:r>
          </w:p>
        </w:tc>
        <w:tc>
          <w:tcPr>
            <w:tcW w:w="160" w:type="dxa"/>
            <w:vAlign w:val="bottom"/>
          </w:tcPr>
          <w:p>
            <w:pPr>
              <w:spacing w:after="0"/>
              <w:rPr>
                <w:sz w:val="18"/>
                <w:szCs w:val="18"/>
                <w:color w:val="auto"/>
              </w:rPr>
            </w:pPr>
          </w:p>
        </w:tc>
        <w:tc>
          <w:tcPr>
            <w:tcW w:w="1380" w:type="dxa"/>
            <w:vAlign w:val="bottom"/>
          </w:tcPr>
          <w:p>
            <w:pPr>
              <w:jc w:val="right"/>
              <w:ind w:right="177"/>
              <w:spacing w:after="0"/>
              <w:rPr>
                <w:sz w:val="20"/>
                <w:szCs w:val="20"/>
                <w:color w:val="auto"/>
              </w:rPr>
            </w:pPr>
            <w:r>
              <w:rPr>
                <w:rFonts w:ascii="Arial" w:cs="Arial" w:eastAsia="Arial" w:hAnsi="Arial"/>
                <w:sz w:val="17"/>
                <w:szCs w:val="17"/>
                <w:color w:val="auto"/>
              </w:rPr>
              <w:t>403.5</w:t>
            </w:r>
          </w:p>
        </w:tc>
        <w:tc>
          <w:tcPr>
            <w:tcW w:w="160" w:type="dxa"/>
            <w:vAlign w:val="bottom"/>
          </w:tcPr>
          <w:p>
            <w:pPr>
              <w:spacing w:after="0"/>
              <w:rPr>
                <w:sz w:val="18"/>
                <w:szCs w:val="18"/>
                <w:color w:val="auto"/>
              </w:rPr>
            </w:pPr>
          </w:p>
        </w:tc>
        <w:tc>
          <w:tcPr>
            <w:tcW w:w="1340" w:type="dxa"/>
            <w:vAlign w:val="bottom"/>
          </w:tcPr>
          <w:p>
            <w:pPr>
              <w:jc w:val="right"/>
              <w:ind w:right="137"/>
              <w:spacing w:after="0"/>
              <w:rPr>
                <w:sz w:val="20"/>
                <w:szCs w:val="20"/>
                <w:color w:val="auto"/>
              </w:rPr>
            </w:pPr>
            <w:r>
              <w:rPr>
                <w:rFonts w:ascii="Arial" w:cs="Arial" w:eastAsia="Arial" w:hAnsi="Arial"/>
                <w:sz w:val="17"/>
                <w:szCs w:val="17"/>
                <w:color w:val="auto"/>
              </w:rPr>
              <w:t>313.6</w:t>
            </w:r>
          </w:p>
        </w:tc>
      </w:tr>
      <w:tr>
        <w:trPr>
          <w:trHeight w:val="216"/>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Income tax provision (benefit)</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24.9</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(13.6)</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74.5</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54.2</w:t>
            </w:r>
          </w:p>
        </w:tc>
      </w:tr>
      <w:tr>
        <w:trPr>
          <w:trHeight w:val="209"/>
        </w:trPr>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 (loss)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119.3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(15.0)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329.0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259.4</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5"/>
        </w:trPr>
        <w:tc>
          <w:tcPr>
            <w:tcW w:w="506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r>
      <w:tr>
        <w:trPr>
          <w:trHeight w:val="209"/>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Basic net earnings (loss) per share of common stock</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3.16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2.48</w:t>
            </w:r>
          </w:p>
        </w:tc>
      </w:tr>
      <w:tr>
        <w:trPr>
          <w:trHeight w:val="88"/>
        </w:trPr>
        <w:tc>
          <w:tcPr>
            <w:tcW w:w="506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r>
      <w:tr>
        <w:trPr>
          <w:trHeight w:val="209"/>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Diluted net earnings (loss) per share of common stock</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2.46</w:t>
            </w:r>
          </w:p>
        </w:tc>
      </w:tr>
      <w:tr>
        <w:trPr>
          <w:trHeight w:val="88"/>
        </w:trPr>
        <w:tc>
          <w:tcPr>
            <w:tcW w:w="50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r>
      <w:tr>
        <w:trPr>
          <w:trHeight w:val="162"/>
        </w:trPr>
        <w:tc>
          <w:tcPr>
            <w:tcW w:w="5060" w:type="dxa"/>
            <w:vAlign w:val="bottom"/>
          </w:tcPr>
          <w:p>
            <w:pPr>
              <w:ind w:left="20"/>
              <w:spacing w:after="0" w:line="162" w:lineRule="exact"/>
              <w:rPr>
                <w:sz w:val="20"/>
                <w:szCs w:val="20"/>
                <w:color w:val="auto"/>
              </w:rPr>
            </w:pPr>
            <w:r>
              <w:rPr>
                <w:rFonts w:ascii="Arial" w:cs="Arial" w:eastAsia="Arial" w:hAnsi="Arial"/>
                <w:sz w:val="17"/>
                <w:szCs w:val="17"/>
                <w:color w:val="auto"/>
              </w:rPr>
              <w:t>Weighted-average number of shares of common stock outstanding</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8"/>
        </w:trPr>
        <w:tc>
          <w:tcPr>
            <w:tcW w:w="5060" w:type="dxa"/>
            <w:vAlign w:val="bottom"/>
          </w:tcPr>
          <w:p>
            <w:pPr>
              <w:ind w:left="20"/>
              <w:spacing w:after="0"/>
              <w:rPr>
                <w:sz w:val="20"/>
                <w:szCs w:val="20"/>
                <w:color w:val="auto"/>
              </w:rPr>
            </w:pPr>
            <w:r>
              <w:rPr>
                <w:rFonts w:ascii="Arial" w:cs="Arial" w:eastAsia="Arial" w:hAnsi="Arial"/>
                <w:sz w:val="17"/>
                <w:szCs w:val="17"/>
                <w:color w:val="auto"/>
              </w:rPr>
              <w:t>— Basic</w:t>
            </w:r>
          </w:p>
        </w:tc>
        <w:tc>
          <w:tcPr>
            <w:tcW w:w="240" w:type="dxa"/>
            <w:vAlign w:val="bottom"/>
          </w:tcPr>
          <w:p>
            <w:pPr>
              <w:spacing w:after="0"/>
              <w:rPr>
                <w:sz w:val="19"/>
                <w:szCs w:val="19"/>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104.0</w:t>
            </w:r>
          </w:p>
        </w:tc>
        <w:tc>
          <w:tcPr>
            <w:tcW w:w="180" w:type="dxa"/>
            <w:vAlign w:val="bottom"/>
          </w:tcPr>
          <w:p>
            <w:pPr>
              <w:spacing w:after="0"/>
              <w:rPr>
                <w:sz w:val="19"/>
                <w:szCs w:val="19"/>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104.3</w:t>
            </w:r>
          </w:p>
        </w:tc>
        <w:tc>
          <w:tcPr>
            <w:tcW w:w="160" w:type="dxa"/>
            <w:vAlign w:val="bottom"/>
          </w:tcPr>
          <w:p>
            <w:pPr>
              <w:spacing w:after="0"/>
              <w:rPr>
                <w:sz w:val="19"/>
                <w:szCs w:val="19"/>
                <w:color w:val="auto"/>
              </w:rPr>
            </w:pPr>
          </w:p>
        </w:tc>
        <w:tc>
          <w:tcPr>
            <w:tcW w:w="1380" w:type="dxa"/>
            <w:vAlign w:val="bottom"/>
          </w:tcPr>
          <w:p>
            <w:pPr>
              <w:jc w:val="right"/>
              <w:ind w:right="177"/>
              <w:spacing w:after="0"/>
              <w:rPr>
                <w:sz w:val="20"/>
                <w:szCs w:val="20"/>
                <w:color w:val="auto"/>
              </w:rPr>
            </w:pPr>
            <w:r>
              <w:rPr>
                <w:rFonts w:ascii="Arial" w:cs="Arial" w:eastAsia="Arial" w:hAnsi="Arial"/>
                <w:sz w:val="17"/>
                <w:szCs w:val="17"/>
                <w:color w:val="auto"/>
              </w:rPr>
              <w:t>104.2</w:t>
            </w:r>
          </w:p>
        </w:tc>
        <w:tc>
          <w:tcPr>
            <w:tcW w:w="160" w:type="dxa"/>
            <w:vAlign w:val="bottom"/>
          </w:tcPr>
          <w:p>
            <w:pPr>
              <w:spacing w:after="0"/>
              <w:rPr>
                <w:sz w:val="19"/>
                <w:szCs w:val="19"/>
                <w:color w:val="auto"/>
              </w:rPr>
            </w:pPr>
          </w:p>
        </w:tc>
        <w:tc>
          <w:tcPr>
            <w:tcW w:w="1340" w:type="dxa"/>
            <w:vAlign w:val="bottom"/>
          </w:tcPr>
          <w:p>
            <w:pPr>
              <w:jc w:val="right"/>
              <w:ind w:right="137"/>
              <w:spacing w:after="0"/>
              <w:rPr>
                <w:sz w:val="20"/>
                <w:szCs w:val="20"/>
                <w:color w:val="auto"/>
              </w:rPr>
            </w:pPr>
            <w:r>
              <w:rPr>
                <w:rFonts w:ascii="Arial" w:cs="Arial" w:eastAsia="Arial" w:hAnsi="Arial"/>
                <w:sz w:val="17"/>
                <w:szCs w:val="17"/>
                <w:color w:val="auto"/>
              </w:rPr>
              <w:t>104.5</w:t>
            </w:r>
          </w:p>
        </w:tc>
      </w:tr>
      <w:tr>
        <w:trPr>
          <w:trHeight w:val="109"/>
        </w:trPr>
        <w:tc>
          <w:tcPr>
            <w:tcW w:w="50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r>
      <w:tr>
        <w:trPr>
          <w:trHeight w:val="162"/>
        </w:trPr>
        <w:tc>
          <w:tcPr>
            <w:tcW w:w="5060" w:type="dxa"/>
            <w:vAlign w:val="bottom"/>
          </w:tcPr>
          <w:p>
            <w:pPr>
              <w:ind w:left="20"/>
              <w:spacing w:after="0" w:line="162" w:lineRule="exact"/>
              <w:rPr>
                <w:sz w:val="20"/>
                <w:szCs w:val="20"/>
                <w:color w:val="auto"/>
              </w:rPr>
            </w:pPr>
            <w:r>
              <w:rPr>
                <w:rFonts w:ascii="Arial" w:cs="Arial" w:eastAsia="Arial" w:hAnsi="Arial"/>
                <w:sz w:val="17"/>
                <w:szCs w:val="17"/>
                <w:color w:val="auto"/>
              </w:rPr>
              <w:t>Weighted-average number of shares of common stock outstanding</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8"/>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Diluted</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104.5</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104.3</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104.8</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105.4</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Data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7"/>
                <w:szCs w:val="17"/>
                <w:b w:val="1"/>
                <w:bCs w:val="1"/>
                <w:color w:val="auto"/>
              </w:rPr>
              <w:t>Three Months Ended</w:t>
            </w:r>
          </w:p>
        </w:tc>
        <w:tc>
          <w:tcPr>
            <w:tcW w:w="4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Nine Months Ended</w:t>
            </w:r>
          </w:p>
        </w:tc>
        <w:tc>
          <w:tcPr>
            <w:tcW w:w="620" w:type="dxa"/>
            <w:vAlign w:val="bottom"/>
            <w:tcBorders>
              <w:bottom w:val="single" w:sz="8" w:color="auto"/>
            </w:tcBorders>
          </w:tcPr>
          <w:p>
            <w:pPr>
              <w:spacing w:after="0"/>
              <w:rPr>
                <w:sz w:val="19"/>
                <w:szCs w:val="19"/>
                <w:color w:val="auto"/>
              </w:rPr>
            </w:pPr>
          </w:p>
        </w:tc>
      </w:tr>
      <w:tr>
        <w:trPr>
          <w:trHeight w:val="21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net sales</w:t>
            </w:r>
          </w:p>
        </w:tc>
        <w:tc>
          <w:tcPr>
            <w:tcW w:w="28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7"/>
                <w:szCs w:val="17"/>
                <w:b w:val="1"/>
                <w:bCs w:val="1"/>
                <w:color w:val="auto"/>
              </w:rPr>
              <w:t>August 2, 2024</w:t>
            </w:r>
          </w:p>
        </w:tc>
        <w:tc>
          <w:tcPr>
            <w:tcW w:w="14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7"/>
                <w:szCs w:val="17"/>
                <w:b w:val="1"/>
                <w:bCs w:val="1"/>
                <w:color w:val="auto"/>
              </w:rPr>
              <w:t>August 4, 2023</w:t>
            </w:r>
          </w:p>
        </w:tc>
        <w:tc>
          <w:tcPr>
            <w:tcW w:w="14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7"/>
                <w:szCs w:val="17"/>
                <w:b w:val="1"/>
                <w:bCs w:val="1"/>
                <w:color w:val="auto"/>
              </w:rPr>
              <w:t>August 2, 2024</w:t>
            </w:r>
          </w:p>
        </w:tc>
        <w:tc>
          <w:tcPr>
            <w:tcW w:w="14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7"/>
                <w:szCs w:val="17"/>
                <w:b w:val="1"/>
                <w:bCs w:val="1"/>
                <w:color w:val="auto"/>
              </w:rPr>
              <w:t>August 4, 2023</w:t>
            </w: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8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880.9</w:t>
            </w:r>
          </w:p>
        </w:tc>
        <w:tc>
          <w:tcPr>
            <w:tcW w:w="50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896.3</w:t>
            </w:r>
          </w:p>
        </w:tc>
        <w:tc>
          <w:tcPr>
            <w:tcW w:w="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2,643.0</w:t>
            </w:r>
          </w:p>
        </w:tc>
        <w:tc>
          <w:tcPr>
            <w:tcW w:w="82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2,845.7</w:t>
            </w:r>
          </w:p>
        </w:tc>
      </w:tr>
      <w:tr>
        <w:trPr>
          <w:trHeight w:val="216"/>
        </w:trPr>
        <w:tc>
          <w:tcPr>
            <w:tcW w:w="408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8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267.5</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175.3</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843.2</w:t>
            </w:r>
          </w:p>
        </w:tc>
        <w:tc>
          <w:tcPr>
            <w:tcW w:w="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705.8</w:t>
            </w:r>
          </w:p>
        </w:tc>
      </w:tr>
      <w:tr>
        <w:trPr>
          <w:trHeight w:val="216"/>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8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8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w:t>
            </w:r>
          </w:p>
        </w:tc>
      </w:tr>
      <w:tr>
        <w:trPr>
          <w:trHeight w:val="209"/>
        </w:trPr>
        <w:tc>
          <w:tcPr>
            <w:tcW w:w="40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net sales*</w:t>
            </w:r>
          </w:p>
        </w:tc>
        <w:tc>
          <w:tcPr>
            <w:tcW w:w="18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1,156.9</w:t>
            </w:r>
          </w:p>
        </w:tc>
        <w:tc>
          <w:tcPr>
            <w:tcW w:w="50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1,081.8</w:t>
            </w:r>
          </w:p>
        </w:tc>
        <w:tc>
          <w:tcPr>
            <w:tcW w:w="4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3,507.8</w:t>
            </w:r>
          </w:p>
        </w:tc>
        <w:tc>
          <w:tcPr>
            <w:tcW w:w="82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3,570.0</w:t>
            </w: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74"/>
        </w:trPr>
        <w:tc>
          <w:tcPr>
            <w:tcW w:w="408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r>
      <w:tr>
        <w:trPr>
          <w:trHeight w:val="210"/>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*Includes international net sales of:</w:t>
            </w:r>
          </w:p>
        </w:tc>
        <w:tc>
          <w:tcPr>
            <w:tcW w:w="18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218.2</w:t>
            </w:r>
          </w:p>
        </w:tc>
        <w:tc>
          <w:tcPr>
            <w:tcW w:w="5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235.0</w:t>
            </w:r>
          </w:p>
        </w:tc>
        <w:tc>
          <w:tcPr>
            <w:tcW w:w="4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691.4</w:t>
            </w:r>
          </w:p>
        </w:tc>
        <w:tc>
          <w:tcPr>
            <w:tcW w:w="82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756.7</w:t>
            </w: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Nine Months Ended</w:t>
            </w:r>
          </w:p>
        </w:tc>
        <w:tc>
          <w:tcPr>
            <w:tcW w:w="600" w:type="dxa"/>
            <w:vAlign w:val="bottom"/>
            <w:tcBorders>
              <w:bottom w:val="single" w:sz="8" w:color="auto"/>
            </w:tcBorders>
          </w:tcPr>
          <w:p>
            <w:pPr>
              <w:spacing w:after="0"/>
              <w:rPr>
                <w:sz w:val="19"/>
                <w:szCs w:val="19"/>
                <w:color w:val="auto"/>
              </w:rPr>
            </w:pPr>
          </w:p>
        </w:tc>
      </w:tr>
      <w:tr>
        <w:trPr>
          <w:trHeight w:val="20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earnings (loss) before income taxes</w:t>
            </w:r>
          </w:p>
        </w:tc>
        <w:tc>
          <w:tcPr>
            <w:tcW w:w="222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7"/>
                <w:szCs w:val="17"/>
                <w:b w:val="1"/>
                <w:bCs w:val="1"/>
                <w:color w:val="auto"/>
              </w:rPr>
              <w:t>August 2, 2024</w:t>
            </w:r>
          </w:p>
        </w:tc>
        <w:tc>
          <w:tcPr>
            <w:tcW w:w="144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7"/>
                <w:szCs w:val="17"/>
                <w:b w:val="1"/>
                <w:bCs w:val="1"/>
                <w:color w:val="auto"/>
              </w:rPr>
              <w:t>August 4, 2023</w:t>
            </w:r>
          </w:p>
        </w:tc>
        <w:tc>
          <w:tcPr>
            <w:tcW w:w="146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7"/>
                <w:szCs w:val="17"/>
                <w:b w:val="1"/>
                <w:bCs w:val="1"/>
                <w:color w:val="auto"/>
              </w:rPr>
              <w:t>August 2, 2024</w:t>
            </w:r>
          </w:p>
        </w:tc>
        <w:tc>
          <w:tcPr>
            <w:tcW w:w="140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7"/>
                <w:szCs w:val="17"/>
                <w:b w:val="1"/>
                <w:bCs w:val="1"/>
                <w:color w:val="auto"/>
              </w:rPr>
              <w:t>August 4, 2023</w:t>
            </w: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165.7</w:t>
            </w:r>
          </w:p>
        </w:tc>
        <w:tc>
          <w:tcPr>
            <w:tcW w:w="880" w:type="dxa"/>
            <w:vAlign w:val="bottom"/>
            <w:shd w:val="clear" w:color="auto" w:fill="CCEEFF"/>
          </w:tcPr>
          <w:p>
            <w:pPr>
              <w:jc w:val="right"/>
              <w:ind w:right="637"/>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13.0</w:t>
            </w:r>
          </w:p>
        </w:tc>
        <w:tc>
          <w:tcPr>
            <w:tcW w:w="4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469.2</w:t>
            </w:r>
          </w:p>
        </w:tc>
        <w:tc>
          <w:tcPr>
            <w:tcW w:w="800" w:type="dxa"/>
            <w:vAlign w:val="bottom"/>
            <w:shd w:val="clear" w:color="auto" w:fill="CCEEFF"/>
          </w:tcPr>
          <w:p>
            <w:pPr>
              <w:jc w:val="right"/>
              <w:ind w:right="577"/>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384.6</w:t>
            </w:r>
          </w:p>
        </w:tc>
      </w:tr>
      <w:tr>
        <w:trPr>
          <w:trHeight w:val="216"/>
        </w:trPr>
        <w:tc>
          <w:tcPr>
            <w:tcW w:w="472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160" w:type="dxa"/>
            <w:vAlign w:val="bottom"/>
          </w:tcPr>
          <w:p>
            <w:pPr>
              <w:spacing w:after="0"/>
              <w:rPr>
                <w:sz w:val="18"/>
                <w:szCs w:val="18"/>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32.6</w:t>
            </w:r>
          </w:p>
        </w:tc>
        <w:tc>
          <w:tcPr>
            <w:tcW w:w="880" w:type="dxa"/>
            <w:vAlign w:val="bottom"/>
          </w:tcPr>
          <w:p>
            <w:pPr>
              <w:spacing w:after="0"/>
              <w:rPr>
                <w:sz w:val="18"/>
                <w:szCs w:val="18"/>
                <w:color w:val="auto"/>
              </w:rPr>
            </w:pPr>
          </w:p>
        </w:tc>
        <w:tc>
          <w:tcPr>
            <w:tcW w:w="560" w:type="dxa"/>
            <w:vAlign w:val="bottom"/>
          </w:tcPr>
          <w:p>
            <w:pPr>
              <w:jc w:val="right"/>
              <w:ind w:right="17"/>
              <w:spacing w:after="0"/>
              <w:rPr>
                <w:sz w:val="20"/>
                <w:szCs w:val="20"/>
                <w:color w:val="auto"/>
              </w:rPr>
            </w:pPr>
            <w:r>
              <w:rPr>
                <w:rFonts w:ascii="Arial" w:cs="Arial" w:eastAsia="Arial" w:hAnsi="Arial"/>
                <w:sz w:val="17"/>
                <w:szCs w:val="17"/>
                <w:color w:val="auto"/>
              </w:rPr>
              <w:t>3.8</w:t>
            </w:r>
          </w:p>
        </w:tc>
        <w:tc>
          <w:tcPr>
            <w:tcW w:w="42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92.2</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64.4</w:t>
            </w:r>
          </w:p>
        </w:tc>
      </w:tr>
      <w:tr>
        <w:trPr>
          <w:trHeight w:val="216"/>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(157.9)</w:t>
            </w:r>
          </w:p>
        </w:tc>
        <w:tc>
          <w:tcPr>
            <w:tcW w:w="8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(135.4)</w:t>
            </w:r>
          </w:p>
        </w:tc>
      </w:tr>
      <w:tr>
        <w:trPr>
          <w:trHeight w:val="210"/>
        </w:trPr>
        <w:tc>
          <w:tcPr>
            <w:tcW w:w="4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segment earnings (loss) before income taxes</w:t>
            </w: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144.2</w:t>
            </w:r>
          </w:p>
        </w:tc>
        <w:tc>
          <w:tcPr>
            <w:tcW w:w="880" w:type="dxa"/>
            <w:vAlign w:val="bottom"/>
            <w:tcBorders>
              <w:bottom w:val="single" w:sz="8" w:color="auto"/>
            </w:tcBorders>
          </w:tcPr>
          <w:p>
            <w:pPr>
              <w:jc w:val="right"/>
              <w:ind w:right="637"/>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4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403.5</w:t>
            </w:r>
          </w:p>
        </w:tc>
        <w:tc>
          <w:tcPr>
            <w:tcW w:w="800" w:type="dxa"/>
            <w:vAlign w:val="bottom"/>
            <w:tcBorders>
              <w:bottom w:val="single" w:sz="8" w:color="auto"/>
            </w:tcBorders>
          </w:tcPr>
          <w:p>
            <w:pPr>
              <w:jc w:val="right"/>
              <w:ind w:right="577"/>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313.6</w:t>
            </w: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spacing w:after="0"/>
        <w:rPr>
          <w:sz w:val="20"/>
          <w:szCs w:val="20"/>
          <w:color w:val="auto"/>
        </w:rPr>
      </w:pPr>
      <w:r>
        <w:rPr>
          <w:rFonts w:ascii="Arial" w:cs="Arial" w:eastAsia="Arial" w:hAnsi="Arial"/>
          <w:sz w:val="20"/>
          <w:szCs w:val="20"/>
          <w:b w:val="1"/>
          <w:bCs w:val="1"/>
          <w:color w:val="auto"/>
        </w:rPr>
        <w:t>(Dollars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August 2, 2024</w:t>
            </w:r>
          </w:p>
        </w:tc>
        <w:tc>
          <w:tcPr>
            <w:tcW w:w="2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August 4, 2023</w:t>
            </w:r>
          </w:p>
        </w:tc>
        <w:tc>
          <w:tcPr>
            <w:tcW w:w="1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8"/>
              </w:rPr>
              <w:t>October 31, 2023</w:t>
            </w:r>
          </w:p>
        </w:tc>
      </w:tr>
      <w:tr>
        <w:trPr>
          <w:trHeight w:val="169"/>
        </w:trPr>
        <w:tc>
          <w:tcPr>
            <w:tcW w:w="20" w:type="dxa"/>
            <w:vAlign w:val="bottom"/>
            <w:shd w:val="clear" w:color="auto" w:fill="CCEEFF"/>
          </w:tcPr>
          <w:p>
            <w:pPr>
              <w:spacing w:after="0"/>
              <w:rPr>
                <w:sz w:val="14"/>
                <w:szCs w:val="14"/>
                <w:color w:val="auto"/>
              </w:rPr>
            </w:pPr>
          </w:p>
        </w:tc>
        <w:tc>
          <w:tcPr>
            <w:tcW w:w="4740" w:type="dxa"/>
            <w:vAlign w:val="bottom"/>
            <w:gridSpan w:val="3"/>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14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221.1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147.9</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193.1</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532.3</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390.7</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407.4</w:t>
            </w: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7"/>
                <w:szCs w:val="17"/>
                <w:color w:val="auto"/>
              </w:rPr>
              <w:t>Inventories, net</w:t>
            </w:r>
          </w:p>
        </w:tc>
        <w:tc>
          <w:tcPr>
            <w:tcW w:w="148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1,082.0</w:t>
            </w:r>
          </w:p>
        </w:tc>
        <w:tc>
          <w:tcPr>
            <w:tcW w:w="24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1,112.7</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1,087.8</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4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78.5</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80.5</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110.5</w:t>
            </w:r>
          </w:p>
        </w:tc>
      </w:tr>
      <w:tr>
        <w:trPr>
          <w:trHeight w:val="209"/>
        </w:trPr>
        <w:tc>
          <w:tcPr>
            <w:tcW w:w="2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assets</w:t>
            </w:r>
          </w:p>
        </w:tc>
        <w:tc>
          <w:tcPr>
            <w:tcW w:w="1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1,913.9</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1,731.8</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1,798.8</w:t>
            </w: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78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148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635.7</w:t>
            </w:r>
          </w:p>
        </w:tc>
        <w:tc>
          <w:tcPr>
            <w:tcW w:w="24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625.0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641.7</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Goodwill</w:t>
            </w: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450.2</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451.3</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450.8</w:t>
            </w: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7"/>
                <w:szCs w:val="17"/>
                <w:color w:val="auto"/>
              </w:rPr>
              <w:t>Other intangible assets, net</w:t>
            </w:r>
          </w:p>
        </w:tc>
        <w:tc>
          <w:tcPr>
            <w:tcW w:w="148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512.4</w:t>
            </w:r>
          </w:p>
        </w:tc>
        <w:tc>
          <w:tcPr>
            <w:tcW w:w="24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549.2</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540.1</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113.2</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116.6</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w:t>
            </w: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7"/>
                <w:szCs w:val="17"/>
                <w:color w:val="auto"/>
              </w:rPr>
              <w:t>Investment in finance affiliate</w:t>
            </w:r>
          </w:p>
        </w:tc>
        <w:tc>
          <w:tcPr>
            <w:tcW w:w="148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46.4</w:t>
            </w:r>
          </w:p>
        </w:tc>
        <w:tc>
          <w:tcPr>
            <w:tcW w:w="24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48.5</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50.6</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38.3</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41.7</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216"/>
        </w:trPr>
        <w:tc>
          <w:tcPr>
            <w:tcW w:w="2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Other assets</w:t>
            </w:r>
          </w:p>
        </w:tc>
        <w:tc>
          <w:tcPr>
            <w:tcW w:w="1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21.3</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21.8</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47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3,731.4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3,585.9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3,644.3</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196"/>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spacing w:after="0" w:line="176" w:lineRule="exact"/>
              <w:rPr>
                <w:sz w:val="20"/>
                <w:szCs w:val="20"/>
                <w:color w:val="auto"/>
              </w:rPr>
            </w:pPr>
            <w:r>
              <w:rPr>
                <w:rFonts w:ascii="Arial" w:cs="Arial" w:eastAsia="Arial" w:hAnsi="Arial"/>
                <w:sz w:val="17"/>
                <w:szCs w:val="17"/>
                <w:color w:val="auto"/>
              </w:rPr>
              <w:t>LIABILITIES AND STOCKHOLDERS’ EQUITY</w:t>
            </w:r>
          </w:p>
        </w:tc>
        <w:tc>
          <w:tcPr>
            <w:tcW w:w="1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4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Current portion of long-term debt</w:t>
            </w:r>
          </w:p>
        </w:tc>
        <w:tc>
          <w:tcPr>
            <w:tcW w:w="13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CCEEFF"/>
            </w:tcBorders>
          </w:tcPr>
          <w:p>
            <w:pPr>
              <w:jc w:val="right"/>
              <w:ind w:right="17"/>
              <w:spacing w:after="0"/>
              <w:rPr>
                <w:sz w:val="20"/>
                <w:szCs w:val="20"/>
                <w:color w:val="auto"/>
              </w:rPr>
            </w:pPr>
            <w:r>
              <w:rPr>
                <w:rFonts w:ascii="Arial" w:cs="Arial" w:eastAsia="Arial" w:hAnsi="Arial"/>
                <w:sz w:val="17"/>
                <w:szCs w:val="17"/>
                <w:color w:val="auto"/>
              </w:rPr>
              <w:t>25.3</w:t>
            </w: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CCEEFF"/>
            </w:tcBorders>
          </w:tcPr>
          <w:p>
            <w:pPr>
              <w:jc w:val="right"/>
              <w:ind w:right="17"/>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437.8</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407.4</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w:t>
            </w: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148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501.6</w:t>
            </w:r>
          </w:p>
        </w:tc>
        <w:tc>
          <w:tcPr>
            <w:tcW w:w="24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482.3</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499.1</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Short-term lease liabilities</w:t>
            </w:r>
          </w:p>
        </w:tc>
        <w:tc>
          <w:tcPr>
            <w:tcW w:w="14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19.7</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17.8</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r>
      <w:tr>
        <w:trPr>
          <w:trHeight w:val="210"/>
        </w:trPr>
        <w:tc>
          <w:tcPr>
            <w:tcW w:w="2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liabilities</w:t>
            </w:r>
          </w:p>
        </w:tc>
        <w:tc>
          <w:tcPr>
            <w:tcW w:w="1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984.4</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907.5</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948.6</w:t>
            </w: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78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7"/>
                <w:szCs w:val="17"/>
                <w:color w:val="auto"/>
              </w:rPr>
              <w:t>Long-term debt, less current portion</w:t>
            </w:r>
          </w:p>
        </w:tc>
        <w:tc>
          <w:tcPr>
            <w:tcW w:w="148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966.6</w:t>
            </w:r>
          </w:p>
        </w:tc>
        <w:tc>
          <w:tcPr>
            <w:tcW w:w="24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1,061.3</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1,031.5</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lease liabilities</w:t>
            </w: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99.1</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101.2</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w:t>
            </w: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148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0.4</w:t>
            </w:r>
          </w:p>
        </w:tc>
        <w:tc>
          <w:tcPr>
            <w:tcW w:w="24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44.5</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38.7</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ind w:left="120"/>
              <w:spacing w:after="0"/>
              <w:rPr>
                <w:sz w:val="20"/>
                <w:szCs w:val="20"/>
                <w:color w:val="auto"/>
              </w:rPr>
            </w:pPr>
            <w:r>
              <w:rPr>
                <w:rFonts w:ascii="Arial" w:cs="Arial" w:eastAsia="Arial" w:hAnsi="Arial"/>
                <w:sz w:val="17"/>
                <w:szCs w:val="17"/>
                <w:color w:val="auto"/>
              </w:rPr>
              <w:t>Preferred stock</w:t>
            </w:r>
          </w:p>
        </w:tc>
        <w:tc>
          <w:tcPr>
            <w:tcW w:w="148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Common stock</w:t>
            </w: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103.1</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103.8</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w:t>
            </w:r>
          </w:p>
        </w:tc>
      </w:tr>
      <w:tr>
        <w:trPr>
          <w:trHeight w:val="216"/>
        </w:trPr>
        <w:tc>
          <w:tcPr>
            <w:tcW w:w="20" w:type="dxa"/>
            <w:vAlign w:val="bottom"/>
          </w:tcPr>
          <w:p>
            <w:pPr>
              <w:spacing w:after="0"/>
              <w:rPr>
                <w:sz w:val="18"/>
                <w:szCs w:val="18"/>
                <w:color w:val="auto"/>
              </w:rPr>
            </w:pPr>
          </w:p>
        </w:tc>
        <w:tc>
          <w:tcPr>
            <w:tcW w:w="4740" w:type="dxa"/>
            <w:vAlign w:val="bottom"/>
            <w:gridSpan w:val="3"/>
          </w:tcPr>
          <w:p>
            <w:pPr>
              <w:ind w:left="120"/>
              <w:spacing w:after="0"/>
              <w:rPr>
                <w:sz w:val="20"/>
                <w:szCs w:val="20"/>
                <w:color w:val="auto"/>
              </w:rPr>
            </w:pPr>
            <w:r>
              <w:rPr>
                <w:rFonts w:ascii="Arial" w:cs="Arial" w:eastAsia="Arial" w:hAnsi="Arial"/>
                <w:sz w:val="17"/>
                <w:szCs w:val="17"/>
                <w:color w:val="auto"/>
              </w:rPr>
              <w:t>Retained earnings</w:t>
            </w:r>
          </w:p>
        </w:tc>
        <w:tc>
          <w:tcPr>
            <w:tcW w:w="148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1,576.2</w:t>
            </w:r>
          </w:p>
        </w:tc>
        <w:tc>
          <w:tcPr>
            <w:tcW w:w="24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7"/>
                <w:szCs w:val="17"/>
                <w:color w:val="auto"/>
              </w:rPr>
              <w:t>1,403.9</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1,444.1</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4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14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w:t>
            </w:r>
          </w:p>
        </w:tc>
      </w:tr>
      <w:tr>
        <w:trPr>
          <w:trHeight w:val="210"/>
        </w:trPr>
        <w:tc>
          <w:tcPr>
            <w:tcW w:w="2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Total stockholders’ equity</w:t>
            </w:r>
          </w:p>
        </w:tc>
        <w:tc>
          <w:tcPr>
            <w:tcW w:w="1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1,636.4</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1,477.1</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1,510.9</w:t>
            </w: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47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3,731.4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3,585.9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3,644.3</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4" w:right="339" w:bottom="1440" w:gutter="0" w:footer="0" w:header="0"/>
        </w:sectPr>
      </w:pPr>
    </w:p>
    <w:bookmarkStart w:id="10" w:name="page11"/>
    <w:bookmarkEnd w:id="10"/>
    <w:p>
      <w:pPr>
        <w:jc w:val="center"/>
        <w:ind w:left="340" w:right="2580"/>
        <w:spacing w:after="0" w:line="262" w:lineRule="auto"/>
        <w:rPr>
          <w:sz w:val="20"/>
          <w:szCs w:val="20"/>
          <w:color w:val="auto"/>
        </w:rPr>
      </w:pPr>
      <w:r>
        <w:rPr>
          <w:rFonts w:ascii="Arial" w:cs="Arial" w:eastAsia="Arial" w:hAnsi="Arial"/>
          <w:sz w:val="20"/>
          <w:szCs w:val="20"/>
          <w:b w:val="1"/>
          <w:bCs w:val="1"/>
          <w:color w:val="auto"/>
        </w:rPr>
        <w:t>THE TORO COMPANY AND SUBSIDIARIES Condensed Consolidated Statements of Cash Flows (Unaudited) (Dollars in millions)</w:t>
      </w:r>
    </w:p>
    <w:p>
      <w:pPr>
        <w:spacing w:after="0" w:line="157" w:lineRule="exact"/>
        <w:rPr>
          <w:sz w:val="20"/>
          <w:szCs w:val="20"/>
          <w:color w:val="auto"/>
        </w:rPr>
      </w:pPr>
    </w:p>
    <w:p>
      <w:pPr>
        <w:ind w:left="8740"/>
        <w:spacing w:after="0"/>
        <w:rPr>
          <w:sz w:val="20"/>
          <w:szCs w:val="20"/>
          <w:color w:val="auto"/>
        </w:rPr>
      </w:pPr>
      <w:r>
        <w:rPr>
          <w:rFonts w:ascii="Arial" w:cs="Arial" w:eastAsia="Arial" w:hAnsi="Arial"/>
          <w:sz w:val="17"/>
          <w:szCs w:val="17"/>
          <w:b w:val="1"/>
          <w:bCs w:val="1"/>
          <w:color w:val="auto"/>
        </w:rPr>
        <w:t>Nine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August 2, 2024</w:t>
            </w:r>
          </w:p>
        </w:tc>
        <w:tc>
          <w:tcPr>
            <w:tcW w:w="2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August 4, 2023</w:t>
            </w:r>
          </w:p>
        </w:tc>
      </w:tr>
      <w:tr>
        <w:trPr>
          <w:trHeight w:val="209"/>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692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7"/>
              <w:spacing w:after="0"/>
              <w:rPr>
                <w:sz w:val="20"/>
                <w:szCs w:val="20"/>
                <w:color w:val="auto"/>
              </w:rPr>
            </w:pPr>
            <w:r>
              <w:rPr>
                <w:rFonts w:ascii="Arial" w:cs="Arial" w:eastAsia="Arial" w:hAnsi="Arial"/>
                <w:sz w:val="17"/>
                <w:szCs w:val="17"/>
                <w:color w:val="auto"/>
              </w:rPr>
              <w:t>329.0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259.4</w:t>
            </w: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10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(15.8)</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(14.1)</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from finance affiliate, net</w:t>
            </w: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20.0</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1040" w:type="dxa"/>
            <w:vAlign w:val="bottom"/>
          </w:tcPr>
          <w:p>
            <w:pPr>
              <w:spacing w:after="0"/>
              <w:rPr>
                <w:sz w:val="18"/>
                <w:szCs w:val="18"/>
                <w:color w:val="auto"/>
              </w:rPr>
            </w:pPr>
          </w:p>
        </w:tc>
        <w:tc>
          <w:tcPr>
            <w:tcW w:w="1540" w:type="dxa"/>
            <w:vAlign w:val="bottom"/>
          </w:tcPr>
          <w:p>
            <w:pPr>
              <w:jc w:val="right"/>
              <w:ind w:right="17"/>
              <w:spacing w:after="0"/>
              <w:rPr>
                <w:sz w:val="20"/>
                <w:szCs w:val="20"/>
                <w:color w:val="auto"/>
              </w:rPr>
            </w:pPr>
            <w:r>
              <w:rPr>
                <w:rFonts w:ascii="Arial" w:cs="Arial" w:eastAsia="Arial" w:hAnsi="Arial"/>
                <w:sz w:val="17"/>
                <w:szCs w:val="17"/>
                <w:color w:val="auto"/>
              </w:rPr>
              <w:t>65.5</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56.6</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26.3</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Stock-based compensation expense</w:t>
            </w:r>
          </w:p>
        </w:tc>
        <w:tc>
          <w:tcPr>
            <w:tcW w:w="1040" w:type="dxa"/>
            <w:vAlign w:val="bottom"/>
          </w:tcPr>
          <w:p>
            <w:pPr>
              <w:spacing w:after="0"/>
              <w:rPr>
                <w:sz w:val="18"/>
                <w:szCs w:val="18"/>
                <w:color w:val="auto"/>
              </w:rPr>
            </w:pPr>
          </w:p>
        </w:tc>
        <w:tc>
          <w:tcPr>
            <w:tcW w:w="1540" w:type="dxa"/>
            <w:vAlign w:val="bottom"/>
          </w:tcPr>
          <w:p>
            <w:pPr>
              <w:jc w:val="right"/>
              <w:ind w:right="17"/>
              <w:spacing w:after="0"/>
              <w:rPr>
                <w:sz w:val="20"/>
                <w:szCs w:val="20"/>
                <w:color w:val="auto"/>
              </w:rPr>
            </w:pPr>
            <w:r>
              <w:rPr>
                <w:rFonts w:ascii="Arial" w:cs="Arial" w:eastAsia="Arial" w:hAnsi="Arial"/>
                <w:sz w:val="17"/>
                <w:szCs w:val="17"/>
                <w:color w:val="auto"/>
              </w:rPr>
              <w:t>19.5</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Non-cash impairment charges</w:t>
            </w: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151.3</w:t>
            </w: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Other</w:t>
            </w:r>
          </w:p>
        </w:tc>
        <w:tc>
          <w:tcPr>
            <w:tcW w:w="1040" w:type="dxa"/>
            <w:vAlign w:val="bottom"/>
          </w:tcPr>
          <w:p>
            <w:pPr>
              <w:spacing w:after="0"/>
              <w:rPr>
                <w:sz w:val="18"/>
                <w:szCs w:val="18"/>
                <w:color w:val="auto"/>
              </w:rPr>
            </w:pPr>
          </w:p>
        </w:tc>
        <w:tc>
          <w:tcPr>
            <w:tcW w:w="1540" w:type="dxa"/>
            <w:vAlign w:val="bottom"/>
          </w:tcPr>
          <w:p>
            <w:pPr>
              <w:jc w:val="right"/>
              <w:ind w:right="17"/>
              <w:spacing w:after="0"/>
              <w:rPr>
                <w:sz w:val="20"/>
                <w:szCs w:val="20"/>
                <w:color w:val="auto"/>
              </w:rPr>
            </w:pPr>
            <w:r>
              <w:rPr>
                <w:rFonts w:ascii="Arial" w:cs="Arial" w:eastAsia="Arial" w:hAnsi="Arial"/>
                <w:sz w:val="17"/>
                <w:szCs w:val="17"/>
                <w:color w:val="auto"/>
              </w:rPr>
              <w:t>0.1</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Receivables, net</w:t>
            </w:r>
          </w:p>
        </w:tc>
        <w:tc>
          <w:tcPr>
            <w:tcW w:w="10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(123.5)</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(52.8)</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Inventories, net</w:t>
            </w: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Other assets</w:t>
            </w:r>
          </w:p>
        </w:tc>
        <w:tc>
          <w:tcPr>
            <w:tcW w:w="1040" w:type="dxa"/>
            <w:vAlign w:val="bottom"/>
          </w:tcPr>
          <w:p>
            <w:pPr>
              <w:spacing w:after="0"/>
              <w:rPr>
                <w:sz w:val="18"/>
                <w:szCs w:val="18"/>
                <w:color w:val="auto"/>
              </w:rPr>
            </w:pPr>
          </w:p>
        </w:tc>
        <w:tc>
          <w:tcPr>
            <w:tcW w:w="1540" w:type="dxa"/>
            <w:vAlign w:val="bottom"/>
          </w:tcPr>
          <w:p>
            <w:pPr>
              <w:jc w:val="right"/>
              <w:ind w:right="17"/>
              <w:spacing w:after="0"/>
              <w:rPr>
                <w:sz w:val="20"/>
                <w:szCs w:val="20"/>
                <w:color w:val="auto"/>
              </w:rPr>
            </w:pPr>
            <w:r>
              <w:rPr>
                <w:rFonts w:ascii="Arial" w:cs="Arial" w:eastAsia="Arial" w:hAnsi="Arial"/>
                <w:sz w:val="17"/>
                <w:szCs w:val="17"/>
                <w:color w:val="auto"/>
              </w:rPr>
              <w:t>9.6</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(74.3)</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5.1</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r>
      <w:tr>
        <w:trPr>
          <w:trHeight w:val="216"/>
        </w:trPr>
        <w:tc>
          <w:tcPr>
            <w:tcW w:w="69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liabilities</w:t>
            </w:r>
          </w:p>
        </w:tc>
        <w:tc>
          <w:tcPr>
            <w:tcW w:w="1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209"/>
        </w:trPr>
        <w:tc>
          <w:tcPr>
            <w:tcW w:w="69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provided by operating activities</w:t>
            </w:r>
          </w:p>
        </w:tc>
        <w:tc>
          <w:tcPr>
            <w:tcW w:w="10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329.8</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154.7</w:t>
            </w:r>
          </w:p>
        </w:tc>
      </w:tr>
      <w:tr>
        <w:trPr>
          <w:trHeight w:val="88"/>
        </w:trPr>
        <w:tc>
          <w:tcPr>
            <w:tcW w:w="6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tcPr>
          <w:p>
            <w:pPr>
              <w:spacing w:after="0"/>
              <w:rPr>
                <w:sz w:val="7"/>
                <w:szCs w:val="7"/>
                <w:color w:val="auto"/>
              </w:rPr>
            </w:pP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10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(63.6)</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(105.7)</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insurance claim</w:t>
            </w: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4.3</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Business combinations, net of cash acquired</w:t>
            </w:r>
          </w:p>
        </w:tc>
        <w:tc>
          <w:tcPr>
            <w:tcW w:w="1040" w:type="dxa"/>
            <w:vAlign w:val="bottom"/>
          </w:tcPr>
          <w:p>
            <w:pPr>
              <w:spacing w:after="0"/>
              <w:rPr>
                <w:sz w:val="18"/>
                <w:szCs w:val="18"/>
                <w:color w:val="auto"/>
              </w:rPr>
            </w:pPr>
          </w:p>
        </w:tc>
        <w:tc>
          <w:tcPr>
            <w:tcW w:w="15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(21.0)</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acquisition</w:t>
            </w: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Proceeds from asset disposals</w:t>
            </w:r>
          </w:p>
        </w:tc>
        <w:tc>
          <w:tcPr>
            <w:tcW w:w="1040" w:type="dxa"/>
            <w:vAlign w:val="bottom"/>
          </w:tcPr>
          <w:p>
            <w:pPr>
              <w:spacing w:after="0"/>
              <w:rPr>
                <w:sz w:val="18"/>
                <w:szCs w:val="18"/>
                <w:color w:val="auto"/>
              </w:rPr>
            </w:pPr>
          </w:p>
        </w:tc>
        <w:tc>
          <w:tcPr>
            <w:tcW w:w="1540" w:type="dxa"/>
            <w:vAlign w:val="bottom"/>
          </w:tcPr>
          <w:p>
            <w:pPr>
              <w:jc w:val="right"/>
              <w:ind w:right="17"/>
              <w:spacing w:after="0"/>
              <w:rPr>
                <w:sz w:val="20"/>
                <w:szCs w:val="20"/>
                <w:color w:val="auto"/>
              </w:rPr>
            </w:pPr>
            <w:r>
              <w:rPr>
                <w:rFonts w:ascii="Arial" w:cs="Arial" w:eastAsia="Arial" w:hAnsi="Arial"/>
                <w:sz w:val="17"/>
                <w:szCs w:val="17"/>
                <w:color w:val="auto"/>
              </w:rPr>
              <w:t>0.2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16"/>
        </w:trPr>
        <w:tc>
          <w:tcPr>
            <w:tcW w:w="6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Proceeds from divestitures</w:t>
            </w:r>
          </w:p>
        </w:tc>
        <w:tc>
          <w:tcPr>
            <w:tcW w:w="10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16.5</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69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used in investing activities</w:t>
            </w:r>
          </w:p>
        </w:tc>
        <w:tc>
          <w:tcPr>
            <w:tcW w:w="1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(119.2)</w:t>
            </w:r>
          </w:p>
        </w:tc>
      </w:tr>
      <w:tr>
        <w:trPr>
          <w:trHeight w:val="88"/>
        </w:trPr>
        <w:tc>
          <w:tcPr>
            <w:tcW w:w="69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r>
      <w:tr>
        <w:trPr>
          <w:trHeight w:val="216"/>
        </w:trPr>
        <w:tc>
          <w:tcPr>
            <w:tcW w:w="692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69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Net (repayments) borrowings under the revolving credit facility</w:t>
            </w:r>
            <w:r>
              <w:rPr>
                <w:rFonts w:ascii="Arial" w:cs="Arial" w:eastAsia="Arial" w:hAnsi="Arial"/>
                <w:sz w:val="21"/>
                <w:szCs w:val="21"/>
                <w:color w:val="auto"/>
                <w:vertAlign w:val="superscript"/>
              </w:rPr>
              <w:t>1</w:t>
            </w: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1040" w:type="dxa"/>
            <w:vAlign w:val="bottom"/>
          </w:tcPr>
          <w:p>
            <w:pPr>
              <w:spacing w:after="0"/>
              <w:rPr>
                <w:sz w:val="18"/>
                <w:szCs w:val="18"/>
                <w:color w:val="auto"/>
              </w:rPr>
            </w:pPr>
          </w:p>
        </w:tc>
        <w:tc>
          <w:tcPr>
            <w:tcW w:w="1540" w:type="dxa"/>
            <w:vAlign w:val="bottom"/>
          </w:tcPr>
          <w:p>
            <w:pPr>
              <w:jc w:val="right"/>
              <w:ind w:right="17"/>
              <w:spacing w:after="0"/>
              <w:rPr>
                <w:sz w:val="20"/>
                <w:szCs w:val="20"/>
                <w:color w:val="auto"/>
              </w:rPr>
            </w:pPr>
            <w:r>
              <w:rPr>
                <w:rFonts w:ascii="Arial" w:cs="Arial" w:eastAsia="Arial" w:hAnsi="Arial"/>
                <w:sz w:val="17"/>
                <w:szCs w:val="17"/>
                <w:color w:val="auto"/>
              </w:rPr>
              <w:t>8.6</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19.4</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Purchases of TTC common stock</w:t>
            </w:r>
          </w:p>
        </w:tc>
        <w:tc>
          <w:tcPr>
            <w:tcW w:w="10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(109.2)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(60.0)</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 paid on TTC common stock</w:t>
            </w: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w:t>
            </w:r>
          </w:p>
        </w:tc>
      </w:tr>
      <w:tr>
        <w:trPr>
          <w:trHeight w:val="216"/>
        </w:trPr>
        <w:tc>
          <w:tcPr>
            <w:tcW w:w="69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1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69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used in financing activities</w:t>
            </w:r>
          </w:p>
        </w:tc>
        <w:tc>
          <w:tcPr>
            <w:tcW w:w="10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(260.5)</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w:t>
            </w:r>
          </w:p>
        </w:tc>
      </w:tr>
      <w:tr>
        <w:trPr>
          <w:trHeight w:val="88"/>
        </w:trPr>
        <w:tc>
          <w:tcPr>
            <w:tcW w:w="6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tcPr>
          <w:p>
            <w:pPr>
              <w:spacing w:after="0"/>
              <w:rPr>
                <w:sz w:val="7"/>
                <w:szCs w:val="7"/>
                <w:color w:val="auto"/>
              </w:rPr>
            </w:pPr>
          </w:p>
        </w:tc>
      </w:tr>
      <w:tr>
        <w:trPr>
          <w:trHeight w:val="216"/>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0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2.1</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88"/>
        </w:trPr>
        <w:tc>
          <w:tcPr>
            <w:tcW w:w="6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tcPr>
          <w:p>
            <w:pPr>
              <w:spacing w:after="0"/>
              <w:rPr>
                <w:sz w:val="7"/>
                <w:szCs w:val="7"/>
                <w:color w:val="auto"/>
              </w:rPr>
            </w:pPr>
          </w:p>
        </w:tc>
      </w:tr>
      <w:tr>
        <w:trPr>
          <w:trHeight w:val="216"/>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0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28.0</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w:t>
            </w:r>
          </w:p>
        </w:tc>
      </w:tr>
      <w:tr>
        <w:trPr>
          <w:trHeight w:val="210"/>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193.1</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188.2</w:t>
            </w:r>
          </w:p>
        </w:tc>
      </w:tr>
      <w:tr>
        <w:trPr>
          <w:trHeight w:val="235"/>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221.1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147.9</w:t>
            </w:r>
          </w:p>
        </w:tc>
      </w:tr>
      <w:tr>
        <w:trPr>
          <w:trHeight w:val="20"/>
        </w:trPr>
        <w:tc>
          <w:tcPr>
            <w:tcW w:w="69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260" w:hanging="171"/>
        <w:spacing w:after="0" w:line="222" w:lineRule="auto"/>
        <w:tabs>
          <w:tab w:leader="none" w:pos="254"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Presentation of prior year revolving credit facility and long-term debt activity has been conformed to the current year presentation. There was no change to net cash used in financing activities.</w:t>
      </w:r>
    </w:p>
    <w:p>
      <w:pPr>
        <w:sectPr>
          <w:pgSz w:w="11900" w:h="16838" w:orient="portrait"/>
          <w:cols w:equalWidth="0" w:num="1">
            <w:col w:w="11240"/>
          </w:cols>
          <w:pgMar w:left="320" w:top="764" w:right="339" w:bottom="1440" w:gutter="0" w:footer="0" w:header="0"/>
        </w:sectPr>
      </w:pPr>
    </w:p>
    <w:bookmarkStart w:id="11" w:name="page12"/>
    <w:bookmarkEnd w:id="11"/>
    <w:p>
      <w:pPr>
        <w:jc w:val="center"/>
        <w:ind w:left="340" w:right="2760"/>
        <w:spacing w:after="0" w:line="262" w:lineRule="auto"/>
        <w:rPr>
          <w:sz w:val="20"/>
          <w:szCs w:val="20"/>
          <w:color w:val="auto"/>
        </w:rPr>
      </w:pPr>
      <w:r>
        <w:rPr>
          <w:rFonts w:ascii="Arial" w:cs="Arial" w:eastAsia="Arial" w:hAnsi="Arial"/>
          <w:sz w:val="20"/>
          <w:szCs w:val="20"/>
          <w:b w:val="1"/>
          <w:bCs w:val="1"/>
          <w:color w:val="auto"/>
        </w:rPr>
        <w:t>THE TORO COMPANY AND SUBSIDIARIES Reconciliation of Non-GAAP Financial Measures (Unaudited) (Dollars in millions, except per-share data)</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following table provides a reconciliation of the non-GAAP financial performance measures used in this press release and our related earnings call to the most directly comparable measures calculated and reported in accordance with U.S. GAAP for the three and nine month periods ended August 2, 2024 and August 4, 2023:</w:t>
      </w:r>
    </w:p>
    <w:p>
      <w:pPr>
        <w:sectPr>
          <w:pgSz w:w="11900" w:h="16838" w:orient="portrait"/>
          <w:cols w:equalWidth="0" w:num="1">
            <w:col w:w="11240"/>
          </w:cols>
          <w:pgMar w:left="320" w:top="76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1"/>
        </w:trPr>
        <w:tc>
          <w:tcPr>
            <w:tcW w:w="4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7"/>
                <w:szCs w:val="17"/>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7"/>
                <w:szCs w:val="17"/>
                <w:b w:val="1"/>
                <w:bCs w:val="1"/>
                <w:color w:val="auto"/>
              </w:rPr>
              <w:t>Nine Months Ended</w:t>
            </w:r>
          </w:p>
        </w:tc>
      </w:tr>
      <w:tr>
        <w:trPr>
          <w:trHeight w:val="209"/>
        </w:trPr>
        <w:tc>
          <w:tcPr>
            <w:tcW w:w="4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6"/>
              </w:rPr>
              <w:t>August 2, 2024</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98"/>
              </w:rPr>
              <w:t>August 4, 2023</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6"/>
              </w:rPr>
              <w:t>August 2, 2024</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98"/>
              </w:rPr>
              <w:t>August 4, 2023</w:t>
            </w: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402.8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372.4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1,200.3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1,248.0</w:t>
            </w: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08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40" w:type="dxa"/>
            <w:vAlign w:val="bottom"/>
          </w:tcPr>
          <w:p>
            <w:pPr>
              <w:jc w:val="right"/>
              <w:ind w:right="137"/>
              <w:spacing w:after="0"/>
              <w:rPr>
                <w:sz w:val="20"/>
                <w:szCs w:val="20"/>
                <w:color w:val="auto"/>
              </w:rPr>
            </w:pPr>
            <w:r>
              <w:rPr>
                <w:rFonts w:ascii="Arial" w:cs="Arial" w:eastAsia="Arial" w:hAnsi="Arial"/>
                <w:sz w:val="17"/>
                <w:szCs w:val="17"/>
                <w:color w:val="auto"/>
              </w:rPr>
              <w:t>0.2</w:t>
            </w:r>
          </w:p>
        </w:tc>
      </w:tr>
      <w:tr>
        <w:trPr>
          <w:trHeight w:val="216"/>
        </w:trPr>
        <w:tc>
          <w:tcPr>
            <w:tcW w:w="42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10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6.9</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6.9</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r>
      <w:tr>
        <w:trPr>
          <w:trHeight w:val="20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gross profit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409.7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372.4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1,207.2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1,248.2</w:t>
            </w:r>
          </w:p>
        </w:tc>
      </w:tr>
      <w:tr>
        <w:trPr>
          <w:trHeight w:val="88"/>
        </w:trPr>
        <w:tc>
          <w:tcPr>
            <w:tcW w:w="422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10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34.8 %</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34.4 %</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34.2 %</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35.0 %</w:t>
            </w:r>
          </w:p>
        </w:tc>
      </w:tr>
      <w:tr>
        <w:trPr>
          <w:trHeight w:val="216"/>
        </w:trPr>
        <w:tc>
          <w:tcPr>
            <w:tcW w:w="42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10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0.6 %</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gross margin</w:t>
            </w:r>
          </w:p>
        </w:tc>
        <w:tc>
          <w:tcPr>
            <w:tcW w:w="10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35.4 %</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34.4 %</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34.4 %</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35.0 %</w:t>
            </w:r>
          </w:p>
        </w:tc>
      </w:tr>
      <w:tr>
        <w:trPr>
          <w:trHeight w:val="74"/>
        </w:trPr>
        <w:tc>
          <w:tcPr>
            <w:tcW w:w="422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7"/>
                <w:szCs w:val="17"/>
                <w:color w:val="auto"/>
              </w:rPr>
              <w:t>Operating earnings (loss)</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148.1</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17"/>
              <w:spacing w:after="0"/>
              <w:rPr>
                <w:sz w:val="20"/>
                <w:szCs w:val="20"/>
                <w:color w:val="auto"/>
              </w:rPr>
            </w:pPr>
            <w:r>
              <w:rPr>
                <w:rFonts w:ascii="Arial" w:cs="Arial" w:eastAsia="Arial" w:hAnsi="Arial"/>
                <w:sz w:val="17"/>
                <w:szCs w:val="17"/>
                <w:color w:val="auto"/>
              </w:rPr>
              <w:t>(19.1)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424.3</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37"/>
              <w:spacing w:after="0"/>
              <w:rPr>
                <w:sz w:val="20"/>
                <w:szCs w:val="20"/>
                <w:color w:val="auto"/>
              </w:rPr>
            </w:pPr>
            <w:r>
              <w:rPr>
                <w:rFonts w:ascii="Arial" w:cs="Arial" w:eastAsia="Arial" w:hAnsi="Arial"/>
                <w:sz w:val="17"/>
                <w:szCs w:val="17"/>
                <w:color w:val="auto"/>
              </w:rPr>
              <w:t>336.1</w:t>
            </w:r>
          </w:p>
        </w:tc>
      </w:tr>
      <w:tr>
        <w:trPr>
          <w:trHeight w:val="216"/>
        </w:trPr>
        <w:tc>
          <w:tcPr>
            <w:tcW w:w="42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0.5</w:t>
            </w: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108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10.9</w:t>
            </w:r>
          </w:p>
        </w:tc>
        <w:tc>
          <w:tcPr>
            <w:tcW w:w="16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19.2</w:t>
            </w:r>
          </w:p>
        </w:tc>
        <w:tc>
          <w:tcPr>
            <w:tcW w:w="180" w:type="dxa"/>
            <w:vAlign w:val="bottom"/>
          </w:tcPr>
          <w:p>
            <w:pPr>
              <w:spacing w:after="0"/>
              <w:rPr>
                <w:sz w:val="18"/>
                <w:szCs w:val="18"/>
                <w:color w:val="auto"/>
              </w:rPr>
            </w:pPr>
          </w:p>
        </w:tc>
        <w:tc>
          <w:tcPr>
            <w:tcW w:w="1340" w:type="dxa"/>
            <w:vAlign w:val="bottom"/>
          </w:tcPr>
          <w:p>
            <w:pPr>
              <w:jc w:val="right"/>
              <w:ind w:right="137"/>
              <w:spacing w:after="0"/>
              <w:rPr>
                <w:sz w:val="20"/>
                <w:szCs w:val="20"/>
                <w:color w:val="auto"/>
              </w:rPr>
            </w:pPr>
            <w:r>
              <w:rPr>
                <w:rFonts w:ascii="Arial" w:cs="Arial" w:eastAsia="Arial" w:hAnsi="Arial"/>
                <w:sz w:val="17"/>
                <w:szCs w:val="17"/>
                <w:color w:val="auto"/>
              </w:rPr>
              <w:t>—</w:t>
            </w:r>
          </w:p>
        </w:tc>
      </w:tr>
      <w:tr>
        <w:trPr>
          <w:trHeight w:val="216"/>
        </w:trPr>
        <w:tc>
          <w:tcPr>
            <w:tcW w:w="42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Non-cash impairment charges</w:t>
            </w:r>
            <w:r>
              <w:rPr>
                <w:rFonts w:ascii="Arial" w:cs="Arial" w:eastAsia="Arial" w:hAnsi="Arial"/>
                <w:sz w:val="21"/>
                <w:szCs w:val="21"/>
                <w:color w:val="auto"/>
                <w:vertAlign w:val="superscript"/>
              </w:rPr>
              <w:t>3</w:t>
            </w:r>
          </w:p>
        </w:tc>
        <w:tc>
          <w:tcPr>
            <w:tcW w:w="10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151.3</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151.3</w:t>
            </w:r>
          </w:p>
        </w:tc>
      </w:tr>
      <w:tr>
        <w:trPr>
          <w:trHeight w:val="20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operating earnings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159.0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132.2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443.5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487.9</w:t>
            </w:r>
          </w:p>
        </w:tc>
      </w:tr>
      <w:tr>
        <w:trPr>
          <w:trHeight w:val="88"/>
        </w:trPr>
        <w:tc>
          <w:tcPr>
            <w:tcW w:w="422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7"/>
                <w:szCs w:val="17"/>
                <w:color w:val="auto"/>
              </w:rPr>
              <w:t>Operating earnings (loss) margin</w:t>
            </w:r>
          </w:p>
        </w:tc>
        <w:tc>
          <w:tcPr>
            <w:tcW w:w="10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12.8 %</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12.1 %</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9.4 %</w:t>
            </w:r>
          </w:p>
        </w:tc>
      </w:tr>
      <w:tr>
        <w:trPr>
          <w:trHeight w:val="216"/>
        </w:trPr>
        <w:tc>
          <w:tcPr>
            <w:tcW w:w="42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0.9 %</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0.5 %</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6"/>
        </w:trPr>
        <w:tc>
          <w:tcPr>
            <w:tcW w:w="42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Non-cash impairment charges</w:t>
            </w:r>
            <w:r>
              <w:rPr>
                <w:rFonts w:ascii="Arial" w:cs="Arial" w:eastAsia="Arial" w:hAnsi="Arial"/>
                <w:sz w:val="21"/>
                <w:szCs w:val="21"/>
                <w:color w:val="auto"/>
                <w:vertAlign w:val="superscript"/>
              </w:rPr>
              <w:t>3</w:t>
            </w:r>
          </w:p>
        </w:tc>
        <w:tc>
          <w:tcPr>
            <w:tcW w:w="10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14.0 %</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4.3 %</w:t>
            </w:r>
          </w:p>
        </w:tc>
      </w:tr>
      <w:tr>
        <w:trPr>
          <w:trHeight w:val="209"/>
        </w:trPr>
        <w:tc>
          <w:tcPr>
            <w:tcW w:w="4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Adjusted operating earnings margin</w:t>
            </w:r>
          </w:p>
        </w:tc>
        <w:tc>
          <w:tcPr>
            <w:tcW w:w="10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13.7 %</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12.2 %</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12.6 %</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13.7 %</w:t>
            </w:r>
          </w:p>
        </w:tc>
      </w:tr>
      <w:tr>
        <w:trPr>
          <w:trHeight w:val="88"/>
        </w:trPr>
        <w:tc>
          <w:tcPr>
            <w:tcW w:w="42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before income taxes</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144.2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(28.6)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403.5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313.6</w:t>
            </w: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08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40" w:type="dxa"/>
            <w:vAlign w:val="bottom"/>
          </w:tcPr>
          <w:p>
            <w:pPr>
              <w:jc w:val="right"/>
              <w:ind w:right="137"/>
              <w:spacing w:after="0"/>
              <w:rPr>
                <w:sz w:val="20"/>
                <w:szCs w:val="20"/>
                <w:color w:val="auto"/>
              </w:rPr>
            </w:pPr>
            <w:r>
              <w:rPr>
                <w:rFonts w:ascii="Arial" w:cs="Arial" w:eastAsia="Arial" w:hAnsi="Arial"/>
                <w:sz w:val="17"/>
                <w:szCs w:val="17"/>
                <w:color w:val="auto"/>
              </w:rPr>
              <w:t>0.5</w:t>
            </w:r>
          </w:p>
        </w:tc>
      </w:tr>
      <w:tr>
        <w:trPr>
          <w:trHeight w:val="216"/>
        </w:trPr>
        <w:tc>
          <w:tcPr>
            <w:tcW w:w="42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6.6</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14.9</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r>
      <w:tr>
        <w:trPr>
          <w:trHeight w:val="216"/>
        </w:trPr>
        <w:tc>
          <w:tcPr>
            <w:tcW w:w="42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Non-cash impairment charges</w:t>
            </w:r>
            <w:r>
              <w:rPr>
                <w:rFonts w:ascii="Arial" w:cs="Arial" w:eastAsia="Arial" w:hAnsi="Arial"/>
                <w:sz w:val="21"/>
                <w:szCs w:val="21"/>
                <w:color w:val="auto"/>
                <w:vertAlign w:val="superscript"/>
              </w:rPr>
              <w:t>3</w:t>
            </w:r>
          </w:p>
        </w:tc>
        <w:tc>
          <w:tcPr>
            <w:tcW w:w="10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151.3</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151.3</w:t>
            </w:r>
          </w:p>
        </w:tc>
      </w:tr>
      <w:tr>
        <w:trPr>
          <w:trHeight w:val="210"/>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earnings before income taxes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150.8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122.7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418.4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465.4</w:t>
            </w:r>
          </w:p>
        </w:tc>
      </w:tr>
      <w:tr>
        <w:trPr>
          <w:trHeight w:val="88"/>
        </w:trPr>
        <w:tc>
          <w:tcPr>
            <w:tcW w:w="42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 (benefit)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24.9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(13.6)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74.5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54.2</w:t>
            </w: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08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40" w:type="dxa"/>
            <w:vAlign w:val="bottom"/>
          </w:tcPr>
          <w:p>
            <w:pPr>
              <w:jc w:val="right"/>
              <w:ind w:right="137"/>
              <w:spacing w:after="0"/>
              <w:rPr>
                <w:sz w:val="20"/>
                <w:szCs w:val="20"/>
                <w:color w:val="auto"/>
              </w:rPr>
            </w:pPr>
            <w:r>
              <w:rPr>
                <w:rFonts w:ascii="Arial" w:cs="Arial" w:eastAsia="Arial" w:hAnsi="Arial"/>
                <w:sz w:val="17"/>
                <w:szCs w:val="17"/>
                <w:color w:val="auto"/>
              </w:rPr>
              <w:t>0.1</w:t>
            </w:r>
          </w:p>
        </w:tc>
      </w:tr>
      <w:tr>
        <w:trPr>
          <w:trHeight w:val="216"/>
        </w:trPr>
        <w:tc>
          <w:tcPr>
            <w:tcW w:w="42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2.9</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Non-cash impairment charges</w:t>
            </w:r>
            <w:r>
              <w:rPr>
                <w:rFonts w:ascii="Arial" w:cs="Arial" w:eastAsia="Arial" w:hAnsi="Arial"/>
                <w:sz w:val="21"/>
                <w:szCs w:val="21"/>
                <w:color w:val="auto"/>
                <w:vertAlign w:val="superscript"/>
              </w:rPr>
              <w:t>3</w:t>
            </w:r>
          </w:p>
        </w:tc>
        <w:tc>
          <w:tcPr>
            <w:tcW w:w="108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36.7</w:t>
            </w:r>
          </w:p>
        </w:tc>
        <w:tc>
          <w:tcPr>
            <w:tcW w:w="18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40" w:type="dxa"/>
            <w:vAlign w:val="bottom"/>
          </w:tcPr>
          <w:p>
            <w:pPr>
              <w:jc w:val="right"/>
              <w:ind w:right="137"/>
              <w:spacing w:after="0"/>
              <w:rPr>
                <w:sz w:val="20"/>
                <w:szCs w:val="20"/>
                <w:color w:val="auto"/>
              </w:rPr>
            </w:pPr>
            <w:r>
              <w:rPr>
                <w:rFonts w:ascii="Arial" w:cs="Arial" w:eastAsia="Arial" w:hAnsi="Arial"/>
                <w:sz w:val="17"/>
                <w:szCs w:val="17"/>
                <w:color w:val="auto"/>
              </w:rPr>
              <w:t>36.7</w:t>
            </w:r>
          </w:p>
        </w:tc>
      </w:tr>
      <w:tr>
        <w:trPr>
          <w:trHeight w:val="216"/>
        </w:trPr>
        <w:tc>
          <w:tcPr>
            <w:tcW w:w="42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4</w:t>
            </w:r>
          </w:p>
        </w:tc>
        <w:tc>
          <w:tcPr>
            <w:tcW w:w="10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1.0</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0.2</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3.5</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5.0</w:t>
            </w:r>
          </w:p>
        </w:tc>
      </w:tr>
      <w:tr>
        <w:trPr>
          <w:trHeight w:val="21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income tax provision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96.0</w:t>
            </w:r>
          </w:p>
        </w:tc>
      </w:tr>
      <w:tr>
        <w:trPr>
          <w:trHeight w:val="88"/>
        </w:trPr>
        <w:tc>
          <w:tcPr>
            <w:tcW w:w="422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r>
      <w:tr>
        <w:trPr>
          <w:trHeight w:val="210"/>
        </w:trPr>
        <w:tc>
          <w:tcPr>
            <w:tcW w:w="4220" w:type="dxa"/>
            <w:vAlign w:val="bottom"/>
          </w:tcPr>
          <w:p>
            <w:pPr>
              <w:ind w:left="20"/>
              <w:spacing w:after="0"/>
              <w:rPr>
                <w:sz w:val="20"/>
                <w:szCs w:val="20"/>
                <w:color w:val="auto"/>
              </w:rPr>
            </w:pPr>
            <w:r>
              <w:rPr>
                <w:rFonts w:ascii="Arial" w:cs="Arial" w:eastAsia="Arial" w:hAnsi="Arial"/>
                <w:sz w:val="17"/>
                <w:szCs w:val="17"/>
                <w:color w:val="auto"/>
              </w:rPr>
              <w:t>Net earnings (loss)</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119.3</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17"/>
              <w:spacing w:after="0"/>
              <w:rPr>
                <w:sz w:val="20"/>
                <w:szCs w:val="20"/>
                <w:color w:val="auto"/>
              </w:rPr>
            </w:pPr>
            <w:r>
              <w:rPr>
                <w:rFonts w:ascii="Arial" w:cs="Arial" w:eastAsia="Arial" w:hAnsi="Arial"/>
                <w:sz w:val="17"/>
                <w:szCs w:val="17"/>
                <w:color w:val="auto"/>
              </w:rPr>
              <w:t>(15.0)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329.0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37"/>
              <w:spacing w:after="0"/>
              <w:rPr>
                <w:sz w:val="20"/>
                <w:szCs w:val="20"/>
                <w:color w:val="auto"/>
              </w:rPr>
            </w:pPr>
            <w:r>
              <w:rPr>
                <w:rFonts w:ascii="Arial" w:cs="Arial" w:eastAsia="Arial" w:hAnsi="Arial"/>
                <w:sz w:val="17"/>
                <w:szCs w:val="17"/>
                <w:color w:val="auto"/>
              </w:rPr>
              <w:t>259.4</w:t>
            </w:r>
          </w:p>
        </w:tc>
      </w:tr>
      <w:tr>
        <w:trPr>
          <w:trHeight w:val="216"/>
        </w:trPr>
        <w:tc>
          <w:tcPr>
            <w:tcW w:w="42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 net of tax</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0.4</w:t>
            </w: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Productivity initiative, net of tax</w:t>
            </w:r>
            <w:r>
              <w:rPr>
                <w:rFonts w:ascii="Arial" w:cs="Arial" w:eastAsia="Arial" w:hAnsi="Arial"/>
                <w:sz w:val="21"/>
                <w:szCs w:val="21"/>
                <w:color w:val="auto"/>
                <w:vertAlign w:val="superscript"/>
              </w:rPr>
              <w:t>2</w:t>
            </w:r>
          </w:p>
        </w:tc>
        <w:tc>
          <w:tcPr>
            <w:tcW w:w="108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5.4</w:t>
            </w:r>
          </w:p>
        </w:tc>
        <w:tc>
          <w:tcPr>
            <w:tcW w:w="16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12.0</w:t>
            </w:r>
          </w:p>
        </w:tc>
        <w:tc>
          <w:tcPr>
            <w:tcW w:w="180" w:type="dxa"/>
            <w:vAlign w:val="bottom"/>
          </w:tcPr>
          <w:p>
            <w:pPr>
              <w:spacing w:after="0"/>
              <w:rPr>
                <w:sz w:val="18"/>
                <w:szCs w:val="18"/>
                <w:color w:val="auto"/>
              </w:rPr>
            </w:pPr>
          </w:p>
        </w:tc>
        <w:tc>
          <w:tcPr>
            <w:tcW w:w="1340" w:type="dxa"/>
            <w:vAlign w:val="bottom"/>
          </w:tcPr>
          <w:p>
            <w:pPr>
              <w:jc w:val="right"/>
              <w:ind w:right="137"/>
              <w:spacing w:after="0"/>
              <w:rPr>
                <w:sz w:val="20"/>
                <w:szCs w:val="20"/>
                <w:color w:val="auto"/>
              </w:rPr>
            </w:pPr>
            <w:r>
              <w:rPr>
                <w:rFonts w:ascii="Arial" w:cs="Arial" w:eastAsia="Arial" w:hAnsi="Arial"/>
                <w:sz w:val="17"/>
                <w:szCs w:val="17"/>
                <w:color w:val="auto"/>
              </w:rPr>
              <w:t>—</w:t>
            </w:r>
          </w:p>
        </w:tc>
      </w:tr>
      <w:tr>
        <w:trPr>
          <w:trHeight w:val="216"/>
        </w:trPr>
        <w:tc>
          <w:tcPr>
            <w:tcW w:w="42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Non-cash impairment charges, net of tax</w:t>
            </w:r>
            <w:r>
              <w:rPr>
                <w:rFonts w:ascii="Arial" w:cs="Arial" w:eastAsia="Arial" w:hAnsi="Arial"/>
                <w:sz w:val="21"/>
                <w:szCs w:val="21"/>
                <w:color w:val="auto"/>
                <w:vertAlign w:val="superscript"/>
              </w:rPr>
              <w:t>3</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114.6</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114.6</w:t>
            </w:r>
          </w:p>
        </w:tc>
      </w:tr>
      <w:tr>
        <w:trPr>
          <w:trHeight w:val="216"/>
        </w:trPr>
        <w:tc>
          <w:tcPr>
            <w:tcW w:w="42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4</w:t>
            </w:r>
          </w:p>
        </w:tc>
        <w:tc>
          <w:tcPr>
            <w:tcW w:w="10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(1.0)</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(0.2)</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(3.5)</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(5.0)</w:t>
            </w:r>
          </w:p>
        </w:tc>
      </w:tr>
      <w:tr>
        <w:trPr>
          <w:trHeight w:val="210"/>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net earnings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123.7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99.4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337.5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369.4</w:t>
            </w:r>
          </w:p>
        </w:tc>
      </w:tr>
      <w:tr>
        <w:trPr>
          <w:trHeight w:val="88"/>
        </w:trPr>
        <w:tc>
          <w:tcPr>
            <w:tcW w:w="42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 (loss) per diluted share</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1.14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(0.14)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3.14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2.46</w:t>
            </w: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Productivity initiative, net of tax</w:t>
            </w:r>
            <w:r>
              <w:rPr>
                <w:rFonts w:ascii="Arial" w:cs="Arial" w:eastAsia="Arial" w:hAnsi="Arial"/>
                <w:sz w:val="21"/>
                <w:szCs w:val="21"/>
                <w:color w:val="auto"/>
                <w:vertAlign w:val="superscript"/>
              </w:rPr>
              <w:t>2</w:t>
            </w:r>
          </w:p>
        </w:tc>
        <w:tc>
          <w:tcPr>
            <w:tcW w:w="108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0.05</w:t>
            </w:r>
          </w:p>
        </w:tc>
        <w:tc>
          <w:tcPr>
            <w:tcW w:w="16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0.11</w:t>
            </w:r>
          </w:p>
        </w:tc>
        <w:tc>
          <w:tcPr>
            <w:tcW w:w="180" w:type="dxa"/>
            <w:vAlign w:val="bottom"/>
          </w:tcPr>
          <w:p>
            <w:pPr>
              <w:spacing w:after="0"/>
              <w:rPr>
                <w:sz w:val="18"/>
                <w:szCs w:val="18"/>
                <w:color w:val="auto"/>
              </w:rPr>
            </w:pPr>
          </w:p>
        </w:tc>
        <w:tc>
          <w:tcPr>
            <w:tcW w:w="1340" w:type="dxa"/>
            <w:vAlign w:val="bottom"/>
          </w:tcPr>
          <w:p>
            <w:pPr>
              <w:jc w:val="right"/>
              <w:ind w:right="137"/>
              <w:spacing w:after="0"/>
              <w:rPr>
                <w:sz w:val="20"/>
                <w:szCs w:val="20"/>
                <w:color w:val="auto"/>
              </w:rPr>
            </w:pPr>
            <w:r>
              <w:rPr>
                <w:rFonts w:ascii="Arial" w:cs="Arial" w:eastAsia="Arial" w:hAnsi="Arial"/>
                <w:sz w:val="17"/>
                <w:szCs w:val="17"/>
                <w:color w:val="auto"/>
              </w:rPr>
              <w:t>—</w:t>
            </w:r>
          </w:p>
        </w:tc>
      </w:tr>
      <w:tr>
        <w:trPr>
          <w:trHeight w:val="216"/>
        </w:trPr>
        <w:tc>
          <w:tcPr>
            <w:tcW w:w="42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Non-cash impairment charges, net of tax</w:t>
            </w:r>
            <w:r>
              <w:rPr>
                <w:rFonts w:ascii="Arial" w:cs="Arial" w:eastAsia="Arial" w:hAnsi="Arial"/>
                <w:sz w:val="21"/>
                <w:szCs w:val="21"/>
                <w:color w:val="auto"/>
                <w:vertAlign w:val="superscript"/>
              </w:rPr>
              <w:t>3</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1.09</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1.09</w:t>
            </w:r>
          </w:p>
        </w:tc>
      </w:tr>
      <w:tr>
        <w:trPr>
          <w:trHeight w:val="216"/>
        </w:trPr>
        <w:tc>
          <w:tcPr>
            <w:tcW w:w="42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4</w:t>
            </w:r>
          </w:p>
        </w:tc>
        <w:tc>
          <w:tcPr>
            <w:tcW w:w="10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(0.01)</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(0.03)</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(0.05)</w:t>
            </w:r>
          </w:p>
        </w:tc>
      </w:tr>
      <w:tr>
        <w:trPr>
          <w:trHeight w:val="235"/>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net earnings per diluted share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0.95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3.22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3.50</w:t>
            </w:r>
          </w:p>
        </w:tc>
      </w:tr>
      <w:tr>
        <w:trPr>
          <w:trHeight w:val="20"/>
        </w:trPr>
        <w:tc>
          <w:tcPr>
            <w:tcW w:w="4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17.3 %</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47.6 %</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18.5 %</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17.3 %</w:t>
            </w: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Non-cash impairment charges</w:t>
            </w:r>
            <w:r>
              <w:rPr>
                <w:rFonts w:ascii="Arial" w:cs="Arial" w:eastAsia="Arial" w:hAnsi="Arial"/>
                <w:sz w:val="21"/>
                <w:szCs w:val="21"/>
                <w:color w:val="auto"/>
                <w:vertAlign w:val="superscript"/>
              </w:rPr>
              <w:t>3</w:t>
            </w:r>
          </w:p>
        </w:tc>
        <w:tc>
          <w:tcPr>
            <w:tcW w:w="10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(27.5)%</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1.7 %</w:t>
            </w:r>
          </w:p>
        </w:tc>
      </w:tr>
      <w:tr>
        <w:trPr>
          <w:trHeight w:val="216"/>
        </w:trPr>
        <w:tc>
          <w:tcPr>
            <w:tcW w:w="42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4</w:t>
            </w:r>
          </w:p>
        </w:tc>
        <w:tc>
          <w:tcPr>
            <w:tcW w:w="10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0.7 %</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0.8 %</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r>
      <w:tr>
        <w:trPr>
          <w:trHeight w:val="21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effective tax rate</w:t>
            </w:r>
          </w:p>
        </w:tc>
        <w:tc>
          <w:tcPr>
            <w:tcW w:w="10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18.0 %</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19.0 %</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19.3 %</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20.6 %</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10" w:right="339" w:bottom="1440" w:gutter="0" w:footer="0" w:header="0"/>
        </w:sectPr>
      </w:pPr>
    </w:p>
    <w:bookmarkStart w:id="13" w:name="page14"/>
    <w:bookmarkEnd w:id="13"/>
    <w:p>
      <w:pPr>
        <w:ind w:left="260" w:hanging="171"/>
        <w:spacing w:after="0" w:line="222" w:lineRule="auto"/>
        <w:tabs>
          <w:tab w:leader="none" w:pos="308"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On January 13, 2022, the company completed the acquisition of Intimidator Group. Acquisition-related costs for the nine month period ended August 4, 2023 represent integration costs.</w:t>
      </w:r>
    </w:p>
    <w:p>
      <w:pPr>
        <w:spacing w:after="0" w:line="162" w:lineRule="exact"/>
        <w:rPr>
          <w:sz w:val="20"/>
          <w:szCs w:val="20"/>
          <w:color w:val="auto"/>
        </w:rPr>
      </w:pPr>
    </w:p>
    <w:p>
      <w:pPr>
        <w:jc w:val="both"/>
        <w:ind w:left="260" w:hanging="171"/>
        <w:spacing w:after="0" w:line="237" w:lineRule="auto"/>
        <w:tabs>
          <w:tab w:leader="none" w:pos="267"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 the first quarter of fiscal 2024, the company launched the "Amplifying Maximum Productivity" or AMP initiative. The company considered the nature, frequency, and scale of this initiative compared to prior productivity initiatives when determining that the expenses associated with AMP, unlike prior productivity initiatives, are not common, normal, recurring operating expenses and are not representative of the company's ongoing business operations. Productivity initiative charges for the three and nine month periods ended August 2, 2024 primarily represent third-party consulting costs, product-line exit costs, asset write-offs, and compensation for fully-dedicated AMP personnel, partially offset by a gain on divestiture.</w:t>
      </w:r>
    </w:p>
    <w:p>
      <w:pPr>
        <w:spacing w:after="0" w:line="161" w:lineRule="exact"/>
        <w:rPr>
          <w:sz w:val="20"/>
          <w:szCs w:val="20"/>
          <w:color w:val="auto"/>
        </w:rPr>
      </w:pPr>
    </w:p>
    <w:p>
      <w:pPr>
        <w:ind w:left="260" w:hanging="171"/>
        <w:spacing w:after="0" w:line="222" w:lineRule="auto"/>
        <w:tabs>
          <w:tab w:leader="none" w:pos="308"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At the end of the third quarter of fiscal 2023, the company recorded non-cash impairment charges within our Professional reportable segment related to the Intimidator Group operating segment.</w:t>
      </w:r>
    </w:p>
    <w:p>
      <w:pPr>
        <w:spacing w:after="0" w:line="148" w:lineRule="exact"/>
        <w:rPr>
          <w:sz w:val="20"/>
          <w:szCs w:val="20"/>
          <w:color w:val="auto"/>
        </w:rPr>
      </w:pPr>
    </w:p>
    <w:p>
      <w:pPr>
        <w:jc w:val="both"/>
        <w:ind w:left="260" w:hanging="171"/>
        <w:spacing w:after="0" w:line="262" w:lineRule="auto"/>
        <w:tabs>
          <w:tab w:leader="none" w:pos="281" w:val="left"/>
        </w:tabs>
        <w:numPr>
          <w:ilvl w:val="0"/>
          <w:numId w:val="13"/>
        </w:numPr>
        <w:rPr>
          <w:rFonts w:ascii="Arial" w:cs="Arial" w:eastAsia="Arial" w:hAnsi="Arial"/>
          <w:sz w:val="9"/>
          <w:szCs w:val="9"/>
          <w:color w:val="auto"/>
        </w:rPr>
      </w:pPr>
      <w:r>
        <w:rPr>
          <w:rFonts w:ascii="Arial" w:cs="Arial" w:eastAsia="Arial" w:hAnsi="Arial"/>
          <w:sz w:val="14"/>
          <w:szCs w:val="14"/>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nine month periods ended August 2, 2024 and August 4, 2023.</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Liquidity Measures</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company defines free cash flow as net cash provided by operating activities less purchases of property, plant and equipment, net of proceeds from insurance claim. Free cash flow conversion percentage represents free cash flow as a percentage of net earnings. The company considers free cash flow and free cash flow conversion percentage to be non-GAAP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following table provides a reconciliation of non-GAAP free cash flow and free cash flow conversion percentage to net cash provided by operating activities, which is the most directly comparable financial measure calculated and reported in accordance with U.S. GAAP, for the nine month periods ended August 2, 2024 and August 4, 2023:</w:t>
      </w:r>
    </w:p>
    <w:p>
      <w:pPr>
        <w:spacing w:after="0" w:line="175"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Nine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millions)</w:t>
            </w:r>
          </w:p>
        </w:tc>
        <w:tc>
          <w:tcPr>
            <w:tcW w:w="5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rPr>
              <w:t>August 2, 2024</w:t>
            </w:r>
          </w:p>
        </w:tc>
        <w:tc>
          <w:tcPr>
            <w:tcW w:w="2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August 4, 2023</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329.8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154.7</w:t>
            </w:r>
          </w:p>
        </w:tc>
      </w:tr>
      <w:tr>
        <w:trPr>
          <w:trHeight w:val="216"/>
        </w:trPr>
        <w:tc>
          <w:tcPr>
            <w:tcW w:w="69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Purchases of property, plant and equipment, net of proceeds from insurance claim</w:t>
            </w: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59.3</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98.6</w:t>
            </w:r>
          </w:p>
        </w:tc>
      </w:tr>
      <w:tr>
        <w:trPr>
          <w:trHeight w:val="210"/>
        </w:trPr>
        <w:tc>
          <w:tcPr>
            <w:tcW w:w="6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Free cash flow</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270.5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56.1</w:t>
            </w:r>
          </w:p>
        </w:tc>
      </w:tr>
      <w:tr>
        <w:trPr>
          <w:trHeight w:val="216"/>
        </w:trPr>
        <w:tc>
          <w:tcPr>
            <w:tcW w:w="69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329.0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259.4</w:t>
            </w:r>
          </w:p>
        </w:tc>
      </w:tr>
      <w:tr>
        <w:trPr>
          <w:trHeight w:val="235"/>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Free cash flow conversion percentage</w:t>
            </w:r>
          </w:p>
        </w:tc>
        <w:tc>
          <w:tcPr>
            <w:tcW w:w="5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82.2 %</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21.6 %</w:t>
            </w:r>
          </w:p>
        </w:tc>
      </w:tr>
      <w:tr>
        <w:trPr>
          <w:trHeight w:val="20"/>
        </w:trPr>
        <w:tc>
          <w:tcPr>
            <w:tcW w:w="6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240"/>
      </w:cols>
      <w:pgMar w:left="320" w:top="7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952"/>
    </w:lvl>
  </w:abstractNum>
  <w:abstractNum w:abstractNumId="2">
    <w:nsid w:val="7545E146"/>
    <w:multiLevelType w:val="hybridMultilevel"/>
    <w:lvl w:ilvl="0">
      <w:lvlJc w:val="left"/>
      <w:lvlText w:val="(%1)"/>
      <w:numFmt w:val="decimal"/>
      <w:start w:val="952"/>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bullet"/>
      <w:start w:val="1"/>
    </w:lvl>
  </w:abstractNum>
  <w:abstractNum w:abstractNumId="9">
    <w:nsid w:val="1190CDE7"/>
    <w:multiLevelType w:val="hybridMultilevel"/>
    <w:lvl w:ilvl="0">
      <w:lvlJc w:val="left"/>
      <w:lvlText w:val="1"/>
      <w:numFmt w:val="bullet"/>
      <w:start w:val="1"/>
    </w:lvl>
  </w:abstractNum>
  <w:abstractNum w:abstractNumId="10">
    <w:nsid w:val="66EF438D"/>
    <w:multiLevelType w:val="hybridMultilevel"/>
    <w:lvl w:ilvl="0">
      <w:lvlJc w:val="left"/>
      <w:lvlText w:val="2"/>
      <w:numFmt w:val="bullet"/>
      <w:start w:val="1"/>
    </w:lvl>
  </w:abstractNum>
  <w:abstractNum w:abstractNumId="11">
    <w:nsid w:val="140E0F76"/>
    <w:multiLevelType w:val="hybridMultilevel"/>
    <w:lvl w:ilvl="0">
      <w:lvlJc w:val="left"/>
      <w:lvlText w:val="3"/>
      <w:numFmt w:val="bullet"/>
      <w:start w:val="1"/>
    </w:lvl>
  </w:abstractNum>
  <w:abstractNum w:abstractNumId="12">
    <w:nsid w:val="3352255A"/>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2024-09-05T08:07:10Z</dcterms:created>
  <dcterms:modified xsi:type="dcterms:W3CDTF">2024-09-05T08:07:10Z</dcterms:modified>
</cp:coreProperties>
</file>