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1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166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12/07/2010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Secretary,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12/07/2010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1,604</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2,685.317</w:t>
            </w:r>
            <w:r>
              <w:rPr>
                <w:rFonts w:ascii="Arial" w:cs="Arial" w:eastAsia="Arial" w:hAnsi="Arial"/>
                <w:sz w:val="22"/>
                <w:szCs w:val="22"/>
                <w:color w:val="008000"/>
                <w:w w:val="87"/>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1,833.868</w:t>
            </w:r>
            <w:r>
              <w:rPr>
                <w:rFonts w:ascii="Arial" w:cs="Arial" w:eastAsia="Arial" w:hAnsi="Arial"/>
                <w:sz w:val="22"/>
                <w:szCs w:val="22"/>
                <w:color w:val="008000"/>
                <w:w w:val="87"/>
                <w:vertAlign w:val="superscript"/>
              </w:rPr>
              <w:t>(3)</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8"/>
              </w:rPr>
              <w:t>147.755</w:t>
            </w:r>
            <w:r>
              <w:rPr>
                <w:rFonts w:ascii="Arial" w:cs="Arial" w:eastAsia="Arial" w:hAnsi="Arial"/>
                <w:sz w:val="22"/>
                <w:szCs w:val="22"/>
                <w:color w:val="008000"/>
                <w:w w:val="88"/>
                <w:vertAlign w:val="superscript"/>
              </w:rPr>
              <w:t>(4)</w:t>
            </w:r>
          </w:p>
        </w:tc>
        <w:tc>
          <w:tcPr>
            <w:tcW w:w="960" w:type="dxa"/>
            <w:vAlign w:val="bottom"/>
          </w:tcPr>
          <w:p>
            <w:pPr>
              <w:ind w:left="46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12/08/2010</w:t>
            </w:r>
          </w:p>
        </w:tc>
        <w:tc>
          <w:tcPr>
            <w:tcW w:w="112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11,500</w:t>
            </w:r>
          </w:p>
        </w:tc>
        <w:tc>
          <w:tcPr>
            <w:tcW w:w="3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12/08/2020</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11,500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11,500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0"/>
                <w:szCs w:val="20"/>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The reporting person has deferred the payout of his Performance Share Awards under The Toro Company Deferred Compensation Plan for Officers and, accordingly, the reporting person's Performance Share Awards are paid in Performance Share Units under The Toro Company Deferred Compensation Plan for Officers.</w:t>
      </w:r>
    </w:p>
    <w:p>
      <w:pPr>
        <w:spacing w:after="0" w:line="25"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15.317 Performance Share Units acquired by the reporting person under the dividend reinvestment feature of The Toro Company Deferred Compensation Plan for Officers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0.975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40" w:right="7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1.545 shares acquired under the dividend reinvestment feature of The Toro Company Investment, Savings &amp; ESOP (IS&amp;ESOP); and 73.021 shares acquired through issuer annual investment fund contributions to the IS&amp;ESOP.</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Amy E. Dahl,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12/09/2010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2019-12-17T00:44:28Z</dcterms:created>
  <dcterms:modified xsi:type="dcterms:W3CDTF">2019-12-17T00:44:28Z</dcterms:modified>
</cp:coreProperties>
</file>