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8-K 1 ttc052520178k.htm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25, 2017</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On May 25, 2017, The Toro Company announced its earnings for the three and six months ended May 5, 2017.</w:t>
      </w:r>
    </w:p>
    <w:p>
      <w:pPr>
        <w:spacing w:after="0" w:line="216"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ectPr>
          <w:pgSz w:w="11900" w:h="16838" w:orient="portrait"/>
          <w:cols w:equalWidth="0" w:num="1">
            <w:col w:w="10219"/>
          </w:cols>
          <w:pgMar w:left="240" w:top="576" w:right="1440" w:bottom="1440" w:gutter="0" w:footer="0" w:header="0"/>
        </w:sect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105" w:lineRule="exact"/>
        <w:rPr>
          <w:sz w:val="20"/>
          <w:szCs w:val="20"/>
          <w:color w:val="auto"/>
        </w:rPr>
      </w:pPr>
    </w:p>
    <w:p>
      <w:pPr>
        <w:sectPr>
          <w:pgSz w:w="11900" w:h="16838" w:orient="portrait"/>
          <w:cols w:equalWidth="0" w:num="2">
            <w:col w:w="1720" w:space="720"/>
            <w:col w:w="7779"/>
          </w:cols>
          <w:pgMar w:left="240" w:top="576" w:right="1440"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dated May 25, 2017 (furnished herewith).</w:t>
      </w:r>
    </w:p>
    <w:p>
      <w:pPr>
        <w:sectPr>
          <w:pgSz w:w="11900" w:h="16838" w:orient="portrait"/>
          <w:cols w:equalWidth="0" w:num="2">
            <w:col w:w="1720" w:space="720"/>
            <w:col w:w="7779"/>
          </w:cols>
          <w:pgMar w:left="240" w:top="576" w:right="1440"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May 25,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8540" w:type="dxa"/>
            <w:vAlign w:val="bottom"/>
          </w:tcPr>
          <w:p>
            <w:pPr>
              <w:ind w:left="204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54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Press release dated May 25, 2017 (furnished herewith).</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9950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tabs>
          <w:tab w:leader="none" w:pos="3740" w:val="left"/>
        </w:tabs>
        <w:rPr>
          <w:sz w:val="20"/>
          <w:szCs w:val="20"/>
          <w:color w:val="auto"/>
        </w:rPr>
      </w:pPr>
      <w:r>
        <w:rPr>
          <w:rFonts w:ascii="Arial" w:cs="Arial" w:eastAsia="Arial" w:hAnsi="Arial"/>
          <w:sz w:val="18"/>
          <w:szCs w:val="18"/>
          <w:b w:val="1"/>
          <w:bCs w:val="1"/>
          <w:color w:val="auto"/>
        </w:rPr>
        <w:t>Investor Relations</w:t>
      </w:r>
      <w:r>
        <w:rPr>
          <w:sz w:val="20"/>
          <w:szCs w:val="20"/>
          <w:color w:val="auto"/>
        </w:rPr>
        <w:tab/>
      </w:r>
      <w:r>
        <w:rPr>
          <w:rFonts w:ascii="Arial" w:cs="Arial" w:eastAsia="Arial" w:hAnsi="Arial"/>
          <w:sz w:val="17"/>
          <w:szCs w:val="17"/>
          <w:color w:val="auto"/>
        </w:rPr>
        <w:t>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10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10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Record Second Quarter Results</w:t>
      </w:r>
    </w:p>
    <w:p>
      <w:pPr>
        <w:spacing w:after="0" w:line="2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Strong performance in both the professional and residential segments drove record revenue for the quarter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Net earnings per share for the quarter reached a record $1.08</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Innovative new products well received by customers</w:t>
      </w:r>
    </w:p>
    <w:p>
      <w:pPr>
        <w:spacing w:after="0" w:line="21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BLOOMINGTON, Minn. (May 25, 2017) - The Toro Company (NYSE: TTC) today reported net earnings of $120.5 million, or $1.08 per share, on a net sales increase of 4.3 percent to $872.8 million for its 2017 second quarter ended May 5, 2017. In the comparable fiscal 2016 period, the company delivered net earnings of $105.7 million, or $0.94 per share, on net sales of $836.4 million.</w:t>
      </w:r>
    </w:p>
    <w:p>
      <w:pPr>
        <w:spacing w:after="0" w:line="20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For the first six months, Toro reported net earnings of $165.5 million, or $1.48 per share, on a net sales increase of 5 percent to $1,388.6 million. In the comparable fiscal 2016 period, the company posted net earnings of $144.9 million, or $1.29 per share, on net sales of $1,322.8 million.</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“Solid performance in both our professional and residential segments contributed nicely to the revenue growth we achieved for the quarter,” said Richard M. Olson, Toro’s president and chief executive officer. “The golf equipment business continues to perform well as customers enhance their fleets with innovative turf solutions like the compact and lighter weight Reelmaster® fairway mower and the Greensmaster® TriFlex™ hybrid mower, which delivers the precision cutting capabilities of a walk greens mower with the productivity of a riding unit. We are also pleased by the performance of our rental and specialty construction businesses. Expanding our product lineup, particularly in the rental channels, has been successful.”</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annual Toro Days sales event generated solid results in our residential business for the quarter,” said Olson. “We saw strong demand for our walk power mowers during the early part of spring and that momentum continues. We are also particularly excited about the new Personal Pace® PoweReverse™ mower with reverse assist for ease of use and maneuvering. This revolutionary new design delivers power where it’s needed by featuring a self-propel system that activates in both forward and reverse.”</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“As we look across all of our businesses, we are encouraged by the retail momentum we are seeing, but we acknowledge that we still have much of the key selling season ahead of us. I am pleased by the steady progress we are making on our working capital initiatives and the other Destination PRIME goals. As we enter the second half of the fiscal year, we will continue to execute against our customers’ expectations by delivering value-added innovations in the markets and industries we serve, while maintaining operational flexibility and prudently managing expenses.”</w:t>
      </w:r>
    </w:p>
    <w:p>
      <w:pPr>
        <w:sectPr>
          <w:pgSz w:w="11900" w:h="16838" w:orient="portrait"/>
          <w:cols w:equalWidth="0" w:num="1">
            <w:col w:w="11380"/>
          </w:cols>
          <w:pgMar w:left="240" w:top="1440" w:right="27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company now expects revenue growth for fiscal 2017 to be about 4.5 percent and net earnings per share to increase to about $2.35. For the third quarter, the company expects net earnings per share to be about $0.56.</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60" w:hanging="332"/>
        <w:spacing w:after="0" w:line="24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net sales for the second quarter totaled $610.9 million, up 2.6 percent from $595.2 million in the same period last year. The increase was due largely to strong demand for products in our golf equipment and rental businesses. For the first six months, professional segment net sales were $982.7 million, up 5.2 percent from the comparable fiscal 2016 period. For the year-to-date period, sales benefited from momentum in our golf equipment and landscape contractor businesses. Growth in our BOSS and specialty construction businesses also contributed to the six month results.</w:t>
      </w:r>
    </w:p>
    <w:p>
      <w:pPr>
        <w:spacing w:after="0" w:line="209" w:lineRule="exact"/>
        <w:rPr>
          <w:rFonts w:ascii="Arial" w:cs="Arial" w:eastAsia="Arial" w:hAnsi="Arial"/>
          <w:sz w:val="18"/>
          <w:szCs w:val="18"/>
          <w:color w:val="auto"/>
        </w:rPr>
      </w:pPr>
    </w:p>
    <w:p>
      <w:pPr>
        <w:ind w:left="340" w:right="260" w:hanging="332"/>
        <w:spacing w:after="0" w:line="24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earnings for the second quarter totaled $149.0 million, up 5.2 percent from $141.6 million in the same period last year. For the first six months, professional segment earnings were $217.2 million, up 6.9 percent from the comparable fiscal 2016 period.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180" w:hanging="332"/>
        <w:spacing w:after="0" w:line="24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net sales for the second quarter were $258.1 million, up 8.4 percent from $238.2 million in the same period last year. The sales increase was primarily due to solid demand for our walk power mowers in the mass channels and for zero turn riding mowers in our dealer network. For the first six months, residential segment net sales were $398.5 million, up 4.2 percent from the comparable fiscal 2016 period. Increased sales of our walk power mowers have been a key factor in driving performance year-to-date.</w:t>
      </w:r>
    </w:p>
    <w:p>
      <w:pPr>
        <w:spacing w:after="0" w:line="209" w:lineRule="exact"/>
        <w:rPr>
          <w:rFonts w:ascii="Arial" w:cs="Arial" w:eastAsia="Arial" w:hAnsi="Arial"/>
          <w:sz w:val="18"/>
          <w:szCs w:val="18"/>
          <w:color w:val="auto"/>
        </w:rPr>
      </w:pPr>
    </w:p>
    <w:p>
      <w:pPr>
        <w:ind w:left="340" w:right="80" w:hanging="332"/>
        <w:spacing w:after="0" w:line="24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earnings for the second quarter were $35.0 million, which is flat compared to the same period last year. For the first six months, residential segment earnings were $51.6 million, which is also flat compared to the fiscal 2016 period. Higher freight costs and a specific product warranty issue negatively impacted the results for both periods.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Gross margin as a percent of sales for the second quarter was 36.2 percent, which is consistent with the same period last year. Productivity improvements were offset by commodity headwinds and the impacts of segment mix, which contributed to the quarterly results. For the first six months, gross margin as a percent of sales was 36.7 percent, also consistent with the comparable period last year. Commodity cost increases offset productivity improvements, which contributed to the results year-to-date.</w:t>
      </w:r>
    </w:p>
    <w:p>
      <w:pPr>
        <w:spacing w:after="0" w:line="20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Selling, general and administrative (SG&amp;A) expense as a percent of sales for the second quarter was 18.0 percent, an increase of 30 basis points from the same period last year. Higher incentive and warranty costs were the main factors behind the increase. For the first six months, SG&amp;A expense as a percent of sales was 20.9 percent, which is consistent with the comparable period last year.</w:t>
      </w:r>
    </w:p>
    <w:p>
      <w:pPr>
        <w:spacing w:after="0" w:line="207"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Operating earnings as a percent of sales for the second quarter was 18.3 percent, a decrease of 20 basis points year over year. Operating earnings as a percent of sales for the first six months was 15.8 percent, which is the same as the comparable period last year.</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effective tax rate for the second quarter was 23.9 percent, down from 31.5 percent year over year. For the first six months, the effective tax rate was 24.1 percent, down from 30.3 percent in the same period last year. The resulting change is driven by adoption of the new share based accounting standard this fiscal year.</w:t>
      </w:r>
    </w:p>
    <w:p>
      <w:pPr>
        <w:sectPr>
          <w:pgSz w:w="11900" w:h="16838" w:orient="portrait"/>
          <w:cols w:equalWidth="0" w:num="1">
            <w:col w:w="11400"/>
          </w:cols>
          <w:pgMar w:left="240" w:top="544" w:right="25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3"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Accounts receivable at the end of the second quarter totaled $328.5 million, down 0.4 percent compared to last year. Net inventories were $341.6 million, down 7.4 percent and trade payables were $273.6 million, up 5.0 percent compared to the same period last year.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25, 2017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9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i w:val="1"/>
          <w:iCs w:val="1"/>
          <w:color w:val="auto"/>
        </w:rPr>
        <w:t xml:space="preserve">The Toro Company will conduct its earnings call and webcast for investors beginning at 10:00 a.m. CDT on May 25, 2017.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conflict mineral disclosure,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20"/>
          </w:cols>
          <w:pgMar w:left="240" w:top="544"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May 5,</w:t>
            </w:r>
          </w:p>
        </w:tc>
        <w:tc>
          <w:tcPr>
            <w:tcW w:w="340" w:type="dxa"/>
            <w:vAlign w:val="bottom"/>
          </w:tcPr>
          <w:p>
            <w:pPr>
              <w:spacing w:after="0"/>
              <w:rPr>
                <w:sz w:val="13"/>
                <w:szCs w:val="13"/>
                <w:color w:val="auto"/>
              </w:rPr>
            </w:pPr>
          </w:p>
        </w:tc>
        <w:tc>
          <w:tcPr>
            <w:tcW w:w="126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April 29,</w:t>
            </w:r>
          </w:p>
        </w:tc>
        <w:tc>
          <w:tcPr>
            <w:tcW w:w="420" w:type="dxa"/>
            <w:vAlign w:val="bottom"/>
          </w:tcPr>
          <w:p>
            <w:pPr>
              <w:spacing w:after="0"/>
              <w:rPr>
                <w:sz w:val="13"/>
                <w:szCs w:val="13"/>
                <w:color w:val="auto"/>
              </w:rPr>
            </w:pPr>
          </w:p>
        </w:tc>
        <w:tc>
          <w:tcPr>
            <w:tcW w:w="116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May 5,</w:t>
            </w:r>
          </w:p>
        </w:tc>
        <w:tc>
          <w:tcPr>
            <w:tcW w:w="340" w:type="dxa"/>
            <w:vAlign w:val="bottom"/>
          </w:tcPr>
          <w:p>
            <w:pPr>
              <w:spacing w:after="0"/>
              <w:rPr>
                <w:sz w:val="13"/>
                <w:szCs w:val="13"/>
                <w:color w:val="auto"/>
              </w:rPr>
            </w:pPr>
          </w:p>
        </w:tc>
        <w:tc>
          <w:tcPr>
            <w:tcW w:w="116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5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872,767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836,441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1,388,606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1,322,839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316,314</w:t>
            </w:r>
          </w:p>
        </w:tc>
        <w:tc>
          <w:tcPr>
            <w:tcW w:w="3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303,187</w:t>
            </w:r>
          </w:p>
        </w:tc>
        <w:tc>
          <w:tcPr>
            <w:tcW w:w="42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509,794</w:t>
            </w:r>
          </w:p>
        </w:tc>
        <w:tc>
          <w:tcPr>
            <w:tcW w:w="3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485,841</w:t>
            </w: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percent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157,018</w:t>
            </w:r>
          </w:p>
        </w:tc>
        <w:tc>
          <w:tcPr>
            <w:tcW w:w="3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148,097</w:t>
            </w:r>
          </w:p>
        </w:tc>
        <w:tc>
          <w:tcPr>
            <w:tcW w:w="42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289,928</w:t>
            </w:r>
          </w:p>
        </w:tc>
        <w:tc>
          <w:tcPr>
            <w:tcW w:w="3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276,912</w:t>
            </w:r>
          </w:p>
        </w:tc>
      </w:tr>
      <w:tr>
        <w:trPr>
          <w:trHeight w:val="27"/>
        </w:trPr>
        <w:tc>
          <w:tcPr>
            <w:tcW w:w="5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159,296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155,090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219,866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208,929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(4,676)</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(4,721)</w:t>
            </w:r>
          </w:p>
        </w:tc>
        <w:tc>
          <w:tcPr>
            <w:tcW w:w="4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(9,559)</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(9,375)</w:t>
            </w: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3,701</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3,873</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7,567</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8,385</w:t>
            </w:r>
          </w:p>
        </w:tc>
      </w:tr>
      <w:tr>
        <w:trPr>
          <w:trHeight w:val="237"/>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158,321</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154,242</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217,874</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207,939</w:t>
            </w: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37,846</w:t>
            </w: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48,561</w:t>
            </w: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52,409</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62,997</w:t>
            </w:r>
          </w:p>
        </w:tc>
      </w:tr>
      <w:tr>
        <w:trPr>
          <w:trHeight w:val="237"/>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120,475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105,681</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165,465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144,942</w:t>
            </w:r>
          </w:p>
        </w:tc>
      </w:tr>
      <w:tr>
        <w:trPr>
          <w:trHeight w:val="67"/>
        </w:trPr>
        <w:tc>
          <w:tcPr>
            <w:tcW w:w="5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51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0.96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1.32</w:t>
            </w:r>
          </w:p>
        </w:tc>
      </w:tr>
      <w:tr>
        <w:trPr>
          <w:trHeight w:val="27"/>
        </w:trPr>
        <w:tc>
          <w:tcPr>
            <w:tcW w:w="5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51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0.94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1.29</w:t>
            </w:r>
          </w:p>
        </w:tc>
      </w:tr>
      <w:tr>
        <w:trPr>
          <w:trHeight w:val="27"/>
        </w:trPr>
        <w:tc>
          <w:tcPr>
            <w:tcW w:w="5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5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 —</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0"/>
                <w:szCs w:val="20"/>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108,203</w:t>
            </w:r>
          </w:p>
        </w:tc>
        <w:tc>
          <w:tcPr>
            <w:tcW w:w="340" w:type="dxa"/>
            <w:vAlign w:val="bottom"/>
          </w:tcPr>
          <w:p>
            <w:pPr>
              <w:spacing w:after="0"/>
              <w:rPr>
                <w:sz w:val="20"/>
                <w:szCs w:val="20"/>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109,808</w:t>
            </w:r>
          </w:p>
        </w:tc>
        <w:tc>
          <w:tcPr>
            <w:tcW w:w="42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108,419</w:t>
            </w:r>
          </w:p>
        </w:tc>
        <w:tc>
          <w:tcPr>
            <w:tcW w:w="34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109,918</w:t>
            </w: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 —</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111,138</w:t>
            </w:r>
          </w:p>
        </w:tc>
        <w:tc>
          <w:tcPr>
            <w:tcW w:w="340" w:type="dxa"/>
            <w:vAlign w:val="bottom"/>
          </w:tcPr>
          <w:p>
            <w:pPr>
              <w:spacing w:after="0"/>
              <w:rPr>
                <w:sz w:val="20"/>
                <w:szCs w:val="20"/>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111,972</w:t>
            </w:r>
          </w:p>
        </w:tc>
        <w:tc>
          <w:tcPr>
            <w:tcW w:w="42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111,451</w:t>
            </w:r>
          </w:p>
        </w:tc>
        <w:tc>
          <w:tcPr>
            <w:tcW w:w="34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112,154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Net Sales</w:t>
            </w:r>
          </w:p>
        </w:tc>
        <w:tc>
          <w:tcPr>
            <w:tcW w:w="1600" w:type="dxa"/>
            <w:vAlign w:val="bottom"/>
          </w:tcPr>
          <w:p>
            <w:pPr>
              <w:spacing w:after="0"/>
              <w:rPr>
                <w:sz w:val="13"/>
                <w:szCs w:val="13"/>
                <w:color w:val="auto"/>
              </w:rPr>
            </w:pPr>
          </w:p>
        </w:tc>
        <w:tc>
          <w:tcPr>
            <w:tcW w:w="114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8"/>
              </w:rPr>
              <w:t>May 5,</w:t>
            </w:r>
          </w:p>
        </w:tc>
        <w:tc>
          <w:tcPr>
            <w:tcW w:w="320" w:type="dxa"/>
            <w:vAlign w:val="bottom"/>
          </w:tcPr>
          <w:p>
            <w:pPr>
              <w:spacing w:after="0"/>
              <w:rPr>
                <w:sz w:val="13"/>
                <w:szCs w:val="13"/>
                <w:color w:val="auto"/>
              </w:rPr>
            </w:pPr>
          </w:p>
        </w:tc>
        <w:tc>
          <w:tcPr>
            <w:tcW w:w="120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7"/>
              </w:rPr>
              <w:t>April 29,</w:t>
            </w:r>
          </w:p>
        </w:tc>
        <w:tc>
          <w:tcPr>
            <w:tcW w:w="400" w:type="dxa"/>
            <w:vAlign w:val="bottom"/>
          </w:tcPr>
          <w:p>
            <w:pPr>
              <w:spacing w:after="0"/>
              <w:rPr>
                <w:sz w:val="13"/>
                <w:szCs w:val="13"/>
                <w:color w:val="auto"/>
              </w:rPr>
            </w:pPr>
          </w:p>
        </w:tc>
        <w:tc>
          <w:tcPr>
            <w:tcW w:w="114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8"/>
              </w:rPr>
              <w:t>May 5,</w:t>
            </w:r>
          </w:p>
        </w:tc>
        <w:tc>
          <w:tcPr>
            <w:tcW w:w="320" w:type="dxa"/>
            <w:vAlign w:val="bottom"/>
          </w:tcPr>
          <w:p>
            <w:pPr>
              <w:spacing w:after="0"/>
              <w:rPr>
                <w:sz w:val="13"/>
                <w:szCs w:val="13"/>
                <w:color w:val="auto"/>
              </w:rPr>
            </w:pPr>
          </w:p>
        </w:tc>
        <w:tc>
          <w:tcPr>
            <w:tcW w:w="1100" w:type="dxa"/>
            <w:vAlign w:val="bottom"/>
          </w:tcPr>
          <w:p>
            <w:pPr>
              <w:jc w:val="center"/>
              <w:ind w:right="216"/>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610,896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595,209</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982,705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934,045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258,134</w:t>
            </w:r>
          </w:p>
        </w:tc>
        <w:tc>
          <w:tcPr>
            <w:tcW w:w="32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238,231</w:t>
            </w:r>
          </w:p>
        </w:tc>
        <w:tc>
          <w:tcPr>
            <w:tcW w:w="40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398,524</w:t>
            </w:r>
          </w:p>
        </w:tc>
        <w:tc>
          <w:tcPr>
            <w:tcW w:w="3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382,515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3,737</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3,001</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7,377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37"/>
        </w:trPr>
        <w:tc>
          <w:tcPr>
            <w:tcW w:w="4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872,767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836,441</w:t>
            </w:r>
          </w:p>
        </w:tc>
        <w:tc>
          <w:tcPr>
            <w:tcW w:w="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1,388,606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1,322,839</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Sales of:</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201,641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196,359</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332,883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323,602</w:t>
            </w:r>
          </w:p>
        </w:tc>
        <w:tc>
          <w:tcPr>
            <w:tcW w:w="0" w:type="dxa"/>
            <w:vAlign w:val="bottom"/>
          </w:tcPr>
          <w:p>
            <w:pPr>
              <w:spacing w:after="0"/>
              <w:rPr>
                <w:sz w:val="1"/>
                <w:szCs w:val="1"/>
                <w:color w:val="auto"/>
              </w:rPr>
            </w:pPr>
          </w:p>
        </w:tc>
      </w:tr>
      <w:tr>
        <w:trPr>
          <w:trHeight w:val="393"/>
        </w:trPr>
        <w:tc>
          <w:tcPr>
            <w:tcW w:w="42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Earnings (Loss) Before Income Taxes</w:t>
            </w:r>
          </w:p>
        </w:tc>
        <w:tc>
          <w:tcPr>
            <w:tcW w:w="1600" w:type="dxa"/>
            <w:vAlign w:val="bottom"/>
          </w:tcPr>
          <w:p>
            <w:pPr>
              <w:spacing w:after="0"/>
              <w:rPr>
                <w:sz w:val="13"/>
                <w:szCs w:val="13"/>
                <w:color w:val="auto"/>
              </w:rPr>
            </w:pPr>
          </w:p>
        </w:tc>
        <w:tc>
          <w:tcPr>
            <w:tcW w:w="114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8"/>
              </w:rPr>
              <w:t>May 5,</w:t>
            </w:r>
          </w:p>
        </w:tc>
        <w:tc>
          <w:tcPr>
            <w:tcW w:w="320" w:type="dxa"/>
            <w:vAlign w:val="bottom"/>
          </w:tcPr>
          <w:p>
            <w:pPr>
              <w:spacing w:after="0"/>
              <w:rPr>
                <w:sz w:val="13"/>
                <w:szCs w:val="13"/>
                <w:color w:val="auto"/>
              </w:rPr>
            </w:pPr>
          </w:p>
        </w:tc>
        <w:tc>
          <w:tcPr>
            <w:tcW w:w="120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7"/>
              </w:rPr>
              <w:t>April 29,</w:t>
            </w:r>
          </w:p>
        </w:tc>
        <w:tc>
          <w:tcPr>
            <w:tcW w:w="400" w:type="dxa"/>
            <w:vAlign w:val="bottom"/>
          </w:tcPr>
          <w:p>
            <w:pPr>
              <w:spacing w:after="0"/>
              <w:rPr>
                <w:sz w:val="13"/>
                <w:szCs w:val="13"/>
                <w:color w:val="auto"/>
              </w:rPr>
            </w:pPr>
          </w:p>
        </w:tc>
        <w:tc>
          <w:tcPr>
            <w:tcW w:w="114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8"/>
              </w:rPr>
              <w:t>May 5,</w:t>
            </w:r>
          </w:p>
        </w:tc>
        <w:tc>
          <w:tcPr>
            <w:tcW w:w="320" w:type="dxa"/>
            <w:vAlign w:val="bottom"/>
          </w:tcPr>
          <w:p>
            <w:pPr>
              <w:spacing w:after="0"/>
              <w:rPr>
                <w:sz w:val="13"/>
                <w:szCs w:val="13"/>
                <w:color w:val="auto"/>
              </w:rPr>
            </w:pPr>
          </w:p>
        </w:tc>
        <w:tc>
          <w:tcPr>
            <w:tcW w:w="1100" w:type="dxa"/>
            <w:vAlign w:val="bottom"/>
          </w:tcPr>
          <w:p>
            <w:pPr>
              <w:jc w:val="center"/>
              <w:ind w:right="216"/>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149,011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141,623</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217,177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203,215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35,047</w:t>
            </w:r>
          </w:p>
        </w:tc>
        <w:tc>
          <w:tcPr>
            <w:tcW w:w="32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34,988</w:t>
            </w:r>
          </w:p>
        </w:tc>
        <w:tc>
          <w:tcPr>
            <w:tcW w:w="40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51,605</w:t>
            </w:r>
          </w:p>
        </w:tc>
        <w:tc>
          <w:tcPr>
            <w:tcW w:w="3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51,727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(25,737)</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(22,369)</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(50,908)</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(47,003)</w:t>
            </w:r>
          </w:p>
        </w:tc>
        <w:tc>
          <w:tcPr>
            <w:tcW w:w="0" w:type="dxa"/>
            <w:vAlign w:val="bottom"/>
          </w:tcPr>
          <w:p>
            <w:pPr>
              <w:spacing w:after="0"/>
              <w:rPr>
                <w:sz w:val="1"/>
                <w:szCs w:val="1"/>
                <w:color w:val="auto"/>
              </w:rPr>
            </w:pPr>
          </w:p>
        </w:tc>
      </w:tr>
      <w:tr>
        <w:trPr>
          <w:trHeight w:val="237"/>
        </w:trPr>
        <w:tc>
          <w:tcPr>
            <w:tcW w:w="4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158,321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154,242</w:t>
            </w:r>
          </w:p>
        </w:tc>
        <w:tc>
          <w:tcPr>
            <w:tcW w:w="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217,874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207,939</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3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May 5,</w:t>
            </w:r>
          </w:p>
        </w:tc>
        <w:tc>
          <w:tcPr>
            <w:tcW w:w="360" w:type="dxa"/>
            <w:vAlign w:val="bottom"/>
          </w:tcPr>
          <w:p>
            <w:pPr>
              <w:spacing w:after="0"/>
              <w:rPr>
                <w:sz w:val="14"/>
                <w:szCs w:val="14"/>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29,</w:t>
            </w:r>
          </w:p>
        </w:tc>
      </w:tr>
      <w:tr>
        <w:trPr>
          <w:trHeight w:val="192"/>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02"/>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w:t>
            </w:r>
          </w:p>
        </w:tc>
        <w:tc>
          <w:tcPr>
            <w:tcW w:w="2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265,191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174,639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328,524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329,837</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341,576</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369,070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41,272</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36,683</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976,563</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910,229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224,277</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222,069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57,117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68,413</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340,801</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338,943</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1,598,758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1,539,654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23,105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23,286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273,600</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260,504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324,878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316,811</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liabilities</w:t>
            </w:r>
          </w:p>
        </w:tc>
        <w:tc>
          <w:tcPr>
            <w:tcW w:w="2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622,415</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600,601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311,957</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334,822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24,948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11,565</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6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31,667</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30,058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607,771</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562,608</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1,598,758</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1,539,654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3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2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4"/>
                <w:szCs w:val="14"/>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29,</w:t>
            </w:r>
          </w:p>
        </w:tc>
      </w:tr>
      <w:tr>
        <w:trPr>
          <w:trHeight w:val="192"/>
        </w:trPr>
        <w:tc>
          <w:tcPr>
            <w:tcW w:w="7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165,465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144,942</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(4,686)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(4,551)</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34,548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31,526</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6,629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5,197</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deferred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(164,495)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(150,072)</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(37,418)</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(9,709)</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172,643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159,117</w:t>
            </w:r>
          </w:p>
        </w:tc>
      </w:tr>
      <w:tr>
        <w:trPr>
          <w:trHeight w:val="237"/>
        </w:trPr>
        <w:tc>
          <w:tcPr>
            <w:tcW w:w="7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170,431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148,439</w:t>
            </w:r>
          </w:p>
        </w:tc>
      </w:tr>
      <w:tr>
        <w:trPr>
          <w:trHeight w:val="27"/>
        </w:trPr>
        <w:tc>
          <w:tcPr>
            <w:tcW w:w="7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(22,622)</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 of a business</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(49,162)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(23,784)</w:t>
            </w:r>
          </w:p>
        </w:tc>
      </w:tr>
      <w:tr>
        <w:trPr>
          <w:trHeight w:val="27"/>
        </w:trPr>
        <w:tc>
          <w:tcPr>
            <w:tcW w:w="7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short-term debt</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Repayments of short-term debt</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8,222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14,684</w:t>
            </w:r>
          </w:p>
        </w:tc>
      </w:tr>
      <w:tr>
        <w:trPr>
          <w:trHeight w:val="27"/>
        </w:trPr>
        <w:tc>
          <w:tcPr>
            <w:tcW w:w="7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(84,962)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(41,018)</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Dividends paid on Toro common stock</w:t>
            </w:r>
          </w:p>
        </w:tc>
        <w:tc>
          <w:tcPr>
            <w:tcW w:w="1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(37,936)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(33,005)</w:t>
            </w:r>
          </w:p>
        </w:tc>
      </w:tr>
      <w:tr>
        <w:trPr>
          <w:trHeight w:val="27"/>
        </w:trPr>
        <w:tc>
          <w:tcPr>
            <w:tcW w:w="7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(129,774)</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(77,288)</w:t>
            </w:r>
          </w:p>
        </w:tc>
      </w:tr>
      <w:tr>
        <w:trPr>
          <w:trHeight w:val="318"/>
        </w:trPr>
        <w:tc>
          <w:tcPr>
            <w:tcW w:w="74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r>
      <w:tr>
        <w:trPr>
          <w:trHeight w:val="318"/>
        </w:trPr>
        <w:tc>
          <w:tcPr>
            <w:tcW w:w="74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(decrease)/increase in cash and cash equivalents</w:t>
            </w:r>
          </w:p>
        </w:tc>
        <w:tc>
          <w:tcPr>
            <w:tcW w:w="1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48,364</w:t>
            </w:r>
          </w:p>
        </w:tc>
      </w:tr>
      <w:tr>
        <w:trPr>
          <w:trHeight w:val="237"/>
        </w:trPr>
        <w:tc>
          <w:tcPr>
            <w:tcW w:w="7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273,555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126,275</w:t>
            </w:r>
          </w:p>
        </w:tc>
      </w:tr>
      <w:tr>
        <w:trPr>
          <w:trHeight w:val="27"/>
        </w:trPr>
        <w:tc>
          <w:tcPr>
            <w:tcW w:w="7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265,191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174,639</w:t>
            </w:r>
          </w:p>
        </w:tc>
      </w:tr>
      <w:tr>
        <w:trPr>
          <w:trHeight w:val="20"/>
        </w:trPr>
        <w:tc>
          <w:tcPr>
            <w:tcW w:w="7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2019-12-05T11:41:37Z</dcterms:created>
  <dcterms:modified xsi:type="dcterms:W3CDTF">2019-12-05T11:41:37Z</dcterms:modified>
</cp:coreProperties>
</file>