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575945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22, 2008</w:t>
      </w:r>
    </w:p>
    <w:p>
      <w:pPr>
        <w:spacing w:after="0" w:line="200" w:lineRule="exact"/>
        <w:rPr>
          <w:sz w:val="24"/>
          <w:szCs w:val="24"/>
          <w:color w:val="auto"/>
        </w:rPr>
      </w:pPr>
    </w:p>
    <w:p>
      <w:pPr>
        <w:spacing w:after="0" w:line="2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71" w:lineRule="exact"/>
        <w:rPr>
          <w:sz w:val="24"/>
          <w:szCs w:val="24"/>
          <w:color w:val="auto"/>
        </w:rPr>
      </w:pPr>
    </w:p>
    <w:p>
      <w:pPr>
        <w:ind w:left="1540"/>
        <w:spacing w:after="0"/>
        <w:tabs>
          <w:tab w:leader="none" w:pos="5440" w:val="left"/>
          <w:tab w:leader="none" w:pos="906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1-8649</w:t>
      </w:r>
      <w:r>
        <w:rPr>
          <w:sz w:val="20"/>
          <w:szCs w:val="20"/>
          <w:color w:val="auto"/>
        </w:rPr>
        <w:tab/>
      </w:r>
      <w:r>
        <w:rPr>
          <w:rFonts w:ascii="Times New Roman" w:cs="Times New Roman" w:eastAsia="Times New Roman" w:hAnsi="Times New Roman"/>
          <w:sz w:val="18"/>
          <w:szCs w:val="18"/>
          <w:b w:val="1"/>
          <w:bCs w:val="1"/>
          <w:color w:val="auto"/>
        </w:rPr>
        <w:t>41-0580470</w:t>
      </w:r>
    </w:p>
    <w:p>
      <w:pPr>
        <w:spacing w:after="0" w:line="31" w:lineRule="exact"/>
        <w:rPr>
          <w:sz w:val="24"/>
          <w:szCs w:val="24"/>
          <w:color w:val="auto"/>
        </w:rPr>
      </w:pPr>
    </w:p>
    <w:p>
      <w:pPr>
        <w:ind w:left="1060"/>
        <w:spacing w:after="0"/>
        <w:tabs>
          <w:tab w:leader="none" w:pos="4700" w:val="left"/>
          <w:tab w:leader="none" w:pos="8020" w:val="left"/>
        </w:tabs>
        <w:rPr>
          <w:sz w:val="20"/>
          <w:szCs w:val="20"/>
          <w:color w:val="auto"/>
        </w:rPr>
      </w:pPr>
      <w:r>
        <w:rPr>
          <w:rFonts w:ascii="Times New Roman" w:cs="Times New Roman" w:eastAsia="Times New Roman" w:hAnsi="Times New Roman"/>
          <w:sz w:val="18"/>
          <w:szCs w:val="18"/>
          <w:color w:val="auto"/>
        </w:rPr>
        <w:t>(State of Incorporation)</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Number)</w:t>
      </w:r>
    </w:p>
    <w:p>
      <w:pPr>
        <w:sectPr>
          <w:pgSz w:w="11900" w:h="16838" w:orient="portrait"/>
          <w:cols w:equalWidth="0" w:num="1">
            <w:col w:w="11400"/>
          </w:cols>
          <w:pgMar w:left="240" w:top="1440" w:right="259" w:bottom="1440" w:gutter="0" w:footer="0" w:header="0"/>
        </w:sectPr>
      </w:pPr>
    </w:p>
    <w:p>
      <w:pPr>
        <w:spacing w:after="0" w:line="200" w:lineRule="exact"/>
        <w:rPr>
          <w:sz w:val="24"/>
          <w:szCs w:val="24"/>
          <w:color w:val="auto"/>
        </w:rPr>
      </w:pPr>
    </w:p>
    <w:p>
      <w:pPr>
        <w:spacing w:after="0" w:line="273"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3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Bloomington, 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1071880</wp:posOffset>
            </wp:positionH>
            <wp:positionV relativeFrom="paragraph">
              <wp:posOffset>-19050</wp:posOffset>
            </wp:positionV>
            <wp:extent cx="1485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85900" cy="8890"/>
                    </a:xfrm>
                    <a:prstGeom prst="rect">
                      <a:avLst/>
                    </a:prstGeom>
                    <a:noFill/>
                  </pic:spPr>
                </pic:pic>
              </a:graphicData>
            </a:graphic>
          </wp:anchor>
        </w:drawing>
      </w:r>
    </w:p>
    <w:p>
      <w:pPr>
        <w:jc w:val="center"/>
        <w:ind w:right="12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6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726440</wp:posOffset>
            </wp:positionH>
            <wp:positionV relativeFrom="paragraph">
              <wp:posOffset>-5080</wp:posOffset>
            </wp:positionV>
            <wp:extent cx="457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color w:val="auto"/>
        </w:rPr>
        <w:t>(Zip Code)</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(952) 888-8801</w:t>
      </w:r>
    </w:p>
    <w:p>
      <w:pPr>
        <w:spacing w:after="0" w:line="204" w:lineRule="exact"/>
        <w:rPr>
          <w:sz w:val="24"/>
          <w:szCs w:val="24"/>
          <w:color w:val="auto"/>
        </w:rPr>
      </w:pPr>
    </w:p>
    <w:p>
      <w:pPr>
        <w:sectPr>
          <w:pgSz w:w="11900" w:h="16838" w:orient="portrait"/>
          <w:cols w:equalWidth="0" w:num="2">
            <w:col w:w="6980" w:space="80"/>
            <w:col w:w="4340"/>
          </w:cols>
          <w:pgMar w:left="240" w:top="1440" w:right="259" w:bottom="1440" w:gutter="0" w:footer="0" w:header="0"/>
          <w:type w:val="continuous"/>
        </w:sectPr>
      </w:pP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-7620</wp:posOffset>
            </wp:positionV>
            <wp:extent cx="2066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52"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52"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52"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1379220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252"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On May 22, 2008, The Toro Company announced its earnings for the three and six months ended May 2, 2008.</w:t>
      </w:r>
    </w:p>
    <w:p>
      <w:pPr>
        <w:spacing w:after="0" w:line="252" w:lineRule="exact"/>
        <w:rPr>
          <w:sz w:val="20"/>
          <w:szCs w:val="20"/>
          <w:color w:val="auto"/>
        </w:rPr>
      </w:pPr>
    </w:p>
    <w:p>
      <w:pPr>
        <w:ind w:left="820"/>
        <w:spacing w:after="0" w:line="258" w:lineRule="auto"/>
        <w:rPr>
          <w:sz w:val="20"/>
          <w:szCs w:val="20"/>
          <w:color w:val="auto"/>
        </w:rPr>
      </w:pPr>
      <w:r>
        <w:rPr>
          <w:rFonts w:ascii="Times New Roman" w:cs="Times New Roman" w:eastAsia="Times New Roman" w:hAnsi="Times New Roman"/>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709295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09"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2"/>
                <w:szCs w:val="22"/>
                <w:color w:val="auto"/>
              </w:rPr>
            </w:pPr>
          </w:p>
        </w:tc>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May 22, 2008 (furnished herewith).</w:t>
            </w:r>
          </w:p>
        </w:tc>
      </w:tr>
      <w:tr>
        <w:trPr>
          <w:trHeight w:val="902"/>
        </w:trPr>
        <w:tc>
          <w:tcPr>
            <w:tcW w:w="8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808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THE TORO COMPANY</w:t>
            </w:r>
          </w:p>
        </w:tc>
      </w:tr>
      <w:tr>
        <w:trPr>
          <w:trHeight w:val="234"/>
        </w:trPr>
        <w:tc>
          <w:tcPr>
            <w:tcW w:w="3340" w:type="dxa"/>
            <w:vAlign w:val="bottom"/>
          </w:tcPr>
          <w:p>
            <w:pPr>
              <w:spacing w:after="0"/>
              <w:rPr>
                <w:sz w:val="20"/>
                <w:szCs w:val="20"/>
                <w:color w:val="auto"/>
              </w:rPr>
            </w:pPr>
          </w:p>
        </w:tc>
        <w:tc>
          <w:tcPr>
            <w:tcW w:w="808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(Registrant)</w:t>
            </w:r>
          </w:p>
        </w:tc>
      </w:tr>
      <w:tr>
        <w:trPr>
          <w:trHeight w:val="41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2008</w:t>
            </w:r>
          </w:p>
        </w:tc>
        <w:tc>
          <w:tcPr>
            <w:tcW w:w="8080" w:type="dxa"/>
            <w:vAlign w:val="bottom"/>
            <w:gridSpan w:val="3"/>
          </w:tcPr>
          <w:p>
            <w:pPr>
              <w:ind w:left="2360"/>
              <w:spacing w:after="0"/>
              <w:rPr>
                <w:sz w:val="20"/>
                <w:szCs w:val="20"/>
                <w:color w:val="auto"/>
              </w:rPr>
            </w:pPr>
            <w:r>
              <w:rPr>
                <w:rFonts w:ascii="Times New Roman" w:cs="Times New Roman" w:eastAsia="Times New Roman" w:hAnsi="Times New Roman"/>
                <w:sz w:val="18"/>
                <w:szCs w:val="18"/>
                <w:color w:val="auto"/>
              </w:rPr>
              <w:t>By /s/ Stephen P. Wolfe</w:t>
            </w:r>
          </w:p>
        </w:tc>
      </w:tr>
      <w:tr>
        <w:trPr>
          <w:trHeight w:val="20"/>
        </w:trPr>
        <w:tc>
          <w:tcPr>
            <w:tcW w:w="3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18"/>
        </w:trPr>
        <w:tc>
          <w:tcPr>
            <w:tcW w:w="3340" w:type="dxa"/>
            <w:vAlign w:val="bottom"/>
          </w:tcPr>
          <w:p>
            <w:pPr>
              <w:spacing w:after="0"/>
              <w:rPr>
                <w:sz w:val="18"/>
                <w:szCs w:val="18"/>
                <w:color w:val="auto"/>
              </w:rPr>
            </w:pPr>
          </w:p>
        </w:tc>
        <w:tc>
          <w:tcPr>
            <w:tcW w:w="8080" w:type="dxa"/>
            <w:vAlign w:val="bottom"/>
            <w:gridSpan w:val="3"/>
          </w:tcPr>
          <w:p>
            <w:pPr>
              <w:ind w:left="2360"/>
              <w:spacing w:after="0"/>
              <w:rPr>
                <w:sz w:val="20"/>
                <w:szCs w:val="20"/>
                <w:color w:val="auto"/>
              </w:rPr>
            </w:pPr>
            <w:r>
              <w:rPr>
                <w:rFonts w:ascii="Times New Roman" w:cs="Times New Roman" w:eastAsia="Times New Roman" w:hAnsi="Times New Roman"/>
                <w:sz w:val="18"/>
                <w:szCs w:val="18"/>
                <w:color w:val="auto"/>
              </w:rPr>
              <w:t>Stephen P. Wolfe</w:t>
            </w:r>
          </w:p>
        </w:tc>
      </w:tr>
      <w:tr>
        <w:trPr>
          <w:trHeight w:val="216"/>
        </w:trPr>
        <w:tc>
          <w:tcPr>
            <w:tcW w:w="3340" w:type="dxa"/>
            <w:vAlign w:val="bottom"/>
          </w:tcPr>
          <w:p>
            <w:pPr>
              <w:spacing w:after="0"/>
              <w:rPr>
                <w:sz w:val="18"/>
                <w:szCs w:val="18"/>
                <w:color w:val="auto"/>
              </w:rPr>
            </w:pPr>
          </w:p>
        </w:tc>
        <w:tc>
          <w:tcPr>
            <w:tcW w:w="8080" w:type="dxa"/>
            <w:vAlign w:val="bottom"/>
            <w:gridSpan w:val="3"/>
          </w:tcPr>
          <w:p>
            <w:pPr>
              <w:ind w:left="2360"/>
              <w:spacing w:after="0"/>
              <w:rPr>
                <w:sz w:val="20"/>
                <w:szCs w:val="20"/>
                <w:color w:val="auto"/>
              </w:rPr>
            </w:pPr>
            <w:r>
              <w:rPr>
                <w:rFonts w:ascii="Times New Roman" w:cs="Times New Roman" w:eastAsia="Times New Roman" w:hAnsi="Times New Roman"/>
                <w:sz w:val="18"/>
                <w:szCs w:val="18"/>
                <w:color w:val="auto"/>
              </w:rPr>
              <w:t>Vice President, Finance</w:t>
            </w:r>
          </w:p>
        </w:tc>
      </w:tr>
      <w:tr>
        <w:trPr>
          <w:trHeight w:val="216"/>
        </w:trPr>
        <w:tc>
          <w:tcPr>
            <w:tcW w:w="3340" w:type="dxa"/>
            <w:vAlign w:val="bottom"/>
          </w:tcPr>
          <w:p>
            <w:pPr>
              <w:spacing w:after="0"/>
              <w:rPr>
                <w:sz w:val="18"/>
                <w:szCs w:val="18"/>
                <w:color w:val="auto"/>
              </w:rPr>
            </w:pPr>
          </w:p>
        </w:tc>
        <w:tc>
          <w:tcPr>
            <w:tcW w:w="8080" w:type="dxa"/>
            <w:vAlign w:val="bottom"/>
            <w:gridSpan w:val="3"/>
          </w:tcPr>
          <w:p>
            <w:pPr>
              <w:ind w:left="236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234"/>
        </w:trPr>
        <w:tc>
          <w:tcPr>
            <w:tcW w:w="3340" w:type="dxa"/>
            <w:vAlign w:val="bottom"/>
          </w:tcPr>
          <w:p>
            <w:pPr>
              <w:spacing w:after="0"/>
              <w:rPr>
                <w:sz w:val="20"/>
                <w:szCs w:val="20"/>
                <w:color w:val="auto"/>
              </w:rPr>
            </w:pPr>
          </w:p>
        </w:tc>
        <w:tc>
          <w:tcPr>
            <w:tcW w:w="8080" w:type="dxa"/>
            <w:vAlign w:val="bottom"/>
            <w:gridSpan w:val="3"/>
          </w:tcPr>
          <w:p>
            <w:pPr>
              <w:ind w:left="236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tc>
      </w:tr>
      <w:tr>
        <w:trPr>
          <w:trHeight w:val="902"/>
        </w:trPr>
        <w:tc>
          <w:tcPr>
            <w:tcW w:w="334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90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9"/>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DESCRIPTION</w:t>
            </w:r>
          </w:p>
        </w:tc>
        <w:tc>
          <w:tcPr>
            <w:tcW w:w="8900" w:type="dxa"/>
            <w:vAlign w:val="bottom"/>
          </w:tcPr>
          <w:p>
            <w:pPr>
              <w:spacing w:after="0"/>
              <w:rPr>
                <w:sz w:val="24"/>
                <w:szCs w:val="24"/>
                <w:color w:val="auto"/>
              </w:rPr>
            </w:pPr>
          </w:p>
        </w:tc>
      </w:tr>
      <w:tr>
        <w:trPr>
          <w:trHeight w:val="196"/>
        </w:trPr>
        <w:tc>
          <w:tcPr>
            <w:tcW w:w="80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7"/>
              </w:rPr>
              <w:t>NUMBER</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900" w:type="dxa"/>
            <w:vAlign w:val="bottom"/>
          </w:tcPr>
          <w:p>
            <w:pPr>
              <w:spacing w:after="0"/>
              <w:rPr>
                <w:sz w:val="17"/>
                <w:szCs w:val="17"/>
                <w:color w:val="auto"/>
              </w:rPr>
            </w:pPr>
          </w:p>
        </w:tc>
      </w:tr>
      <w:tr>
        <w:trPr>
          <w:trHeight w:val="26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0" w:type="dxa"/>
            <w:vAlign w:val="bottom"/>
          </w:tcPr>
          <w:p>
            <w:pPr>
              <w:spacing w:after="0"/>
              <w:rPr>
                <w:sz w:val="22"/>
                <w:szCs w:val="22"/>
                <w:color w:val="auto"/>
              </w:rPr>
            </w:pPr>
          </w:p>
        </w:tc>
        <w:tc>
          <w:tcPr>
            <w:tcW w:w="106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Press release dated May 22, 2008 (furnished herewith).</w:t>
            </w:r>
          </w:p>
        </w:tc>
      </w:tr>
      <w:tr>
        <w:trPr>
          <w:trHeight w:val="902"/>
        </w:trPr>
        <w:tc>
          <w:tcPr>
            <w:tcW w:w="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929765" cy="1269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92976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Wright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887-8865, </w:t>
      </w:r>
      <w:r>
        <w:rPr>
          <w:rFonts w:ascii="Times New Roman" w:cs="Times New Roman" w:eastAsia="Times New Roman" w:hAnsi="Times New Roman"/>
          <w:sz w:val="18"/>
          <w:szCs w:val="18"/>
          <w:u w:val="single" w:color="auto"/>
          <w:color w:val="auto"/>
        </w:rPr>
        <w:t>invest@toro.com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Branden Happel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Public Relations</w:t>
      </w:r>
    </w:p>
    <w:p>
      <w:pPr>
        <w:spacing w:after="0" w:line="9" w:lineRule="exact"/>
        <w:rPr>
          <w:sz w:val="20"/>
          <w:szCs w:val="20"/>
          <w:color w:val="auto"/>
        </w:rPr>
      </w:pPr>
    </w:p>
    <w:p>
      <w:pPr>
        <w:ind w:right="9240" w:firstLine="8"/>
        <w:spacing w:after="0" w:line="261"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887-8930, </w:t>
      </w:r>
      <w:r>
        <w:rPr>
          <w:rFonts w:ascii="Times New Roman" w:cs="Times New Roman" w:eastAsia="Times New Roman" w:hAnsi="Times New Roman"/>
          <w:sz w:val="18"/>
          <w:szCs w:val="18"/>
          <w:u w:val="single" w:color="auto"/>
          <w:color w:val="auto"/>
        </w:rPr>
        <w:t>pr@toro.com</w:t>
      </w:r>
      <w:r>
        <w:rPr>
          <w:rFonts w:ascii="Times New Roman" w:cs="Times New Roman" w:eastAsia="Times New Roman" w:hAnsi="Times New Roman"/>
          <w:sz w:val="18"/>
          <w:szCs w:val="18"/>
          <w:color w:val="auto"/>
        </w:rPr>
        <w:t xml:space="preserve"> www.thetorocompany.com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Immediate Release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TORO REPORTS SECOND QUARTER RESULTS</w:t>
      </w:r>
    </w:p>
    <w:p>
      <w:pPr>
        <w:spacing w:after="0" w:line="256" w:lineRule="exact"/>
        <w:rPr>
          <w:sz w:val="20"/>
          <w:szCs w:val="20"/>
          <w:color w:val="auto"/>
        </w:rPr>
      </w:pPr>
    </w:p>
    <w:p>
      <w:pPr>
        <w:ind w:left="660" w:hanging="13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reports net earnings per share of $1.60</w:t>
      </w:r>
    </w:p>
    <w:p>
      <w:pPr>
        <w:spacing w:after="0" w:line="27"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improvement in channel inventory</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authorizes repurchase of 4 million additional shares and declares quarterly dividend</w:t>
      </w:r>
    </w:p>
    <w:p>
      <w:pPr>
        <w:spacing w:after="0" w:line="23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BLOOMINGTON, Minn. (May 22, 2008) – The Toro Company (NYSE: TTC) today reported net earnings of $62.8 million, or $1.60 per share, on net sales of $638.5 million for its fiscal second quarter ended May 2, 2008. In the comparable fiscal 2007 period, the company reported net earnings of $75.0 million, or $1.77 per share, on net sales of $686.7 million.</w:t>
      </w:r>
    </w:p>
    <w:p>
      <w:pPr>
        <w:spacing w:after="0" w:line="20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the year to date, Toro reported net earnings of $81.4 million, or $2.07 per share, on net sales of $1,044.3 million. In the first half of fiscal 2007, the company reported net earnings of $93.4 million, or $2.21 per share, on net sales of $1,065.7 million.</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“Fiscal 2008 has been a challenging year due to a weakening domestic economy, late spring and cautious ordering,” said Michael J. Hoffman, Toro’s chairman and chief executive officer. “As a result, we have taken prudent actions to adjust production levels, control costs, and work with our channel partners on field inventory – which is significantly lower compared to last year. Our financial condition remains strong and we will keep investing to grow our business for the long term.”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continued strong cash flow prompted its board of directors to authorize the repurchase of up to 4 million additional shares of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also declared a regular quarterly cash dividend of $0.15 per common share, payable July 11, 2008 to shareholders of record on June 20, 2008.</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w:t>
      </w:r>
    </w:p>
    <w:p>
      <w:pPr>
        <w:spacing w:after="0" w:line="256" w:lineRule="exact"/>
        <w:rPr>
          <w:sz w:val="20"/>
          <w:szCs w:val="20"/>
          <w:color w:val="auto"/>
        </w:rPr>
      </w:pPr>
    </w:p>
    <w:p>
      <w:pPr>
        <w:jc w:val="both"/>
        <w:ind w:left="660" w:hanging="139"/>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segment net sales for the fiscal 2008 second quarter decreased 4.0 percent to $429.9 million. Sales declined in nearly all product categories domestically, but increased modestly in most categories outside the United States. Cautious ordering by customers, challenging domestic economic conditions and distribution changes resulted in lower quarterly sales for most domestic businesses. For the year to date, professional segment net sales increased 0.4 percent to $723.1 million.</w:t>
      </w:r>
    </w:p>
    <w:p>
      <w:pPr>
        <w:spacing w:after="0" w:line="207" w:lineRule="exact"/>
        <w:rPr>
          <w:rFonts w:ascii="Times New Roman" w:cs="Times New Roman" w:eastAsia="Times New Roman" w:hAnsi="Times New Roman"/>
          <w:sz w:val="18"/>
          <w:szCs w:val="18"/>
          <w:color w:val="auto"/>
        </w:rPr>
      </w:pPr>
    </w:p>
    <w:p>
      <w:pPr>
        <w:ind w:left="660" w:right="20" w:hanging="139"/>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segment earnings for the fiscal 2008 second quarter were $96.6 million, down 10.9 percent compared with the fiscal 2007 second quarter. For the year to date, professional segment earnings totaled $149.1 million, down 4.9 percent.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w:t>
      </w:r>
    </w:p>
    <w:p>
      <w:pPr>
        <w:spacing w:after="0" w:line="256" w:lineRule="exact"/>
        <w:rPr>
          <w:sz w:val="20"/>
          <w:szCs w:val="20"/>
          <w:color w:val="auto"/>
        </w:rPr>
      </w:pPr>
    </w:p>
    <w:p>
      <w:pPr>
        <w:jc w:val="both"/>
        <w:ind w:left="660" w:hanging="139"/>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segment net sales for the fiscal 2008 second quarter declined 11.8 percent to $201.3 million. Sales declined in most domestic product categories due to weak economic conditions and a late-arriving spring that affected customer purchases. For the year to date, residential segment net sales declined 6.2 percent to $309.5 million.</w:t>
      </w:r>
    </w:p>
    <w:p>
      <w:pPr>
        <w:spacing w:after="0" w:line="203" w:lineRule="exact"/>
        <w:rPr>
          <w:rFonts w:ascii="Times New Roman" w:cs="Times New Roman" w:eastAsia="Times New Roman" w:hAnsi="Times New Roman"/>
          <w:sz w:val="18"/>
          <w:szCs w:val="18"/>
          <w:color w:val="auto"/>
        </w:rPr>
      </w:pPr>
    </w:p>
    <w:p>
      <w:pPr>
        <w:ind w:left="660" w:right="20" w:hanging="139"/>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segment earnings for the fiscal 2008 second quarter were $21.1 million, down 23.2 percent compared with the fiscal 2007 second quarter. For the year to date, residential segment earnings totaled $23.9 million, down 24.9 percent.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REVIEW OF OPERATIONS</w:t>
      </w:r>
    </w:p>
    <w:p>
      <w:pPr>
        <w:spacing w:after="0" w:line="2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Gross margin for the fiscal 2008 second quarter was 35.7 percent compared with 35.6 percent in the comparable fiscal 2007 period. For the year to date, gross margin was 36.1 percent and flat as a percent of sales with the first half of fiscal 2007. Higher commodity and fuel costs were offset by favorable</w:t>
      </w:r>
    </w:p>
    <w:p>
      <w:pPr>
        <w:sectPr>
          <w:pgSz w:w="11900" w:h="16947" w:orient="portrait"/>
          <w:cols w:equalWidth="0" w:num="1">
            <w:col w:w="11420"/>
          </w:cols>
          <w:pgMar w:left="240" w:top="1440" w:right="23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product mix and currency, and the continued focus on cost reductions and productivity improvements achieved through the company’s GrowLean initiative.</w:t>
      </w:r>
    </w:p>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for the fiscal 2008 second quarter declined $0.9 million, but increased to 19.6 percent of net sales from 18.3 percent in the fiscal 2007 second quarter. For the year to date, SG&amp;A expenses were 23.2 percent of net sales compared with 22.3 percent in the prior year’s first half. Despite lower sales, the company continued to increase spending for marketing and engineering investments.</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Interest expense for the second quarter was down $0.4 million, a decrease of 6.4 percent, compared to the prior year’s second quarter. For the year to date, interest expense totaled $10.3 million – essentially flat compared to the first half of fiscal 2007.</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effective tax rate for the second quarter of fiscal 2008 was 35.0 percent compared with 34.6 percent in the fiscal 2007 second quarter. This year’s second quarter tax rate was higher due to the expiration of the federal Research and Engineering Tax Credit on December 31, 2007.</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Accounts receivable as of the end of the fiscal 2008 second quarter totaled $547.2 million, down $30.0 million or 5.2 percent, on a sales decrease of $48.2 million, or 7 percent. Net inventories increased by $17.5 million, or 7.1 percent compared with the end of the fiscal 2007 second quarter. Cash used in operating activities improved by $9 million in spite of lower year to date net earnings.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OUTLOOK</w:t>
      </w:r>
    </w:p>
    <w:p>
      <w:pPr>
        <w:spacing w:after="0" w:line="25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Commenting on the company’s outlook for the remainder of fiscal 2008, Hoffman said: “We remain focused on managing our business in light of these difficult conditions, and will continue to drive customer demand for our innovative products. Field inventories are in good shape, our strategic direction is sound, and our cash flow remains strong. Additionally, we are encouraged by the tremendous efforts of all our employees and channel partners around the world.”</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Looking ahead, the company expects fiscal 2008 net sales to be roughly equal to fiscal 2007 net sales of $1,876.9 million with net earnings per share flat to down 5 percent from the $3.40 per share reported for fiscal 2007.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is a leading worldwide provider of outdoor maintenance and beautification products for home, recreation and commercial landscapes.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LIVE CONFERENCE CALL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22, 10:00 a.m. CST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www.thetorocompany.com/invest</w:t>
      </w:r>
    </w:p>
    <w:p>
      <w:pPr>
        <w:spacing w:after="0" w:line="232"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Toro Company will conduct a conference call and webcast for investors beginning at 10:00 a.m. Central Time (CST) on May 22, 2008. The webcast will be available at </w:t>
      </w:r>
      <w:r>
        <w:rPr>
          <w:rFonts w:ascii="Times New Roman" w:cs="Times New Roman" w:eastAsia="Times New Roman" w:hAnsi="Times New Roman"/>
          <w:sz w:val="18"/>
          <w:szCs w:val="18"/>
          <w:i w:val="1"/>
          <w:iCs w:val="1"/>
          <w:u w:val="single" w:color="auto"/>
          <w:color w:val="auto"/>
        </w:rPr>
        <w:t>www.streetevents.com</w:t>
      </w:r>
      <w:r>
        <w:rPr>
          <w:rFonts w:ascii="Times New Roman" w:cs="Times New Roman" w:eastAsia="Times New Roman" w:hAnsi="Times New Roman"/>
          <w:sz w:val="18"/>
          <w:szCs w:val="18"/>
          <w:i w:val="1"/>
          <w:iCs w:val="1"/>
          <w:color w:val="auto"/>
        </w:rPr>
        <w:t xml:space="preserve"> or at </w:t>
      </w:r>
      <w:r>
        <w:rPr>
          <w:rFonts w:ascii="Times New Roman" w:cs="Times New Roman" w:eastAsia="Times New Roman" w:hAnsi="Times New Roman"/>
          <w:sz w:val="18"/>
          <w:szCs w:val="18"/>
          <w:i w:val="1"/>
          <w:iCs w:val="1"/>
          <w:u w:val="single" w:color="auto"/>
          <w:color w:val="auto"/>
        </w:rPr>
        <w:t>www.thetorocompany.com/invest</w:t>
      </w:r>
      <w:r>
        <w:rPr>
          <w:rFonts w:ascii="Times New Roman" w:cs="Times New Roman" w:eastAsia="Times New Roman" w:hAnsi="Times New Roman"/>
          <w:sz w:val="18"/>
          <w:szCs w:val="18"/>
          <w:i w:val="1"/>
          <w:iCs w:val="1"/>
          <w:color w:val="auto"/>
        </w:rPr>
        <w:t>. Webcast participants will need to complete a brief registration form and should allocate extra time before the webcast begins to register and, if necessary, download and install audio software.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3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growth rates in global and domestic economies, resulting in rising unemployment and weakened consumer confidence; the threat of further terrorist acts and war, which may result in contraction of the U.S. and worldwide economies; fluctuations in the cost and availability of raw materials, including steel, resins and other commodities; rising fuel and other costs of transportation; the impact of abnormal weather patterns and natural disasters; the level of growth in our markets, including the golf market; reduced government spending for grounds maintenance equipment due to reduced tax revenue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goals for our current three-year growth, profit and asset management initiative called “GrowLean” which is intended to improve our revenue growth, after-tax return on sales and working capital efficiency; our increased dependence on international sales and the risks attendant to international operations; interest rates and currency movements including, in particular,</w:t>
      </w:r>
    </w:p>
    <w:p>
      <w:pPr>
        <w:spacing w:after="0" w:line="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exposure to foreign currency risk; our relationships with our distribution channel partners, including the financial viability of distributors and dealers; our ability to successfully achieve our plans for and integrate acquisitions and manage alliances; the costs and effects of complying with changes in tax, fiscal, government and other regulatory policies, including rules relating to environmental, health and safety matters; unforeseen product quality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the occurrence of litigation or claims, including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tables follow)</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547370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thousands, except per-share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8"/>
          </w:tcPr>
          <w:p>
            <w:pPr>
              <w:jc w:val="right"/>
              <w:ind w:right="78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right"/>
              <w:ind w:right="58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2008</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638,510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1,044,309</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1,065,741</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227,766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376,903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 percent</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124,943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242,060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102,823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118,873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134,843</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146,657</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96,606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114,560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39,594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44,030</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46,832</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Net earnings</w:t>
            </w:r>
          </w:p>
        </w:tc>
        <w:tc>
          <w:tcPr>
            <w:tcW w:w="17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62,784</w:t>
            </w:r>
          </w:p>
        </w:tc>
        <w:tc>
          <w:tcPr>
            <w:tcW w:w="8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74,966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81,411</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net earnings per share</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Diluted net earnings per share</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of common</w:t>
            </w: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stock outstanding – Basic</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38,313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of common</w:t>
            </w: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stock outstanding – Diluted</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39,263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Segment Data (Unaudited)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8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color w:val="auto"/>
              </w:rPr>
              <w:t>Six Months Ended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May 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May 4,</w:t>
            </w:r>
          </w:p>
        </w:tc>
        <w:tc>
          <w:tcPr>
            <w:tcW w:w="0" w:type="dxa"/>
            <w:vAlign w:val="bottom"/>
          </w:tcPr>
          <w:p>
            <w:pPr>
              <w:spacing w:after="0"/>
              <w:rPr>
                <w:sz w:val="1"/>
                <w:szCs w:val="1"/>
                <w:color w:val="auto"/>
              </w:rPr>
            </w:pPr>
          </w:p>
        </w:tc>
      </w:tr>
      <w:tr>
        <w:trPr>
          <w:trHeight w:val="198"/>
        </w:trPr>
        <w:tc>
          <w:tcPr>
            <w:tcW w:w="41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Segment Net Sales</w:t>
            </w: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2008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2007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2007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w:t>
            </w:r>
          </w:p>
        </w:tc>
        <w:tc>
          <w:tcPr>
            <w:tcW w:w="2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429,884</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447,857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723,080</w:t>
            </w:r>
          </w:p>
        </w:tc>
        <w:tc>
          <w:tcPr>
            <w:tcW w:w="2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201,315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228,204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309,491</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11,738</w:t>
            </w:r>
          </w:p>
        </w:tc>
        <w:tc>
          <w:tcPr>
            <w:tcW w:w="22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20" w:type="dxa"/>
            <w:vAlign w:val="bottom"/>
            <w:tcBorders>
              <w:left w:val="single" w:sz="8" w:color="CCEEFF"/>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w:t>
            </w:r>
          </w:p>
        </w:tc>
        <w:tc>
          <w:tcPr>
            <w:tcW w:w="2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638,510</w:t>
            </w:r>
          </w:p>
        </w:tc>
        <w:tc>
          <w:tcPr>
            <w:tcW w:w="8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686,653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1,044,309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1,065,741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Includes international sales of</w:t>
            </w:r>
          </w:p>
        </w:tc>
        <w:tc>
          <w:tcPr>
            <w:tcW w:w="2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197,770</w:t>
            </w:r>
          </w:p>
        </w:tc>
        <w:tc>
          <w:tcPr>
            <w:tcW w:w="8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188,861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356,227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321,474</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color w:val="auto"/>
              </w:rPr>
              <w:t>Six Months Ended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May 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May 4,</w:t>
            </w:r>
          </w:p>
        </w:tc>
        <w:tc>
          <w:tcPr>
            <w:tcW w:w="0" w:type="dxa"/>
            <w:vAlign w:val="bottom"/>
          </w:tcPr>
          <w:p>
            <w:pPr>
              <w:spacing w:after="0"/>
              <w:rPr>
                <w:sz w:val="1"/>
                <w:szCs w:val="1"/>
                <w:color w:val="auto"/>
              </w:rPr>
            </w:pPr>
          </w:p>
        </w:tc>
      </w:tr>
      <w:tr>
        <w:trPr>
          <w:trHeight w:val="198"/>
        </w:trPr>
        <w:tc>
          <w:tcPr>
            <w:tcW w:w="41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Segment Earnings (Loss) Before Income Taxes</w:t>
            </w: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2008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2007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2007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w:t>
            </w:r>
          </w:p>
        </w:tc>
        <w:tc>
          <w:tcPr>
            <w:tcW w:w="2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96,616</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108,490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149,126</w:t>
            </w:r>
          </w:p>
        </w:tc>
        <w:tc>
          <w:tcPr>
            <w:tcW w:w="2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27,430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23,897</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(47,582)</w:t>
            </w:r>
          </w:p>
        </w:tc>
        <w:tc>
          <w:tcPr>
            <w:tcW w:w="22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(48,411)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20" w:type="dxa"/>
            <w:vAlign w:val="bottom"/>
            <w:tcBorders>
              <w:left w:val="single" w:sz="8" w:color="CCEEFF"/>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96,606</w:t>
            </w:r>
          </w:p>
        </w:tc>
        <w:tc>
          <w:tcPr>
            <w:tcW w:w="8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114,560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125,441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140,248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701675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36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32,053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547,192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265,428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915,004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936,872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172,203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 and other assets, net</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110,172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3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1,203,887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4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2,341</w:t>
            </w:r>
          </w:p>
        </w:tc>
        <w:tc>
          <w:tcPr>
            <w:tcW w:w="32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117,425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275,911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280,069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547,177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521,536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227,753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and other long-term liabilities</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412,144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451,903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1,203,887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6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THE TORO COMPANY AND SUBSIDIARIES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46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6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81,411</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93,416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6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Adjustments to reconcile net earnings to net cash</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Equity losses from investments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for depreciation and amortization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 on disposal of property, plant, and equipment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on sale of a business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deferred income taxes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(260,988)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accrued liabilities, deferred revenue, and otherlong-term liabilities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61,291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(111,292)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(120,310)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asset disposals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 in investment in affiliates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in other assets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sale of a business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in short-term debt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151,128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Issuance of long-term debt, net of costs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Repayments of long-term debt, net of costs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Excess tax benefits from stock-based awards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Purchases of Toro common stock</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(36,906)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Dividends paid on Toro common stock</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104,051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the beginning of the period</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the end of the period</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32,053</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952"/>
    </w:lvl>
  </w:abstractNum>
  <w:abstractNum w:abstractNumId="2">
    <w:nsid w:val="238E1F29"/>
    <w:multiLevelType w:val="hybridMultilevel"/>
    <w:lvl w:ilvl="0">
      <w:lvlJc w:val="left"/>
      <w:lvlText w:val="(%1)"/>
      <w:numFmt w:val="decimal"/>
      <w:start w:val="95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2019-12-13T13:53:03Z</dcterms:created>
  <dcterms:modified xsi:type="dcterms:W3CDTF">2019-12-13T13:53:03Z</dcterms:modified>
</cp:coreProperties>
</file>