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25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255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Grams Blake M</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08/29/2019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66"/>
        <w:spacing w:after="0"/>
        <w:rPr>
          <w:sz w:val="20"/>
          <w:szCs w:val="20"/>
          <w:color w:val="auto"/>
        </w:rPr>
      </w:pPr>
      <w:r>
        <w:rPr>
          <w:rFonts w:ascii="Arial" w:cs="Arial" w:eastAsia="Arial" w:hAnsi="Arial"/>
          <w:sz w:val="17"/>
          <w:szCs w:val="17"/>
          <w:color w:val="0000FF"/>
        </w:rPr>
        <w:t>VP, Global Operations</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2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560"/>
              <w:spacing w:after="0" w:line="132"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90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20" w:type="dxa"/>
            <w:vAlign w:val="bottom"/>
            <w:gridSpan w:val="2"/>
          </w:tcPr>
          <w:p>
            <w:pPr>
              <w:ind w:left="56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Beneficially</w:t>
            </w:r>
          </w:p>
        </w:tc>
        <w:tc>
          <w:tcPr>
            <w:tcW w:w="5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620" w:type="dxa"/>
            <w:vAlign w:val="bottom"/>
            <w:gridSpan w:val="2"/>
          </w:tcPr>
          <w:p>
            <w:pPr>
              <w:ind w:left="660"/>
              <w:spacing w:after="0"/>
              <w:rPr>
                <w:sz w:val="20"/>
                <w:szCs w:val="20"/>
                <w:color w:val="auto"/>
              </w:rPr>
            </w:pPr>
            <w:r>
              <w:rPr>
                <w:rFonts w:ascii="Arial" w:cs="Arial" w:eastAsia="Arial" w:hAnsi="Arial"/>
                <w:sz w:val="17"/>
                <w:szCs w:val="17"/>
                <w:color w:val="0000FF"/>
              </w:rPr>
              <w:t>08/29/2019</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ind w:left="120"/>
              <w:spacing w:after="0"/>
              <w:rPr>
                <w:sz w:val="20"/>
                <w:szCs w:val="20"/>
                <w:color w:val="auto"/>
              </w:rPr>
            </w:pPr>
            <w:r>
              <w:rPr>
                <w:rFonts w:ascii="Arial" w:cs="Arial" w:eastAsia="Arial" w:hAnsi="Arial"/>
                <w:sz w:val="13"/>
                <w:szCs w:val="13"/>
                <w:color w:val="0000FF"/>
              </w:rPr>
              <w:t>M</w:t>
            </w:r>
          </w:p>
        </w:tc>
        <w:tc>
          <w:tcPr>
            <w:tcW w:w="780" w:type="dxa"/>
            <w:vAlign w:val="bottom"/>
          </w:tcPr>
          <w:p>
            <w:pPr>
              <w:ind w:left="120"/>
              <w:spacing w:after="0"/>
              <w:rPr>
                <w:sz w:val="20"/>
                <w:szCs w:val="20"/>
                <w:color w:val="auto"/>
              </w:rPr>
            </w:pPr>
            <w:r>
              <w:rPr>
                <w:rFonts w:ascii="Arial" w:cs="Arial" w:eastAsia="Arial" w:hAnsi="Arial"/>
                <w:sz w:val="17"/>
                <w:szCs w:val="17"/>
                <w:color w:val="0000FF"/>
              </w:rPr>
              <w:t>11,400</w:t>
            </w:r>
          </w:p>
        </w:tc>
        <w:tc>
          <w:tcPr>
            <w:tcW w:w="520" w:type="dxa"/>
            <w:vAlign w:val="bottom"/>
          </w:tcPr>
          <w:p>
            <w:pPr>
              <w:ind w:left="160"/>
              <w:spacing w:after="0"/>
              <w:rPr>
                <w:sz w:val="20"/>
                <w:szCs w:val="20"/>
                <w:color w:val="auto"/>
              </w:rPr>
            </w:pPr>
            <w:r>
              <w:rPr>
                <w:rFonts w:ascii="Arial" w:cs="Arial" w:eastAsia="Arial" w:hAnsi="Arial"/>
                <w:sz w:val="17"/>
                <w:szCs w:val="17"/>
                <w:color w:val="0000FF"/>
              </w:rPr>
              <w:t>A</w:t>
            </w:r>
          </w:p>
        </w:tc>
        <w:tc>
          <w:tcPr>
            <w:tcW w:w="780" w:type="dxa"/>
            <w:vAlign w:val="bottom"/>
          </w:tcPr>
          <w:p>
            <w:pPr>
              <w:jc w:val="center"/>
              <w:ind w:right="7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21.03</w:t>
            </w:r>
          </w:p>
        </w:tc>
        <w:tc>
          <w:tcPr>
            <w:tcW w:w="1260" w:type="dxa"/>
            <w:vAlign w:val="bottom"/>
            <w:gridSpan w:val="2"/>
          </w:tcPr>
          <w:p>
            <w:pPr>
              <w:jc w:val="center"/>
              <w:spacing w:after="0"/>
              <w:rPr>
                <w:sz w:val="20"/>
                <w:szCs w:val="20"/>
                <w:color w:val="auto"/>
              </w:rPr>
            </w:pPr>
            <w:r>
              <w:rPr>
                <w:rFonts w:ascii="Arial" w:cs="Arial" w:eastAsia="Arial" w:hAnsi="Arial"/>
                <w:sz w:val="17"/>
                <w:szCs w:val="17"/>
                <w:color w:val="0000FF"/>
                <w:w w:val="92"/>
              </w:rPr>
              <w:t>11,400</w:t>
            </w:r>
          </w:p>
        </w:tc>
        <w:tc>
          <w:tcPr>
            <w:tcW w:w="300" w:type="dxa"/>
            <w:vAlign w:val="bottom"/>
          </w:tcPr>
          <w:p>
            <w:pPr>
              <w:spacing w:after="0"/>
              <w:rPr>
                <w:sz w:val="23"/>
                <w:szCs w:val="23"/>
                <w:color w:val="auto"/>
              </w:rPr>
            </w:pP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08/29/2019</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S</w:t>
            </w: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11,400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72.411</w:t>
            </w:r>
            <w:r>
              <w:rPr>
                <w:rFonts w:ascii="Arial" w:cs="Arial" w:eastAsia="Arial" w:hAnsi="Arial"/>
                <w:sz w:val="22"/>
                <w:szCs w:val="22"/>
                <w:color w:val="008000"/>
                <w:w w:val="88"/>
                <w:vertAlign w:val="superscript"/>
              </w:rPr>
              <w:t>(1)</w:t>
            </w:r>
          </w:p>
        </w:tc>
        <w:tc>
          <w:tcPr>
            <w:tcW w:w="760" w:type="dxa"/>
            <w:vAlign w:val="bottom"/>
            <w:tcBorders>
              <w:bottom w:val="single" w:sz="8" w:color="2C2C2C"/>
            </w:tcBorders>
          </w:tcPr>
          <w:p>
            <w:pPr>
              <w:jc w:val="center"/>
              <w:ind w:left="373"/>
              <w:spacing w:after="0"/>
              <w:rPr>
                <w:sz w:val="20"/>
                <w:szCs w:val="20"/>
                <w:color w:val="auto"/>
              </w:rPr>
            </w:pPr>
            <w:r>
              <w:rPr>
                <w:rFonts w:ascii="Arial" w:cs="Arial" w:eastAsia="Arial" w:hAnsi="Arial"/>
                <w:sz w:val="17"/>
                <w:szCs w:val="17"/>
                <w:color w:val="0000FF"/>
                <w:w w:val="84"/>
              </w:rPr>
              <w:t>0</w:t>
            </w: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6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8"/>
              </w:rPr>
              <w:t>195.227</w:t>
            </w:r>
            <w:r>
              <w:rPr>
                <w:rFonts w:ascii="Arial" w:cs="Arial" w:eastAsia="Arial" w:hAnsi="Arial"/>
                <w:sz w:val="22"/>
                <w:szCs w:val="22"/>
                <w:color w:val="008000"/>
                <w:w w:val="88"/>
                <w:vertAlign w:val="superscript"/>
              </w:rPr>
              <w:t>(2)</w:t>
            </w:r>
          </w:p>
        </w:tc>
        <w:tc>
          <w:tcPr>
            <w:tcW w:w="30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35,545.038</w:t>
            </w:r>
            <w:r>
              <w:rPr>
                <w:rFonts w:ascii="Arial" w:cs="Arial" w:eastAsia="Arial" w:hAnsi="Arial"/>
                <w:sz w:val="22"/>
                <w:szCs w:val="22"/>
                <w:color w:val="008000"/>
                <w:w w:val="89"/>
                <w:vertAlign w:val="superscript"/>
              </w:rPr>
              <w:t>(3)</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09"/>
              <w:spacing w:after="0"/>
              <w:rPr>
                <w:sz w:val="20"/>
                <w:szCs w:val="20"/>
                <w:color w:val="auto"/>
              </w:rPr>
            </w:pPr>
            <w:r>
              <w:rPr>
                <w:rFonts w:ascii="Arial" w:cs="Arial" w:eastAsia="Arial" w:hAnsi="Arial"/>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5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6"/>
              </w:rPr>
              <w:t>of (D) (Instr.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ind w:left="2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7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780" w:type="dxa"/>
            <w:vAlign w:val="bottom"/>
          </w:tcPr>
          <w:p>
            <w:pPr>
              <w:ind w:left="22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21.03</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08/29/2019</w:t>
            </w:r>
          </w:p>
        </w:tc>
        <w:tc>
          <w:tcPr>
            <w:tcW w:w="1180" w:type="dxa"/>
            <w:vAlign w:val="bottom"/>
          </w:tcPr>
          <w:p>
            <w:pPr>
              <w:spacing w:after="0"/>
              <w:rPr>
                <w:sz w:val="17"/>
                <w:szCs w:val="17"/>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7"/>
                <w:szCs w:val="17"/>
                <w:color w:val="auto"/>
              </w:rPr>
            </w:pPr>
          </w:p>
        </w:tc>
        <w:tc>
          <w:tcPr>
            <w:tcW w:w="740" w:type="dxa"/>
            <w:vAlign w:val="bottom"/>
            <w:gridSpan w:val="2"/>
          </w:tcPr>
          <w:p>
            <w:pPr>
              <w:ind w:left="360"/>
              <w:spacing w:after="0"/>
              <w:rPr>
                <w:sz w:val="20"/>
                <w:szCs w:val="20"/>
                <w:color w:val="auto"/>
              </w:rPr>
            </w:pPr>
            <w:r>
              <w:rPr>
                <w:rFonts w:ascii="Arial" w:cs="Arial" w:eastAsia="Arial" w:hAnsi="Arial"/>
                <w:sz w:val="13"/>
                <w:szCs w:val="13"/>
                <w:color w:val="0000FF"/>
                <w:w w:val="90"/>
              </w:rPr>
              <w:t>11,400</w:t>
            </w:r>
          </w:p>
        </w:tc>
        <w:tc>
          <w:tcPr>
            <w:tcW w:w="820" w:type="dxa"/>
            <w:vAlign w:val="bottom"/>
          </w:tcPr>
          <w:p>
            <w:pPr>
              <w:ind w:left="400"/>
              <w:spacing w:after="0"/>
              <w:rPr>
                <w:sz w:val="20"/>
                <w:szCs w:val="20"/>
                <w:color w:val="auto"/>
              </w:rPr>
            </w:pPr>
            <w:r>
              <w:rPr>
                <w:rFonts w:ascii="Arial" w:cs="Arial" w:eastAsia="Arial" w:hAnsi="Arial"/>
                <w:sz w:val="11"/>
                <w:szCs w:val="11"/>
                <w:color w:val="008000"/>
              </w:rPr>
              <w:t>(4)</w:t>
            </w:r>
          </w:p>
        </w:tc>
        <w:tc>
          <w:tcPr>
            <w:tcW w:w="780" w:type="dxa"/>
            <w:vAlign w:val="bottom"/>
          </w:tcPr>
          <w:p>
            <w:pPr>
              <w:ind w:left="140"/>
              <w:spacing w:after="0"/>
              <w:rPr>
                <w:sz w:val="20"/>
                <w:szCs w:val="20"/>
                <w:color w:val="auto"/>
              </w:rPr>
            </w:pPr>
            <w:r>
              <w:rPr>
                <w:rFonts w:ascii="Arial" w:cs="Arial" w:eastAsia="Arial" w:hAnsi="Arial"/>
                <w:sz w:val="13"/>
                <w:szCs w:val="13"/>
                <w:color w:val="0000FF"/>
                <w:w w:val="95"/>
              </w:rPr>
              <w:t>12/11/2022</w:t>
            </w:r>
          </w:p>
        </w:tc>
        <w:tc>
          <w:tcPr>
            <w:tcW w:w="1300" w:type="dxa"/>
            <w:vAlign w:val="bottom"/>
            <w:gridSpan w:val="2"/>
          </w:tcPr>
          <w:p>
            <w:pPr>
              <w:ind w:left="100"/>
              <w:spacing w:after="0" w:line="199"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11,400</w:t>
            </w:r>
          </w:p>
        </w:tc>
        <w:tc>
          <w:tcPr>
            <w:tcW w:w="7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500" w:type="dxa"/>
            <w:vAlign w:val="bottom"/>
          </w:tcPr>
          <w:p>
            <w:pPr>
              <w:ind w:left="40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200"/>
              <w:spacing w:after="0" w:line="109" w:lineRule="exact"/>
              <w:rPr>
                <w:sz w:val="20"/>
                <w:szCs w:val="20"/>
                <w:color w:val="auto"/>
              </w:rPr>
            </w:pPr>
            <w:r>
              <w:rPr>
                <w:rFonts w:ascii="Arial" w:cs="Arial" w:eastAsia="Arial" w:hAnsi="Arial"/>
                <w:sz w:val="12"/>
                <w:szCs w:val="12"/>
                <w:color w:val="0000FF"/>
                <w:w w:val="99"/>
              </w:rPr>
              <w:t>Stock</w:t>
            </w: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$72.16 to $72.62,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52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the following shares of common stock acquired by the reporting person since the date of his last report: 1.188 net shares acquired under the dividend reinvestment feature of The Toro Company Investment, Savings &amp; ESOP (the "IS&amp;ESOP") less non-discretionary quarterly administrative fees; and 60.273 shares acquired through issuer annual investment fund contributions to the IS&amp;ESOP.</w:t>
      </w: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231.156 performance share units acquired by the reporting person since the date of his last report under the dividend reinvestment feature of The Toro Company Deferred Compensation Plan for Officers.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December 11, 2012.</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08/30/2019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2019-12-23T21:26:29Z</dcterms:created>
  <dcterms:modified xsi:type="dcterms:W3CDTF">2019-12-23T21:26:29Z</dcterms:modified>
</cp:coreProperties>
</file>