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14, 2004</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80" w:type="dxa"/>
            <w:vAlign w:val="bottom"/>
          </w:tcPr>
          <w:p>
            <w:pPr>
              <w:jc w:val="center"/>
              <w:ind w:left="112"/>
              <w:spacing w:after="0"/>
              <w:rPr>
                <w:sz w:val="20"/>
                <w:szCs w:val="20"/>
                <w:color w:val="auto"/>
              </w:rPr>
            </w:pPr>
            <w:r>
              <w:rPr>
                <w:rFonts w:ascii="Arial" w:cs="Arial" w:eastAsia="Arial" w:hAnsi="Arial"/>
                <w:sz w:val="18"/>
                <w:szCs w:val="18"/>
                <w:color w:val="auto"/>
                <w:w w:val="86"/>
              </w:rPr>
              <w:t>Delaware</w:t>
            </w:r>
          </w:p>
        </w:tc>
        <w:tc>
          <w:tcPr>
            <w:tcW w:w="4560" w:type="dxa"/>
            <w:vAlign w:val="bottom"/>
          </w:tcPr>
          <w:p>
            <w:pPr>
              <w:jc w:val="right"/>
              <w:ind w:right="1552"/>
              <w:spacing w:after="0"/>
              <w:rPr>
                <w:sz w:val="20"/>
                <w:szCs w:val="20"/>
                <w:color w:val="auto"/>
              </w:rPr>
            </w:pPr>
            <w:r>
              <w:rPr>
                <w:rFonts w:ascii="Arial" w:cs="Arial" w:eastAsia="Arial" w:hAnsi="Arial"/>
                <w:sz w:val="18"/>
                <w:szCs w:val="18"/>
                <w:color w:val="auto"/>
              </w:rPr>
              <w:t>1-8649</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7"/>
              </w:rPr>
              <w:t>41-0580470</w:t>
            </w:r>
          </w:p>
        </w:tc>
      </w:tr>
      <w:tr>
        <w:trPr>
          <w:trHeight w:val="216"/>
        </w:trPr>
        <w:tc>
          <w:tcPr>
            <w:tcW w:w="3180" w:type="dxa"/>
            <w:vAlign w:val="bottom"/>
          </w:tcPr>
          <w:p>
            <w:pPr>
              <w:jc w:val="right"/>
              <w:ind w:right="492"/>
              <w:spacing w:after="0"/>
              <w:rPr>
                <w:sz w:val="20"/>
                <w:szCs w:val="20"/>
                <w:color w:val="auto"/>
              </w:rPr>
            </w:pPr>
            <w:r>
              <w:rPr>
                <w:rFonts w:ascii="Arial" w:cs="Arial" w:eastAsia="Arial" w:hAnsi="Arial"/>
                <w:sz w:val="18"/>
                <w:szCs w:val="18"/>
                <w:color w:val="auto"/>
              </w:rPr>
              <w:t>_____________________</w:t>
            </w:r>
          </w:p>
        </w:tc>
        <w:tc>
          <w:tcPr>
            <w:tcW w:w="4560" w:type="dxa"/>
            <w:vAlign w:val="bottom"/>
          </w:tcPr>
          <w:p>
            <w:pPr>
              <w:jc w:val="right"/>
              <w:ind w:right="1232"/>
              <w:spacing w:after="0"/>
              <w:rPr>
                <w:sz w:val="20"/>
                <w:szCs w:val="20"/>
                <w:color w:val="auto"/>
              </w:rPr>
            </w:pPr>
            <w:r>
              <w:rPr>
                <w:rFonts w:ascii="Arial" w:cs="Arial" w:eastAsia="Arial" w:hAnsi="Arial"/>
                <w:sz w:val="18"/>
                <w:szCs w:val="18"/>
                <w:color w:val="auto"/>
              </w:rPr>
              <w:t>_____________</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8"/>
              </w:rPr>
              <w:t>______________</w:t>
            </w:r>
          </w:p>
        </w:tc>
      </w:tr>
      <w:tr>
        <w:trPr>
          <w:trHeight w:val="216"/>
        </w:trPr>
        <w:tc>
          <w:tcPr>
            <w:tcW w:w="3180" w:type="dxa"/>
            <w:vAlign w:val="bottom"/>
          </w:tcPr>
          <w:p>
            <w:pPr>
              <w:jc w:val="center"/>
              <w:ind w:left="112"/>
              <w:spacing w:after="0"/>
              <w:rPr>
                <w:sz w:val="20"/>
                <w:szCs w:val="20"/>
                <w:color w:val="auto"/>
              </w:rPr>
            </w:pPr>
            <w:r>
              <w:rPr>
                <w:rFonts w:ascii="Arial" w:cs="Arial" w:eastAsia="Arial" w:hAnsi="Arial"/>
                <w:sz w:val="18"/>
                <w:szCs w:val="18"/>
                <w:color w:val="auto"/>
                <w:w w:val="90"/>
              </w:rPr>
              <w:t>(State or other jurisdiction</w:t>
            </w:r>
          </w:p>
        </w:tc>
        <w:tc>
          <w:tcPr>
            <w:tcW w:w="4560" w:type="dxa"/>
            <w:vAlign w:val="bottom"/>
          </w:tcPr>
          <w:p>
            <w:pPr>
              <w:ind w:left="2200"/>
              <w:spacing w:after="0"/>
              <w:rPr>
                <w:sz w:val="20"/>
                <w:szCs w:val="20"/>
                <w:color w:val="auto"/>
              </w:rPr>
            </w:pPr>
            <w:r>
              <w:rPr>
                <w:rFonts w:ascii="Arial" w:cs="Arial" w:eastAsia="Arial" w:hAnsi="Arial"/>
                <w:sz w:val="18"/>
                <w:szCs w:val="18"/>
                <w:color w:val="auto"/>
              </w:rPr>
              <w:t>(Commission</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90"/>
              </w:rPr>
              <w:t>(I.R.S. Employer</w:t>
            </w:r>
          </w:p>
        </w:tc>
      </w:tr>
      <w:tr>
        <w:trPr>
          <w:trHeight w:val="222"/>
        </w:trPr>
        <w:tc>
          <w:tcPr>
            <w:tcW w:w="3180" w:type="dxa"/>
            <w:vAlign w:val="bottom"/>
          </w:tcPr>
          <w:p>
            <w:pPr>
              <w:jc w:val="center"/>
              <w:ind w:left="112"/>
              <w:spacing w:after="0"/>
              <w:rPr>
                <w:sz w:val="20"/>
                <w:szCs w:val="20"/>
                <w:color w:val="auto"/>
              </w:rPr>
            </w:pPr>
            <w:r>
              <w:rPr>
                <w:rFonts w:ascii="Arial" w:cs="Arial" w:eastAsia="Arial" w:hAnsi="Arial"/>
                <w:sz w:val="18"/>
                <w:szCs w:val="18"/>
                <w:color w:val="auto"/>
                <w:w w:val="90"/>
              </w:rPr>
              <w:t>of incorporation)</w:t>
            </w:r>
          </w:p>
        </w:tc>
        <w:tc>
          <w:tcPr>
            <w:tcW w:w="4560" w:type="dxa"/>
            <w:vAlign w:val="bottom"/>
          </w:tcPr>
          <w:p>
            <w:pPr>
              <w:ind w:left="2200"/>
              <w:spacing w:after="0"/>
              <w:rPr>
                <w:sz w:val="20"/>
                <w:szCs w:val="20"/>
                <w:color w:val="auto"/>
              </w:rPr>
            </w:pPr>
            <w:r>
              <w:rPr>
                <w:rFonts w:ascii="Arial" w:cs="Arial" w:eastAsia="Arial" w:hAnsi="Arial"/>
                <w:sz w:val="18"/>
                <w:szCs w:val="18"/>
                <w:color w:val="auto"/>
              </w:rPr>
              <w:t>File Number)</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7740" w:type="dxa"/>
            <w:vAlign w:val="bottom"/>
            <w:gridSpan w:val="2"/>
          </w:tcPr>
          <w:p>
            <w:pPr>
              <w:jc w:val="center"/>
              <w:ind w:right="4292"/>
              <w:spacing w:after="0"/>
              <w:rPr>
                <w:sz w:val="20"/>
                <w:szCs w:val="20"/>
                <w:color w:val="auto"/>
              </w:rPr>
            </w:pPr>
            <w:r>
              <w:rPr>
                <w:rFonts w:ascii="Arial" w:cs="Arial" w:eastAsia="Arial" w:hAnsi="Arial"/>
                <w:sz w:val="18"/>
                <w:szCs w:val="18"/>
                <w:color w:val="auto"/>
                <w:w w:val="89"/>
              </w:rPr>
              <w:t>8111 Lyndale Avenue South, Bloomington, MN</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7"/>
              </w:rPr>
              <w:t>55420</w:t>
            </w:r>
          </w:p>
        </w:tc>
      </w:tr>
      <w:tr>
        <w:trPr>
          <w:trHeight w:val="216"/>
        </w:trPr>
        <w:tc>
          <w:tcPr>
            <w:tcW w:w="3180" w:type="dxa"/>
            <w:vAlign w:val="bottom"/>
          </w:tcPr>
          <w:p>
            <w:pPr>
              <w:jc w:val="right"/>
              <w:spacing w:after="0"/>
              <w:rPr>
                <w:sz w:val="20"/>
                <w:szCs w:val="20"/>
                <w:color w:val="auto"/>
              </w:rPr>
            </w:pPr>
            <w:r>
              <w:rPr>
                <w:rFonts w:ascii="Arial" w:cs="Arial" w:eastAsia="Arial" w:hAnsi="Arial"/>
                <w:sz w:val="18"/>
                <w:szCs w:val="18"/>
                <w:color w:val="auto"/>
                <w:w w:val="94"/>
              </w:rPr>
              <w:t>_________________________________</w:t>
            </w:r>
          </w:p>
        </w:tc>
        <w:tc>
          <w:tcPr>
            <w:tcW w:w="4560" w:type="dxa"/>
            <w:vAlign w:val="bottom"/>
          </w:tcPr>
          <w:p>
            <w:pPr>
              <w:spacing w:after="0"/>
              <w:rPr>
                <w:sz w:val="18"/>
                <w:szCs w:val="18"/>
                <w:color w:val="auto"/>
              </w:rPr>
            </w:pP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7"/>
              </w:rPr>
              <w:t>___________</w:t>
            </w:r>
          </w:p>
        </w:tc>
      </w:tr>
      <w:tr>
        <w:trPr>
          <w:trHeight w:val="222"/>
        </w:trPr>
        <w:tc>
          <w:tcPr>
            <w:tcW w:w="3180" w:type="dxa"/>
            <w:vAlign w:val="bottom"/>
          </w:tcPr>
          <w:p>
            <w:pPr>
              <w:jc w:val="center"/>
              <w:ind w:left="112"/>
              <w:spacing w:after="0"/>
              <w:rPr>
                <w:sz w:val="20"/>
                <w:szCs w:val="20"/>
                <w:color w:val="auto"/>
              </w:rPr>
            </w:pPr>
            <w:r>
              <w:rPr>
                <w:rFonts w:ascii="Arial" w:cs="Arial" w:eastAsia="Arial" w:hAnsi="Arial"/>
                <w:sz w:val="18"/>
                <w:szCs w:val="18"/>
                <w:color w:val="auto"/>
                <w:w w:val="90"/>
              </w:rPr>
              <w:t>(Address of principal executive offices)</w:t>
            </w:r>
          </w:p>
        </w:tc>
        <w:tc>
          <w:tcPr>
            <w:tcW w:w="4560" w:type="dxa"/>
            <w:vAlign w:val="bottom"/>
          </w:tcPr>
          <w:p>
            <w:pPr>
              <w:spacing w:after="0"/>
              <w:rPr>
                <w:sz w:val="19"/>
                <w:szCs w:val="19"/>
                <w:color w:val="auto"/>
              </w:rPr>
            </w:pP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9"/>
              </w:rPr>
              <w:t>(Zip Code)</w:t>
            </w:r>
          </w:p>
        </w:tc>
      </w:tr>
      <w:tr>
        <w:trPr>
          <w:trHeight w:val="459"/>
        </w:trPr>
        <w:tc>
          <w:tcPr>
            <w:tcW w:w="7740" w:type="dxa"/>
            <w:vAlign w:val="bottom"/>
            <w:gridSpan w:val="2"/>
          </w:tcPr>
          <w:p>
            <w:pPr>
              <w:ind w:left="740"/>
              <w:spacing w:after="0"/>
              <w:rPr>
                <w:sz w:val="20"/>
                <w:szCs w:val="20"/>
                <w:color w:val="auto"/>
              </w:rPr>
            </w:pPr>
            <w:r>
              <w:rPr>
                <w:rFonts w:ascii="Arial" w:cs="Arial" w:eastAsia="Arial" w:hAnsi="Arial"/>
                <w:sz w:val="18"/>
                <w:szCs w:val="18"/>
                <w:color w:val="auto"/>
              </w:rPr>
              <w:t>Registrant’s telephone number, including area code</w:t>
            </w:r>
          </w:p>
        </w:tc>
        <w:tc>
          <w:tcPr>
            <w:tcW w:w="2420" w:type="dxa"/>
            <w:vAlign w:val="bottom"/>
          </w:tcPr>
          <w:p>
            <w:pPr>
              <w:jc w:val="right"/>
              <w:ind w:right="1032"/>
              <w:spacing w:after="0"/>
              <w:rPr>
                <w:sz w:val="20"/>
                <w:szCs w:val="20"/>
                <w:color w:val="auto"/>
              </w:rPr>
            </w:pPr>
            <w:r>
              <w:rPr>
                <w:rFonts w:ascii="Arial" w:cs="Arial" w:eastAsia="Arial" w:hAnsi="Arial"/>
                <w:sz w:val="18"/>
                <w:szCs w:val="18"/>
                <w:color w:val="auto"/>
              </w:rPr>
              <w:t>952-888-8801</w:t>
            </w:r>
          </w:p>
        </w:tc>
      </w:tr>
      <w:tr>
        <w:trPr>
          <w:trHeight w:val="426"/>
        </w:trPr>
        <w:tc>
          <w:tcPr>
            <w:tcW w:w="3180" w:type="dxa"/>
            <w:vAlign w:val="bottom"/>
          </w:tcPr>
          <w:p>
            <w:pPr>
              <w:spacing w:after="0"/>
              <w:rPr>
                <w:sz w:val="24"/>
                <w:szCs w:val="24"/>
                <w:color w:val="auto"/>
              </w:rPr>
            </w:pPr>
          </w:p>
        </w:tc>
        <w:tc>
          <w:tcPr>
            <w:tcW w:w="4560" w:type="dxa"/>
            <w:vAlign w:val="bottom"/>
          </w:tcPr>
          <w:p>
            <w:pPr>
              <w:jc w:val="center"/>
              <w:ind w:right="192"/>
              <w:spacing w:after="0"/>
              <w:rPr>
                <w:sz w:val="20"/>
                <w:szCs w:val="20"/>
                <w:color w:val="auto"/>
              </w:rPr>
            </w:pPr>
            <w:r>
              <w:rPr>
                <w:rFonts w:ascii="Arial" w:cs="Arial" w:eastAsia="Arial" w:hAnsi="Arial"/>
                <w:sz w:val="18"/>
                <w:szCs w:val="18"/>
                <w:color w:val="auto"/>
                <w:w w:val="93"/>
              </w:rPr>
              <w:t>Not Applicable</w:t>
            </w:r>
          </w:p>
        </w:tc>
        <w:tc>
          <w:tcPr>
            <w:tcW w:w="242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456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420" w:type="dxa"/>
            <w:vAlign w:val="bottom"/>
          </w:tcPr>
          <w:p>
            <w:pPr>
              <w:spacing w:after="0"/>
              <w:rPr>
                <w:sz w:val="18"/>
                <w:szCs w:val="18"/>
                <w:color w:val="auto"/>
              </w:rPr>
            </w:pPr>
          </w:p>
        </w:tc>
      </w:tr>
      <w:tr>
        <w:trPr>
          <w:trHeight w:val="222"/>
        </w:trPr>
        <w:tc>
          <w:tcPr>
            <w:tcW w:w="3180" w:type="dxa"/>
            <w:vAlign w:val="bottom"/>
          </w:tcPr>
          <w:p>
            <w:pPr>
              <w:spacing w:after="0"/>
              <w:rPr>
                <w:sz w:val="19"/>
                <w:szCs w:val="19"/>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w w:val="93"/>
              </w:rPr>
              <w:t>Former name or former address, if changed since last report</w:t>
            </w:r>
          </w:p>
        </w:tc>
        <w:tc>
          <w:tcPr>
            <w:tcW w:w="242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September 14, 2004, The Toro Company purchased 100,000 shares of Toro common stock from Kendrick B. Melrose, Chairman and Chief Executive Officer. The purchase was effected under the terms of an Officer Stock Purchase Policy, which was approved by Toro’s Board of Directors on September 16, 1999. Pursuant to the terms of the Officer Stock Purchase Policy, Mr. Melrose requested prior to the opening of the market on the morning of September 14, 2004 that Toro purchase 100,000 of his shares of Toro common stock at a purchase price equal to $70.08 per share, which represented the closing price of a share of Toro common stock on September 13, 2004, as reported by the New York Stock Exchange. Toro, which has recently and from time to time been in the market effecting repurchases of its common stock under its Board of Directors approved stock repurchase program, agreed to purchase the shares from Mr. Melrose.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(c)Exhibit. The following exhibit is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Description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10(a) Officer Stock Purchase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September 17, 2004</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40" w:type="dxa"/>
            <w:vAlign w:val="bottom"/>
          </w:tcPr>
          <w:p>
            <w:pPr>
              <w:ind w:left="1240"/>
              <w:spacing w:after="0"/>
              <w:rPr>
                <w:sz w:val="20"/>
                <w:szCs w:val="20"/>
                <w:color w:val="auto"/>
              </w:rPr>
            </w:pPr>
            <w:r>
              <w:rPr>
                <w:rFonts w:ascii="Arial" w:cs="Arial" w:eastAsia="Arial" w:hAnsi="Arial"/>
                <w:sz w:val="18"/>
                <w:szCs w:val="18"/>
                <w:color w:val="auto"/>
              </w:rPr>
              <w:t>Exhibit Index</w:t>
            </w:r>
          </w:p>
        </w:tc>
      </w:tr>
      <w:tr>
        <w:trPr>
          <w:trHeight w:val="866"/>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5540" w:type="dxa"/>
            <w:vAlign w:val="bottom"/>
            <w:gridSpan w:val="2"/>
          </w:tcPr>
          <w:p>
            <w:pPr>
              <w:ind w:left="10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70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40" w:type="dxa"/>
            <w:vAlign w:val="bottom"/>
            <w:tcBorders>
              <w:bottom w:val="single" w:sz="8" w:color="808080"/>
            </w:tcBorders>
          </w:tcPr>
          <w:p>
            <w:pPr>
              <w:spacing w:after="0"/>
              <w:rPr>
                <w:sz w:val="8"/>
                <w:szCs w:val="8"/>
                <w:color w:val="auto"/>
              </w:rPr>
            </w:pPr>
          </w:p>
        </w:tc>
      </w:tr>
      <w:tr>
        <w:trPr>
          <w:trHeight w:val="316"/>
        </w:trPr>
        <w:tc>
          <w:tcPr>
            <w:tcW w:w="700" w:type="dxa"/>
            <w:vAlign w:val="bottom"/>
          </w:tcPr>
          <w:p>
            <w:pPr>
              <w:spacing w:after="0"/>
              <w:rPr>
                <w:sz w:val="20"/>
                <w:szCs w:val="20"/>
                <w:color w:val="auto"/>
              </w:rPr>
            </w:pPr>
            <w:r>
              <w:rPr>
                <w:rFonts w:ascii="Arial" w:cs="Arial" w:eastAsia="Arial" w:hAnsi="Arial"/>
                <w:sz w:val="18"/>
                <w:szCs w:val="18"/>
                <w:color w:val="auto"/>
                <w:w w:val="88"/>
              </w:rPr>
              <w:t>EX-10.(a)</w:t>
            </w:r>
          </w:p>
        </w:tc>
        <w:tc>
          <w:tcPr>
            <w:tcW w:w="5540" w:type="dxa"/>
            <w:vAlign w:val="bottom"/>
            <w:gridSpan w:val="2"/>
          </w:tcPr>
          <w:p>
            <w:pPr>
              <w:ind w:left="1000"/>
              <w:spacing w:after="0"/>
              <w:rPr>
                <w:sz w:val="20"/>
                <w:szCs w:val="20"/>
                <w:color w:val="auto"/>
              </w:rPr>
            </w:pPr>
            <w:r>
              <w:rPr>
                <w:rFonts w:ascii="Arial" w:cs="Arial" w:eastAsia="Arial" w:hAnsi="Arial"/>
                <w:sz w:val="18"/>
                <w:szCs w:val="18"/>
                <w:color w:val="auto"/>
              </w:rPr>
              <w:t>Officer Stock Purchase Policy</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OFFICER STOCK PURCHASE POLICY</w:t>
      </w:r>
    </w:p>
    <w:p>
      <w:pPr>
        <w:spacing w:after="0" w:line="267" w:lineRule="exact"/>
        <w:rPr>
          <w:sz w:val="20"/>
          <w:szCs w:val="20"/>
          <w:color w:val="auto"/>
        </w:rPr>
      </w:pPr>
    </w:p>
    <w:p>
      <w:pPr>
        <w:ind w:right="40" w:firstLine="456"/>
        <w:spacing w:after="0" w:line="255" w:lineRule="auto"/>
        <w:rPr>
          <w:sz w:val="20"/>
          <w:szCs w:val="20"/>
          <w:color w:val="auto"/>
        </w:rPr>
      </w:pPr>
      <w:r>
        <w:rPr>
          <w:rFonts w:ascii="Arial" w:cs="Arial" w:eastAsia="Arial" w:hAnsi="Arial"/>
          <w:sz w:val="25"/>
          <w:szCs w:val="25"/>
          <w:color w:val="auto"/>
        </w:rPr>
        <w:t>From time to time the Company is in the stock market repurchasing shares to fund special stock issuance needs such as employee stock plans or business acquisitions. Purchases are made pursuant to a Board approved stock repurchase “program” adopted from time to time by the Board. When the Company is in a position to be in the market for stock, as directed by the Chief Financial Officer, the Company will be willing to purchase shares from any officer of the Company so long as:</w:t>
      </w:r>
    </w:p>
    <w:p>
      <w:pPr>
        <w:spacing w:after="0" w:line="197" w:lineRule="exact"/>
        <w:rPr>
          <w:sz w:val="20"/>
          <w:szCs w:val="20"/>
          <w:color w:val="auto"/>
        </w:rPr>
      </w:pPr>
    </w:p>
    <w:p>
      <w:pPr>
        <w:ind w:left="900" w:right="540" w:hanging="184"/>
        <w:spacing w:after="0" w:line="251" w:lineRule="auto"/>
        <w:tabs>
          <w:tab w:leader="none" w:pos="9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is otherwise ready to be in the market for the purpose of repurchasing shares of Toro Common Stock under a Board approved and announced stock repurchase program;</w:t>
      </w:r>
    </w:p>
    <w:p>
      <w:pPr>
        <w:spacing w:after="0" w:line="173" w:lineRule="exact"/>
        <w:rPr>
          <w:rFonts w:ascii="Arial" w:cs="Arial" w:eastAsia="Arial" w:hAnsi="Arial"/>
          <w:sz w:val="22"/>
          <w:szCs w:val="22"/>
          <w:color w:val="auto"/>
        </w:rPr>
      </w:pPr>
    </w:p>
    <w:p>
      <w:pPr>
        <w:ind w:left="900" w:hanging="184"/>
        <w:spacing w:after="0"/>
        <w:tabs>
          <w:tab w:leader="none" w:pos="9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block of shares being offered for sale by the officer must be registered in the officers name or in an account held by a broker on behalf of an officer [not in conjunction with the exercise of a stock option] and in an amount of 5,000 or more shares;</w:t>
      </w:r>
    </w:p>
    <w:p>
      <w:pPr>
        <w:spacing w:after="0" w:line="186" w:lineRule="exact"/>
        <w:rPr>
          <w:rFonts w:ascii="Arial" w:cs="Arial" w:eastAsia="Arial" w:hAnsi="Arial"/>
          <w:sz w:val="22"/>
          <w:szCs w:val="22"/>
          <w:color w:val="auto"/>
        </w:rPr>
      </w:pPr>
    </w:p>
    <w:p>
      <w:pPr>
        <w:ind w:left="900" w:right="40" w:hanging="184"/>
        <w:spacing w:after="0" w:line="287" w:lineRule="auto"/>
        <w:tabs>
          <w:tab w:leader="none" w:pos="9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price per share the Company will pay is the reported New York Stock Exchange Closing Price on the day of the transaction and the Company will not assess a sales commission. If officer tells the Company he/she wishes to sell before the market opens on any given day, he/she will receive the Closing Price from the day before, and if after the market opens (anytime up until 4:00 p.m. c.s.t.) the officer will receive the Closing Price at the end of the day;</w:t>
      </w:r>
    </w:p>
    <w:p>
      <w:pPr>
        <w:spacing w:after="0" w:line="143" w:lineRule="exact"/>
        <w:rPr>
          <w:rFonts w:ascii="Arial" w:cs="Arial" w:eastAsia="Arial" w:hAnsi="Arial"/>
          <w:sz w:val="19"/>
          <w:szCs w:val="19"/>
          <w:color w:val="auto"/>
        </w:rPr>
      </w:pPr>
    </w:p>
    <w:p>
      <w:pPr>
        <w:ind w:left="900" w:right="340" w:hanging="184"/>
        <w:spacing w:after="0" w:line="251" w:lineRule="auto"/>
        <w:tabs>
          <w:tab w:leader="none" w:pos="9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will not make purchases at times when, in the opinion of the General Counsel or pursuant to New York Stock Exchange guidelines, officers are prohibited from market transactions;</w:t>
      </w:r>
    </w:p>
    <w:p>
      <w:pPr>
        <w:spacing w:after="0" w:line="173" w:lineRule="exact"/>
        <w:rPr>
          <w:rFonts w:ascii="Arial" w:cs="Arial" w:eastAsia="Arial" w:hAnsi="Arial"/>
          <w:sz w:val="22"/>
          <w:szCs w:val="22"/>
          <w:color w:val="auto"/>
        </w:rPr>
      </w:pPr>
    </w:p>
    <w:p>
      <w:pPr>
        <w:ind w:left="900" w:right="220" w:hanging="184"/>
        <w:spacing w:after="0" w:line="251" w:lineRule="auto"/>
        <w:tabs>
          <w:tab w:leader="none" w:pos="9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Transactions will be administered by the General Counsel’s office and will be subject to normal Securities &amp; Exchange Commission reporting.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2019-12-13T13:53:08Z</dcterms:created>
  <dcterms:modified xsi:type="dcterms:W3CDTF">2019-12-13T13:53:08Z</dcterms:modified>
</cp:coreProperties>
</file>