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4</w:t>
      </w:r>
    </w:p>
    <w:p>
      <w:pPr>
        <w:spacing w:after="0" w:line="238" w:lineRule="auto"/>
        <w:rPr>
          <w:sz w:val="20"/>
          <w:szCs w:val="20"/>
          <w:color w:val="auto"/>
        </w:rPr>
      </w:pPr>
      <w:r>
        <w:rPr>
          <w:rFonts w:ascii="Courier New" w:cs="Courier New" w:eastAsia="Courier New" w:hAnsi="Courier New"/>
          <w:sz w:val="18"/>
          <w:szCs w:val="18"/>
          <w:color w:val="auto"/>
        </w:rPr>
        <w:t>Toro Corporation</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 891092108</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891092108</w:t>
      </w:r>
    </w:p>
    <w:p>
      <w:pPr>
        <w:spacing w:after="0"/>
        <w:tabs>
          <w:tab w:leader="none" w:pos="5140" w:val="left"/>
        </w:tabs>
        <w:rPr>
          <w:sz w:val="20"/>
          <w:szCs w:val="20"/>
          <w:color w:val="auto"/>
        </w:rPr>
      </w:pPr>
      <w:r>
        <w:rPr>
          <w:rFonts w:ascii="Courier New" w:cs="Courier New" w:eastAsia="Courier New" w:hAnsi="Courier New"/>
          <w:sz w:val="18"/>
          <w:szCs w:val="18"/>
          <w:color w:val="auto"/>
        </w:rPr>
        <w:t>Item 1: Reporting Person - FMR Corp. - (Tax ID:</w:t>
      </w:r>
      <w:r>
        <w:rPr>
          <w:sz w:val="20"/>
          <w:szCs w:val="20"/>
          <w:color w:val="auto"/>
        </w:rPr>
        <w:tab/>
      </w:r>
      <w:r>
        <w:rPr>
          <w:rFonts w:ascii="Courier New" w:cs="Courier New" w:eastAsia="Courier New" w:hAnsi="Courier New"/>
          <w:sz w:val="16"/>
          <w:szCs w:val="16"/>
          <w:color w:val="auto"/>
        </w:rPr>
        <w:t>04-2507163)</w:t>
      </w:r>
    </w:p>
    <w:p>
      <w:pPr>
        <w:spacing w:after="0"/>
        <w:rPr>
          <w:sz w:val="20"/>
          <w:szCs w:val="20"/>
          <w:color w:val="auto"/>
        </w:rPr>
      </w:pPr>
      <w:r>
        <w:rPr>
          <w:rFonts w:ascii="Courier New" w:cs="Courier New" w:eastAsia="Courier New" w:hAnsi="Courier New"/>
          <w:sz w:val="18"/>
          <w:szCs w:val="18"/>
          <w:color w:val="auto"/>
        </w:rPr>
        <w:t>Item 4: Commonwealth of Massachusetts</w:t>
      </w:r>
    </w:p>
    <w:p>
      <w:pPr>
        <w:sectPr>
          <w:pgSz w:w="11900" w:h="16855" w:orient="portrait"/>
          <w:cols w:equalWidth="0" w:num="1">
            <w:col w:w="10219"/>
          </w:cols>
          <w:pgMar w:left="240" w:top="852" w:right="1440" w:bottom="0" w:gutter="0" w:footer="0" w:header="0"/>
        </w:sectPr>
      </w:pPr>
    </w:p>
    <w:p>
      <w:pPr>
        <w:spacing w:after="0" w:line="3" w:lineRule="exact"/>
        <w:rPr>
          <w:sz w:val="24"/>
          <w:szCs w:val="24"/>
          <w:color w:val="auto"/>
        </w:rPr>
      </w:pPr>
    </w:p>
    <w:p>
      <w:pPr>
        <w:spacing w:after="0" w:line="271" w:lineRule="auto"/>
        <w:rPr>
          <w:sz w:val="20"/>
          <w:szCs w:val="20"/>
          <w:color w:val="auto"/>
        </w:rPr>
      </w:pPr>
      <w:r>
        <w:rPr>
          <w:rFonts w:ascii="Courier New" w:cs="Courier New" w:eastAsia="Courier New" w:hAnsi="Courier New"/>
          <w:sz w:val="16"/>
          <w:szCs w:val="16"/>
          <w:color w:val="auto"/>
        </w:rPr>
        <w:t>Item 5: 13,400 Item 6: None Item 7: 13,800 Item 8: None Item 9: 13,800 Item 11: Item 12: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0.11%</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HC</w:t>
      </w:r>
    </w:p>
    <w:p>
      <w:pPr>
        <w:spacing w:after="0" w:line="218" w:lineRule="exact"/>
        <w:rPr>
          <w:sz w:val="24"/>
          <w:szCs w:val="24"/>
          <w:color w:val="auto"/>
        </w:rPr>
      </w:pPr>
    </w:p>
    <w:p>
      <w:pPr>
        <w:sectPr>
          <w:pgSz w:w="11900" w:h="16855" w:orient="portrait"/>
          <w:cols w:equalWidth="0" w:num="2">
            <w:col w:w="1480" w:space="220"/>
            <w:col w:w="8519"/>
          </w:cols>
          <w:pgMar w:left="240" w:top="852" w:right="1440" w:bottom="0" w:gutter="0" w:footer="0" w:header="0"/>
          <w:type w:val="continuous"/>
        </w:sectPr>
      </w:pPr>
    </w:p>
    <w:p>
      <w:pPr>
        <w:spacing w:after="0" w:line="200" w:lineRule="exact"/>
        <w:rPr>
          <w:sz w:val="24"/>
          <w:szCs w:val="24"/>
          <w:color w:val="auto"/>
        </w:rPr>
      </w:pPr>
    </w:p>
    <w:p>
      <w:pPr>
        <w:spacing w:after="0" w:line="39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891092108</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 Reporting Person - Edward C. Johnson 3d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United States of America</w:t>
      </w:r>
    </w:p>
    <w:p>
      <w:pPr>
        <w:sectPr>
          <w:pgSz w:w="11900" w:h="16855" w:orient="portrait"/>
          <w:cols w:equalWidth="0" w:num="1">
            <w:col w:w="10219"/>
          </w:cols>
          <w:pgMar w:left="240" w:top="852" w:right="1440" w:bottom="0" w:gutter="0" w:footer="0" w:header="0"/>
          <w:type w:val="continuous"/>
        </w:sectPr>
      </w:pPr>
    </w:p>
    <w:p>
      <w:pPr>
        <w:spacing w:after="0" w:line="4" w:lineRule="exact"/>
        <w:rPr>
          <w:sz w:val="24"/>
          <w:szCs w:val="24"/>
          <w:color w:val="auto"/>
        </w:rPr>
      </w:pPr>
    </w:p>
    <w:p>
      <w:pPr>
        <w:spacing w:after="0" w:line="271" w:lineRule="auto"/>
        <w:rPr>
          <w:sz w:val="20"/>
          <w:szCs w:val="20"/>
          <w:color w:val="auto"/>
        </w:rPr>
      </w:pPr>
      <w:r>
        <w:rPr>
          <w:rFonts w:ascii="Courier New" w:cs="Courier New" w:eastAsia="Courier New" w:hAnsi="Courier New"/>
          <w:sz w:val="16"/>
          <w:szCs w:val="16"/>
          <w:color w:val="auto"/>
        </w:rPr>
        <w:t>Item 5: None Item 6: None Item 7: 13,800 Item 8: None Item 9: 13,800 Item 11: Item 12: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0.11%</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w:t>
      </w:r>
    </w:p>
    <w:p>
      <w:pPr>
        <w:spacing w:after="0" w:line="218" w:lineRule="exact"/>
        <w:rPr>
          <w:sz w:val="24"/>
          <w:szCs w:val="24"/>
          <w:color w:val="auto"/>
        </w:rPr>
      </w:pPr>
    </w:p>
    <w:p>
      <w:pPr>
        <w:sectPr>
          <w:pgSz w:w="11900" w:h="16855" w:orient="portrait"/>
          <w:cols w:equalWidth="0" w:num="2">
            <w:col w:w="1480" w:space="220"/>
            <w:col w:w="8519"/>
          </w:cols>
          <w:pgMar w:left="240" w:top="852" w:right="1440" w:bottom="0" w:gutter="0" w:footer="0" w:header="0"/>
          <w:type w:val="continuous"/>
        </w:sectPr>
      </w:pPr>
    </w:p>
    <w:p>
      <w:pPr>
        <w:spacing w:after="0" w:line="38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891092108</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 Reporting Person - Abigail P. Johnson</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United States of America</w:t>
      </w:r>
    </w:p>
    <w:p>
      <w:pPr>
        <w:sectPr>
          <w:pgSz w:w="11900" w:h="16855" w:orient="portrait"/>
          <w:cols w:equalWidth="0" w:num="1">
            <w:col w:w="10219"/>
          </w:cols>
          <w:pgMar w:left="240" w:top="852" w:right="1440" w:bottom="0" w:gutter="0" w:footer="0" w:header="0"/>
          <w:type w:val="continuous"/>
        </w:sectPr>
      </w:pPr>
    </w:p>
    <w:p>
      <w:pPr>
        <w:spacing w:after="0" w:line="4" w:lineRule="exact"/>
        <w:rPr>
          <w:sz w:val="24"/>
          <w:szCs w:val="24"/>
          <w:color w:val="auto"/>
        </w:rPr>
      </w:pPr>
    </w:p>
    <w:p>
      <w:pPr>
        <w:spacing w:after="0" w:line="271" w:lineRule="auto"/>
        <w:rPr>
          <w:sz w:val="20"/>
          <w:szCs w:val="20"/>
          <w:color w:val="auto"/>
        </w:rPr>
      </w:pPr>
      <w:r>
        <w:rPr>
          <w:rFonts w:ascii="Courier New" w:cs="Courier New" w:eastAsia="Courier New" w:hAnsi="Courier New"/>
          <w:sz w:val="16"/>
          <w:szCs w:val="16"/>
          <w:color w:val="auto"/>
        </w:rPr>
        <w:t>Item 5: None Item 6: None Item 7: 13,800 Item 8: None Item 9: 13,800 Item 11: Item 12: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0.11%</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w:t>
      </w:r>
    </w:p>
    <w:p>
      <w:pPr>
        <w:spacing w:after="0" w:line="218" w:lineRule="exact"/>
        <w:rPr>
          <w:sz w:val="24"/>
          <w:szCs w:val="24"/>
          <w:color w:val="auto"/>
        </w:rPr>
      </w:pPr>
    </w:p>
    <w:p>
      <w:pPr>
        <w:sectPr>
          <w:pgSz w:w="11900" w:h="16855" w:orient="portrait"/>
          <w:cols w:equalWidth="0" w:num="2">
            <w:col w:w="1480" w:space="220"/>
            <w:col w:w="8519"/>
          </w:cols>
          <w:pgMar w:left="240" w:top="852" w:right="1440" w:bottom="0" w:gutter="0" w:footer="0" w:header="0"/>
          <w:type w:val="continuous"/>
        </w:sectPr>
      </w:pPr>
    </w:p>
    <w:p>
      <w:pPr>
        <w:spacing w:after="0" w:line="38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Toro Corporation</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8111 Lyndale Avenue South</w:t>
      </w:r>
    </w:p>
    <w:p>
      <w:pPr>
        <w:ind w:left="1700"/>
        <w:spacing w:after="0"/>
        <w:tabs>
          <w:tab w:leader="none" w:pos="3460" w:val="left"/>
        </w:tabs>
        <w:rPr>
          <w:sz w:val="20"/>
          <w:szCs w:val="20"/>
          <w:color w:val="auto"/>
        </w:rPr>
      </w:pPr>
      <w:r>
        <w:rPr>
          <w:rFonts w:ascii="Courier New" w:cs="Courier New" w:eastAsia="Courier New" w:hAnsi="Courier New"/>
          <w:sz w:val="18"/>
          <w:szCs w:val="18"/>
          <w:color w:val="auto"/>
        </w:rPr>
        <w:t>Minneapolis, MN</w:t>
      </w:r>
      <w:r>
        <w:rPr>
          <w:sz w:val="20"/>
          <w:szCs w:val="20"/>
          <w:color w:val="auto"/>
        </w:rPr>
        <w:tab/>
      </w:r>
      <w:r>
        <w:rPr>
          <w:rFonts w:ascii="Courier New" w:cs="Courier New" w:eastAsia="Courier New" w:hAnsi="Courier New"/>
          <w:sz w:val="16"/>
          <w:szCs w:val="16"/>
          <w:color w:val="auto"/>
        </w:rPr>
        <w:t>55420-1136</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or Principal Business Office or, if None, Residence:</w:t>
      </w:r>
    </w:p>
    <w:p>
      <w:pPr>
        <w:spacing w:after="0" w:line="201" w:lineRule="exact"/>
        <w:rPr>
          <w:sz w:val="24"/>
          <w:szCs w:val="24"/>
          <w:color w:val="auto"/>
        </w:rPr>
      </w:pPr>
    </w:p>
    <w:p>
      <w:pPr>
        <w:ind w:left="1700"/>
        <w:spacing w:after="0"/>
        <w:tabs>
          <w:tab w:leader="none" w:pos="6420" w:val="left"/>
        </w:tabs>
        <w:rPr>
          <w:sz w:val="20"/>
          <w:szCs w:val="20"/>
          <w:color w:val="auto"/>
        </w:rPr>
      </w:pPr>
      <w:r>
        <w:rPr>
          <w:rFonts w:ascii="Courier New" w:cs="Courier New" w:eastAsia="Courier New" w:hAnsi="Courier New"/>
          <w:sz w:val="18"/>
          <w:szCs w:val="18"/>
          <w:color w:val="auto"/>
        </w:rPr>
        <w:t>82 Devonshire Street, Boston, Massachusetts</w:t>
      </w:r>
      <w:r>
        <w:rPr>
          <w:sz w:val="20"/>
          <w:szCs w:val="20"/>
          <w:color w:val="auto"/>
        </w:rPr>
        <w:tab/>
      </w:r>
      <w:r>
        <w:rPr>
          <w:rFonts w:ascii="Courier New" w:cs="Courier New" w:eastAsia="Courier New" w:hAnsi="Courier New"/>
          <w:sz w:val="16"/>
          <w:szCs w:val="16"/>
          <w:color w:val="auto"/>
        </w:rPr>
        <w:t>02109</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ectPr>
          <w:pgSz w:w="11900" w:h="16855" w:orient="portrait"/>
          <w:cols w:equalWidth="0" w:num="1">
            <w:col w:w="10219"/>
          </w:cols>
          <w:pgMar w:left="240" w:top="852" w:right="1440" w:bottom="0" w:gutter="0" w:footer="0" w:header="0"/>
          <w:type w:val="continuous"/>
        </w:sectPr>
      </w:pPr>
    </w:p>
    <w:bookmarkStart w:id="1" w:name="page2"/>
    <w:bookmarkEnd w:id="1"/>
    <w:p>
      <w:pPr>
        <w:ind w:left="1700"/>
        <w:spacing w:after="0"/>
        <w:rPr>
          <w:sz w:val="20"/>
          <w:szCs w:val="20"/>
          <w:color w:val="auto"/>
        </w:rPr>
      </w:pPr>
      <w:r>
        <w:rPr>
          <w:rFonts w:ascii="Courier New" w:cs="Courier New" w:eastAsia="Courier New" w:hAnsi="Courier New"/>
          <w:sz w:val="18"/>
          <w:szCs w:val="18"/>
          <w:color w:val="auto"/>
        </w:rPr>
        <w:t>891092108</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and the person filing, FMR Corp., is a parent holding company in accordance with Section 240.13d-1(b)(ii)(G). (Note: See Item 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13,800</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860"/>
        <w:spacing w:after="0" w:line="238" w:lineRule="auto"/>
        <w:rPr>
          <w:sz w:val="20"/>
          <w:szCs w:val="20"/>
          <w:color w:val="auto"/>
        </w:rPr>
      </w:pPr>
      <w:r>
        <w:rPr>
          <w:rFonts w:ascii="Courier New" w:cs="Courier New" w:eastAsia="Courier New" w:hAnsi="Courier New"/>
          <w:sz w:val="18"/>
          <w:szCs w:val="18"/>
          <w:color w:val="auto"/>
        </w:rPr>
        <w:t>0.11%</w:t>
      </w:r>
    </w:p>
    <w:p>
      <w:pPr>
        <w:spacing w:after="0" w:line="202"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13,400</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13,800</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2839" w:firstLine="843"/>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and 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839" w:firstLine="843"/>
        <w:spacing w:after="0" w:line="237" w:lineRule="auto"/>
        <w:rPr>
          <w:sz w:val="20"/>
          <w:szCs w:val="20"/>
          <w:color w:val="auto"/>
        </w:rPr>
      </w:pPr>
      <w:r>
        <w:rPr>
          <w:rFonts w:ascii="Courier New" w:cs="Courier New" w:eastAsia="Courier New" w:hAnsi="Courier New"/>
          <w:sz w:val="18"/>
          <w:szCs w:val="18"/>
          <w:color w:val="auto"/>
        </w:rPr>
        <w:t>Inasmuch as the reporting persons are no longer the beneficial owners of more than five percent of the number of shares outstanding, the reporting persons have no further reporting obligation under section 13(d) of the Securities and Exchange Commission thereunder, and the reporting persons have no</w:t>
      </w:r>
    </w:p>
    <w:p>
      <w:pPr>
        <w:spacing w:after="0" w:line="6"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obligation to amend this Statement if any material change occurs in the facts set forth herein.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5"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w:t>
      </w:r>
    </w:p>
    <w:p>
      <w:pPr>
        <w:spacing w:after="0" w:line="6" w:lineRule="exact"/>
        <w:rPr>
          <w:sz w:val="20"/>
          <w:szCs w:val="20"/>
          <w:color w:val="auto"/>
        </w:rPr>
      </w:pPr>
    </w:p>
    <w:p>
      <w:pPr>
        <w:ind w:right="3679"/>
        <w:spacing w:after="0" w:line="236" w:lineRule="auto"/>
        <w:rPr>
          <w:sz w:val="20"/>
          <w:szCs w:val="20"/>
          <w:color w:val="auto"/>
        </w:rPr>
      </w:pPr>
      <w:r>
        <w:rPr>
          <w:rFonts w:ascii="Courier New" w:cs="Courier New" w:eastAsia="Courier New" w:hAnsi="Courier New"/>
          <w:sz w:val="18"/>
          <w:szCs w:val="18"/>
          <w:color w:val="auto"/>
        </w:rPr>
        <w:t>Schedule 13G in connection with FMR Corp.'s beneficial ownership of the common stock of Toro Corporation at September 30, 1997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October 10, 1997</w:t>
      </w:r>
    </w:p>
    <w:p>
      <w:pPr>
        <w:spacing w:after="0" w:line="238" w:lineRule="auto"/>
        <w:rPr>
          <w:sz w:val="20"/>
          <w:szCs w:val="20"/>
          <w:color w:val="auto"/>
        </w:rPr>
      </w:pPr>
      <w:r>
        <w:rPr>
          <w:rFonts w:ascii="Courier New" w:cs="Courier New" w:eastAsia="Courier New" w:hAnsi="Courier New"/>
          <w:sz w:val="18"/>
          <w:szCs w:val="18"/>
          <w:color w:val="auto"/>
        </w:rPr>
        <w:t>Date</w:t>
      </w:r>
    </w:p>
    <w:p>
      <w:pPr>
        <w:sectPr>
          <w:pgSz w:w="11900" w:h="16838" w:orient="portrait"/>
          <w:cols w:equalWidth="0" w:num="1">
            <w:col w:w="10219"/>
          </w:cols>
          <w:pgMar w:left="240" w:top="339" w:right="1440" w:bottom="133" w:gutter="0" w:footer="0" w:header="0"/>
        </w:sectPr>
      </w:pPr>
    </w:p>
    <w:bookmarkStart w:id="2" w:name="page3"/>
    <w:bookmarkEnd w:id="2"/>
    <w:p>
      <w:pPr>
        <w:ind w:left="860"/>
        <w:spacing w:after="0"/>
        <w:rPr>
          <w:sz w:val="20"/>
          <w:szCs w:val="20"/>
          <w:color w:val="auto"/>
        </w:rPr>
      </w:pPr>
      <w:r>
        <w:rPr>
          <w:rFonts w:ascii="Courier New" w:cs="Courier New" w:eastAsia="Courier New" w:hAnsi="Courier New"/>
          <w:sz w:val="18"/>
          <w:szCs w:val="18"/>
          <w:color w:val="auto"/>
        </w:rPr>
        <w:t>/s/Arthur S. Loring</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Arthur S. Loring, Vice</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7"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Trust Company, 82 Devonshire Street, Boston, Massachusetts 02109, a wholly-owned subsidiary of FMR Corp. and a bank as defined in Section 3(a)(6) of the Securities Exchange Act of 1934, is the beneficial owner of 13,800 shares or 0.11% of the common stock outstanding of the Company as a result of its serving as investment manager of the institutional account(s).</w:t>
      </w:r>
    </w:p>
    <w:p>
      <w:pPr>
        <w:spacing w:after="0" w:line="210"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Edward C. Johnson 3d and FMR Corp., through its control of Fidelity Management Trust Company, each has sole dispositive power over 13,800 shares and sole power to vote or to direct the voting of 13,400 shares, and no power to vote or to direct the voting of 400 shares of common stock owned by the institutional account(s) as reported above.</w:t>
      </w:r>
    </w:p>
    <w:p>
      <w:pPr>
        <w:spacing w:after="0" w:line="209" w:lineRule="exact"/>
        <w:rPr>
          <w:sz w:val="20"/>
          <w:szCs w:val="20"/>
          <w:color w:val="auto"/>
        </w:rPr>
      </w:pPr>
    </w:p>
    <w:p>
      <w:pPr>
        <w:ind w:right="1879" w:firstLine="843"/>
        <w:spacing w:after="0" w:line="238" w:lineRule="auto"/>
        <w:rPr>
          <w:sz w:val="20"/>
          <w:szCs w:val="20"/>
          <w:color w:val="auto"/>
        </w:rPr>
      </w:pPr>
      <w:r>
        <w:rPr>
          <w:rFonts w:ascii="Courier New" w:cs="Courier New" w:eastAsia="Courier New" w:hAnsi="Courier New"/>
          <w:sz w:val="18"/>
          <w:szCs w:val="18"/>
          <w:color w:val="auto"/>
        </w:rPr>
        <w:t>Members of the Edward C. Johnson 3d family and trusts for their benefit are the predominant owners of Class B shares of common stock of FMR Corp., representing approximately 49% of the voting power of FMR Corp. Mr. Johnson 3d owns 12.0% and Abigail Johnson owns 24.5% of the aggregate outstanding voting stock of FMR Corp. Mr. Johnson 3d is Chairman of FMR Corp. and Abigail P. Johnson is a Director of FMR Corp. The Johnson family group and all other Class B shareholders have entered into a shareholders' voting 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tabs>
          <w:tab w:leader="none" w:pos="188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6"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The undersigned persons, on October 10, 1997, agree and consent to the joint filing on their behalf of this Schedule 13G in connection with their beneficial ownership of the common stock of Toro Corporation at September 30, 1997.</w:t>
      </w:r>
    </w:p>
    <w:p>
      <w:pPr>
        <w:ind w:left="860"/>
        <w:spacing w:after="0"/>
        <w:rPr>
          <w:sz w:val="20"/>
          <w:szCs w:val="20"/>
          <w:color w:val="auto"/>
        </w:rPr>
      </w:pPr>
      <w:r>
        <w:rPr>
          <w:rFonts w:ascii="Courier New" w:cs="Courier New" w:eastAsia="Courier New" w:hAnsi="Courier New"/>
          <w:sz w:val="18"/>
          <w:szCs w:val="18"/>
          <w:color w:val="auto"/>
        </w:rPr>
        <w:t>FMR Corp.</w:t>
      </w:r>
    </w:p>
    <w:tbl>
      <w:tblPr>
        <w:tblLayout w:type="fixed"/>
        <w:tblInd w:w="0" w:type="dxa"/>
        <w:tblCellMar>
          <w:top w:w="0" w:type="dxa"/>
          <w:left w:w="0" w:type="dxa"/>
          <w:bottom w:w="0" w:type="dxa"/>
          <w:right w:w="0" w:type="dxa"/>
        </w:tblCellMar>
      </w:tblPr>
      <w:tr>
        <w:trPr>
          <w:trHeight w:val="202"/>
        </w:trPr>
        <w:tc>
          <w:tcPr>
            <w:tcW w:w="1700" w:type="dxa"/>
            <w:vAlign w:val="bottom"/>
          </w:tcPr>
          <w:p>
            <w:pPr>
              <w:ind w:left="860"/>
              <w:spacing w:after="0" w:line="202" w:lineRule="exact"/>
              <w:rPr>
                <w:sz w:val="20"/>
                <w:szCs w:val="20"/>
                <w:color w:val="auto"/>
              </w:rPr>
            </w:pPr>
            <w:r>
              <w:rPr>
                <w:rFonts w:ascii="Courier New" w:cs="Courier New" w:eastAsia="Courier New" w:hAnsi="Courier New"/>
                <w:sz w:val="18"/>
                <w:szCs w:val="18"/>
                <w:color w:val="auto"/>
              </w:rPr>
              <w:t>By</w:t>
            </w:r>
          </w:p>
        </w:tc>
        <w:tc>
          <w:tcPr>
            <w:tcW w:w="1040" w:type="dxa"/>
            <w:vAlign w:val="bottom"/>
          </w:tcPr>
          <w:p>
            <w:pPr>
              <w:spacing w:after="0" w:line="202" w:lineRule="exact"/>
              <w:rPr>
                <w:sz w:val="20"/>
                <w:szCs w:val="20"/>
                <w:color w:val="auto"/>
              </w:rPr>
            </w:pPr>
            <w:r>
              <w:rPr>
                <w:rFonts w:ascii="Courier New" w:cs="Courier New" w:eastAsia="Courier New" w:hAnsi="Courier New"/>
                <w:sz w:val="18"/>
                <w:szCs w:val="18"/>
                <w:color w:val="auto"/>
              </w:rPr>
              <w:t>/s/Arthur</w:t>
            </w:r>
          </w:p>
        </w:tc>
        <w:tc>
          <w:tcPr>
            <w:tcW w:w="2120" w:type="dxa"/>
            <w:vAlign w:val="bottom"/>
          </w:tcPr>
          <w:p>
            <w:pPr>
              <w:spacing w:after="0" w:line="202" w:lineRule="exact"/>
              <w:rPr>
                <w:sz w:val="20"/>
                <w:szCs w:val="20"/>
                <w:color w:val="auto"/>
              </w:rPr>
            </w:pPr>
            <w:r>
              <w:rPr>
                <w:rFonts w:ascii="Courier New" w:cs="Courier New" w:eastAsia="Courier New" w:hAnsi="Courier New"/>
                <w:sz w:val="18"/>
                <w:szCs w:val="18"/>
                <w:color w:val="auto"/>
              </w:rPr>
              <w:t>S. Loring</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Arthur S. Loring</w:t>
            </w:r>
          </w:p>
        </w:tc>
        <w:tc>
          <w:tcPr>
            <w:tcW w:w="10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3"/>
        </w:trPr>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Vice President - Legal</w:t>
            </w:r>
          </w:p>
        </w:tc>
        <w:tc>
          <w:tcPr>
            <w:tcW w:w="2120" w:type="dxa"/>
            <w:vAlign w:val="bottom"/>
          </w:tcPr>
          <w:p>
            <w:pPr>
              <w:spacing w:after="0"/>
              <w:rPr>
                <w:sz w:val="17"/>
                <w:szCs w:val="17"/>
                <w:color w:val="auto"/>
              </w:rPr>
            </w:pPr>
          </w:p>
        </w:tc>
      </w:tr>
      <w:tr>
        <w:trPr>
          <w:trHeight w:val="203"/>
        </w:trPr>
        <w:tc>
          <w:tcPr>
            <w:tcW w:w="2740" w:type="dxa"/>
            <w:vAlign w:val="bottom"/>
            <w:gridSpan w:val="2"/>
          </w:tcPr>
          <w:p>
            <w:pPr>
              <w:ind w:left="860"/>
              <w:spacing w:after="0" w:line="203" w:lineRule="exact"/>
              <w:rPr>
                <w:sz w:val="20"/>
                <w:szCs w:val="20"/>
                <w:color w:val="auto"/>
              </w:rPr>
            </w:pPr>
            <w:r>
              <w:rPr>
                <w:rFonts w:ascii="Courier New" w:cs="Courier New" w:eastAsia="Courier New" w:hAnsi="Courier New"/>
                <w:sz w:val="18"/>
                <w:szCs w:val="18"/>
                <w:color w:val="auto"/>
              </w:rPr>
              <w:t>Edward C. Johnson</w:t>
            </w: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17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By</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/s/Arthur</w:t>
            </w: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S. Loring</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Arthur S. Loring</w:t>
            </w:r>
          </w:p>
        </w:tc>
        <w:tc>
          <w:tcPr>
            <w:tcW w:w="10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3"/>
        </w:trPr>
        <w:tc>
          <w:tcPr>
            <w:tcW w:w="4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Under Power of Attorney dated</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5/17/89</w:t>
            </w:r>
          </w:p>
        </w:tc>
        <w:tc>
          <w:tcPr>
            <w:tcW w:w="10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3"/>
        </w:trPr>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On File with Schedule 13G</w:t>
            </w: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for</w:t>
            </w:r>
          </w:p>
        </w:tc>
      </w:tr>
      <w:tr>
        <w:trPr>
          <w:trHeight w:val="203"/>
        </w:trPr>
        <w:tc>
          <w:tcPr>
            <w:tcW w:w="4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Airborne Freight Corp. 9/10/91</w:t>
            </w:r>
          </w:p>
        </w:tc>
      </w:tr>
      <w:tr>
        <w:trPr>
          <w:trHeight w:val="405"/>
        </w:trPr>
        <w:tc>
          <w:tcPr>
            <w:tcW w:w="2740" w:type="dxa"/>
            <w:vAlign w:val="bottom"/>
            <w:gridSpan w:val="2"/>
          </w:tcPr>
          <w:p>
            <w:pPr>
              <w:ind w:left="860"/>
              <w:spacing w:after="0"/>
              <w:rPr>
                <w:sz w:val="20"/>
                <w:szCs w:val="20"/>
                <w:color w:val="auto"/>
              </w:rPr>
            </w:pPr>
            <w:r>
              <w:rPr>
                <w:rFonts w:ascii="Courier New" w:cs="Courier New" w:eastAsia="Courier New" w:hAnsi="Courier New"/>
                <w:sz w:val="18"/>
                <w:szCs w:val="18"/>
                <w:color w:val="auto"/>
                <w:w w:val="95"/>
              </w:rPr>
              <w:t>Abigail P. Johnson</w:t>
            </w:r>
          </w:p>
        </w:tc>
        <w:tc>
          <w:tcPr>
            <w:tcW w:w="2120" w:type="dxa"/>
            <w:vAlign w:val="bottom"/>
          </w:tcPr>
          <w:p>
            <w:pPr>
              <w:spacing w:after="0"/>
              <w:rPr>
                <w:sz w:val="24"/>
                <w:szCs w:val="24"/>
                <w:color w:val="auto"/>
              </w:rPr>
            </w:pPr>
          </w:p>
        </w:tc>
      </w:tr>
      <w:tr>
        <w:trPr>
          <w:trHeight w:val="608"/>
        </w:trPr>
        <w:tc>
          <w:tcPr>
            <w:tcW w:w="1700" w:type="dxa"/>
            <w:vAlign w:val="bottom"/>
          </w:tcPr>
          <w:p>
            <w:pPr>
              <w:ind w:left="860"/>
              <w:spacing w:after="0"/>
              <w:rPr>
                <w:sz w:val="20"/>
                <w:szCs w:val="20"/>
                <w:color w:val="auto"/>
              </w:rPr>
            </w:pPr>
            <w:r>
              <w:rPr>
                <w:rFonts w:ascii="Courier New" w:cs="Courier New" w:eastAsia="Courier New" w:hAnsi="Courier New"/>
                <w:sz w:val="18"/>
                <w:szCs w:val="18"/>
                <w:color w:val="auto"/>
              </w:rPr>
              <w:t>By</w:t>
            </w:r>
          </w:p>
        </w:tc>
        <w:tc>
          <w:tcPr>
            <w:tcW w:w="1040" w:type="dxa"/>
            <w:vAlign w:val="bottom"/>
          </w:tcPr>
          <w:p>
            <w:pPr>
              <w:spacing w:after="0"/>
              <w:rPr>
                <w:sz w:val="20"/>
                <w:szCs w:val="20"/>
                <w:color w:val="auto"/>
              </w:rPr>
            </w:pPr>
            <w:r>
              <w:rPr>
                <w:rFonts w:ascii="Courier New" w:cs="Courier New" w:eastAsia="Courier New" w:hAnsi="Courier New"/>
                <w:sz w:val="18"/>
                <w:szCs w:val="18"/>
                <w:color w:val="auto"/>
              </w:rPr>
              <w:t>/s/Arthur</w:t>
            </w:r>
          </w:p>
        </w:tc>
        <w:tc>
          <w:tcPr>
            <w:tcW w:w="2120" w:type="dxa"/>
            <w:vAlign w:val="bottom"/>
          </w:tcPr>
          <w:p>
            <w:pPr>
              <w:spacing w:after="0"/>
              <w:rPr>
                <w:sz w:val="20"/>
                <w:szCs w:val="20"/>
                <w:color w:val="auto"/>
              </w:rPr>
            </w:pPr>
            <w:r>
              <w:rPr>
                <w:rFonts w:ascii="Courier New" w:cs="Courier New" w:eastAsia="Courier New" w:hAnsi="Courier New"/>
                <w:sz w:val="18"/>
                <w:szCs w:val="18"/>
                <w:color w:val="auto"/>
              </w:rPr>
              <w:t>S. Loring</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Arthur S. Loring</w:t>
            </w:r>
          </w:p>
        </w:tc>
        <w:tc>
          <w:tcPr>
            <w:tcW w:w="10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3"/>
        </w:trPr>
        <w:tc>
          <w:tcPr>
            <w:tcW w:w="4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Under Power of Attorney dated</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1/5/96</w:t>
            </w:r>
          </w:p>
        </w:tc>
        <w:tc>
          <w:tcPr>
            <w:tcW w:w="10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3"/>
        </w:trPr>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On File with Schedule 13G</w:t>
            </w: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for</w:t>
            </w:r>
          </w:p>
        </w:tc>
      </w:tr>
      <w:tr>
        <w:trPr>
          <w:trHeight w:val="203"/>
        </w:trPr>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Acclaim Entertainment Inc.</w:t>
            </w:r>
          </w:p>
        </w:tc>
        <w:tc>
          <w:tcPr>
            <w:tcW w:w="212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1/10/96</w:t>
            </w:r>
          </w:p>
        </w:tc>
        <w:tc>
          <w:tcPr>
            <w:tcW w:w="10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3"/>
        </w:trPr>
        <w:tc>
          <w:tcPr>
            <w:tcW w:w="4860" w:type="dxa"/>
            <w:vAlign w:val="bottom"/>
            <w:gridSpan w:val="3"/>
          </w:tcPr>
          <w:p>
            <w:pPr>
              <w:ind w:left="860"/>
              <w:spacing w:after="0" w:line="203" w:lineRule="exact"/>
              <w:rPr>
                <w:sz w:val="20"/>
                <w:szCs w:val="20"/>
                <w:color w:val="auto"/>
              </w:rPr>
            </w:pPr>
            <w:r>
              <w:rPr>
                <w:rFonts w:ascii="Courier New" w:cs="Courier New" w:eastAsia="Courier New" w:hAnsi="Courier New"/>
                <w:sz w:val="18"/>
                <w:szCs w:val="18"/>
                <w:color w:val="auto"/>
                <w:w w:val="96"/>
              </w:rPr>
              <w:t>Fidelity Management &amp; Research Company</w:t>
            </w:r>
          </w:p>
        </w:tc>
      </w:tr>
      <w:tr>
        <w:trPr>
          <w:trHeight w:val="203"/>
        </w:trPr>
        <w:tc>
          <w:tcPr>
            <w:tcW w:w="17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By</w:t>
            </w:r>
          </w:p>
        </w:tc>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/s/Arthur</w:t>
            </w: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S. Loring</w:t>
            </w:r>
          </w:p>
        </w:tc>
      </w:tr>
    </w:tbl>
    <w:p>
      <w:pPr>
        <w:spacing w:after="0" w:line="238" w:lineRule="auto"/>
        <w:rPr>
          <w:sz w:val="20"/>
          <w:szCs w:val="20"/>
          <w:color w:val="auto"/>
        </w:rPr>
      </w:pPr>
      <w:r>
        <w:rPr>
          <w:rFonts w:ascii="Courier New" w:cs="Courier New" w:eastAsia="Courier New" w:hAnsi="Courier New"/>
          <w:sz w:val="18"/>
          <w:szCs w:val="18"/>
          <w:color w:val="auto"/>
        </w:rPr>
        <w:t>Arthur S. Loring</w:t>
      </w:r>
    </w:p>
    <w:p>
      <w:pPr>
        <w:spacing w:after="0"/>
        <w:rPr>
          <w:sz w:val="20"/>
          <w:szCs w:val="20"/>
          <w:color w:val="auto"/>
        </w:rPr>
      </w:pPr>
      <w:r>
        <w:rPr>
          <w:rFonts w:ascii="Courier New" w:cs="Courier New" w:eastAsia="Courier New" w:hAnsi="Courier New"/>
          <w:sz w:val="18"/>
          <w:szCs w:val="18"/>
          <w:color w:val="auto"/>
        </w:rPr>
        <w:t>Sr. V.P. and General Counsel</w:t>
      </w:r>
    </w:p>
    <w:sectPr>
      <w:pgSz w:w="11900" w:h="16838" w:orient="portrait"/>
      <w:cols w:equalWidth="0" w:num="1">
        <w:col w:w="10219"/>
      </w:cols>
      <w:pgMar w:left="240" w:top="339" w:right="1440" w:bottom="536"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lowerLetter"/>
      <w:start w:val="3"/>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2019-12-13T13:38:22Z</dcterms:created>
  <dcterms:modified xsi:type="dcterms:W3CDTF">2019-12-13T13:38:22Z</dcterms:modified>
</cp:coreProperties>
</file>