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280" w:right="3399"/>
        <w:spacing w:after="0" w:line="234" w:lineRule="auto"/>
        <w:rPr>
          <w:sz w:val="20"/>
          <w:szCs w:val="20"/>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JANUARY 31, 2003</w:t>
      </w:r>
    </w:p>
    <w:p>
      <w:pPr>
        <w:spacing w:after="0" w:line="16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1-8649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399" w:right="1440" w:bottom="1440" w:gutter="0" w:footer="0" w:header="0"/>
        </w:sectPr>
      </w:pPr>
    </w:p>
    <w:p>
      <w:pPr>
        <w:spacing w:after="0" w:line="335"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80" w:space="720"/>
            <w:col w:w="6639"/>
          </w:cols>
          <w:pgMar w:left="220" w:top="399" w:right="1440" w:bottom="1440" w:gutter="0" w:footer="0" w:header="0"/>
          <w:type w:val="continuous"/>
        </w:sectPr>
      </w:pPr>
    </w:p>
    <w:p>
      <w:pPr>
        <w:spacing w:after="0" w:line="1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8111 LYNDALE AVENUE SOUTH</w:t>
      </w:r>
    </w:p>
    <w:p>
      <w:pPr>
        <w:jc w:val="center"/>
        <w:ind w:right="3239"/>
        <w:spacing w:after="0" w:line="237" w:lineRule="auto"/>
        <w:rPr>
          <w:sz w:val="20"/>
          <w:szCs w:val="20"/>
          <w:color w:val="auto"/>
        </w:rPr>
      </w:pPr>
      <w:r>
        <w:rPr>
          <w:rFonts w:ascii="Courier New" w:cs="Courier New" w:eastAsia="Courier New" w:hAnsi="Courier New"/>
          <w:sz w:val="15"/>
          <w:szCs w:val="15"/>
          <w:color w:val="auto"/>
        </w:rPr>
        <w:t>BLOOMINGTON, MINNESOTA 55420</w:t>
      </w:r>
    </w:p>
    <w:p>
      <w:pPr>
        <w:jc w:val="center"/>
        <w:ind w:right="3239"/>
        <w:spacing w:after="0" w:line="238" w:lineRule="auto"/>
        <w:rPr>
          <w:sz w:val="20"/>
          <w:szCs w:val="20"/>
          <w:color w:val="auto"/>
        </w:rPr>
      </w:pPr>
      <w:r>
        <w:rPr>
          <w:rFonts w:ascii="Courier New" w:cs="Courier New" w:eastAsia="Courier New" w:hAnsi="Courier New"/>
          <w:sz w:val="15"/>
          <w:szCs w:val="15"/>
          <w:color w:val="auto"/>
        </w:rPr>
        <w:t>TELEPHONE NUMBER: (952) 888-8801</w:t>
      </w:r>
    </w:p>
    <w:p>
      <w:pPr>
        <w:spacing w:after="0" w:line="173" w:lineRule="exact"/>
        <w:rPr>
          <w:sz w:val="24"/>
          <w:szCs w:val="24"/>
          <w:color w:val="auto"/>
        </w:rPr>
      </w:pPr>
    </w:p>
    <w:p>
      <w:pPr>
        <w:ind w:left="360" w:right="3399" w:hanging="87"/>
        <w:spacing w:after="0" w:line="234"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399" w:right="1440" w:bottom="1440" w:gutter="0" w:footer="0" w:header="0"/>
          <w:type w:val="continuous"/>
        </w:sectPr>
      </w:pPr>
    </w:p>
    <w:p>
      <w:pPr>
        <w:spacing w:after="0" w:line="335"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680" w:space="520"/>
            <w:col w:w="1980" w:space="720"/>
            <w:col w:w="5339"/>
          </w:cols>
          <w:pgMar w:left="220" w:top="399" w:right="1440" w:bottom="1440" w:gutter="0" w:footer="0" w:header="0"/>
          <w:type w:val="continuous"/>
        </w:sect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540" w:space="720"/>
            <w:col w:w="4979"/>
          </w:cols>
          <w:pgMar w:left="220" w:top="399" w:right="1440" w:bottom="1440" w:gutter="0" w:footer="0" w:header="0"/>
          <w:type w:val="continuous"/>
        </w:sectPr>
      </w:pPr>
    </w:p>
    <w:p>
      <w:pPr>
        <w:ind w:right="3839"/>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w:t>
      </w:r>
    </w:p>
    <w:p>
      <w:pPr>
        <w:sectPr>
          <w:pgSz w:w="11900" w:h="16838" w:orient="portrait"/>
          <w:cols w:equalWidth="0" w:num="1">
            <w:col w:w="10239"/>
          </w:cols>
          <w:pgMar w:left="220" w:top="399" w:right="1440" w:bottom="1440" w:gutter="0" w:footer="0" w:header="0"/>
          <w:type w:val="continuous"/>
        </w:sectPr>
      </w:pPr>
    </w:p>
    <w:p>
      <w:pPr>
        <w:spacing w:after="0" w:line="167"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680" w:space="520"/>
            <w:col w:w="1980" w:space="720"/>
            <w:col w:w="5339"/>
          </w:cols>
          <w:pgMar w:left="220" w:top="399" w:right="1440" w:bottom="1440" w:gutter="0" w:footer="0" w:header="0"/>
          <w:type w:val="continuous"/>
        </w:sect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540" w:space="720"/>
            <w:col w:w="4979"/>
          </w:cols>
          <w:pgMar w:left="220" w:top="399" w:right="1440" w:bottom="1440" w:gutter="0" w:footer="0" w:header="0"/>
          <w:type w:val="continuous"/>
        </w:sectPr>
      </w:pPr>
    </w:p>
    <w:p>
      <w:pPr>
        <w:ind w:right="3579"/>
        <w:spacing w:after="0" w:line="234" w:lineRule="auto"/>
        <w:rPr>
          <w:sz w:val="20"/>
          <w:szCs w:val="20"/>
          <w:color w:val="auto"/>
        </w:rPr>
      </w:pPr>
      <w:r>
        <w:rPr>
          <w:rFonts w:ascii="Courier New" w:cs="Courier New" w:eastAsia="Courier New" w:hAnsi="Courier New"/>
          <w:sz w:val="15"/>
          <w:szCs w:val="15"/>
          <w:color w:val="auto"/>
        </w:rPr>
        <w:t>The number of shares of Common Stock outstanding as of February 28, 2003 was 12,234,788.</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9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5860" w:type="dxa"/>
            <w:vAlign w:val="bottom"/>
          </w:tcPr>
          <w:p>
            <w:pPr>
              <w:jc w:val="right"/>
              <w:ind w:right="2387"/>
              <w:spacing w:after="0"/>
              <w:rPr>
                <w:sz w:val="20"/>
                <w:szCs w:val="20"/>
                <w:color w:val="auto"/>
              </w:rPr>
            </w:pPr>
            <w:r>
              <w:rPr>
                <w:rFonts w:ascii="Courier New" w:cs="Courier New" w:eastAsia="Courier New" w:hAnsi="Courier New"/>
                <w:sz w:val="15"/>
                <w:szCs w:val="15"/>
                <w:color w:val="auto"/>
              </w:rPr>
              <w:t>THE TORO COMPANY</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INDEX TO FORM 10-Q</w:t>
            </w:r>
          </w:p>
        </w:tc>
        <w:tc>
          <w:tcPr>
            <w:tcW w:w="960" w:type="dxa"/>
            <w:vAlign w:val="bottom"/>
          </w:tcPr>
          <w:p>
            <w:pPr>
              <w:spacing w:after="0"/>
              <w:rPr>
                <w:sz w:val="14"/>
                <w:szCs w:val="14"/>
                <w:color w:val="auto"/>
              </w:rPr>
            </w:pPr>
          </w:p>
        </w:tc>
      </w:tr>
      <w:tr>
        <w:trPr>
          <w:trHeight w:val="1177"/>
        </w:trPr>
        <w:tc>
          <w:tcPr>
            <w:tcW w:w="8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Page Number</w:t>
            </w:r>
          </w:p>
        </w:tc>
      </w:tr>
      <w:tr>
        <w:trPr>
          <w:trHeight w:val="168"/>
        </w:trPr>
        <w:tc>
          <w:tcPr>
            <w:tcW w:w="8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86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960" w:type="dxa"/>
            <w:vAlign w:val="bottom"/>
          </w:tcPr>
          <w:p>
            <w:pPr>
              <w:spacing w:after="0"/>
              <w:rPr>
                <w:sz w:val="24"/>
                <w:szCs w:val="2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8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Condensed Consolidated Statements of Operations (Unaudited) -</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Three Months Ended January 31, 2003 and February 1, 2002...........</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88"/>
              </w:rPr>
              <w:t>3</w:t>
            </w:r>
          </w:p>
        </w:tc>
      </w:tr>
      <w:tr>
        <w:trPr>
          <w:trHeight w:val="336"/>
        </w:trPr>
        <w:tc>
          <w:tcPr>
            <w:tcW w:w="800" w:type="dxa"/>
            <w:vAlign w:val="bottom"/>
          </w:tcPr>
          <w:p>
            <w:pPr>
              <w:spacing w:after="0"/>
              <w:rPr>
                <w:sz w:val="24"/>
                <w:szCs w:val="2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Balance Sheets (Unaudited) -</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January 31, 2003 and February 1, 2002..............................</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88"/>
              </w:rPr>
              <w:t>4</w:t>
            </w:r>
          </w:p>
        </w:tc>
      </w:tr>
      <w:tr>
        <w:trPr>
          <w:trHeight w:val="336"/>
        </w:trPr>
        <w:tc>
          <w:tcPr>
            <w:tcW w:w="800" w:type="dxa"/>
            <w:vAlign w:val="bottom"/>
          </w:tcPr>
          <w:p>
            <w:pPr>
              <w:spacing w:after="0"/>
              <w:rPr>
                <w:sz w:val="24"/>
                <w:szCs w:val="2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Cash Flows (Unaudited) -</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Three Months Ended January 31, 2003 and February 1, 2002...........</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88"/>
              </w:rPr>
              <w:t>5</w:t>
            </w:r>
          </w:p>
        </w:tc>
      </w:tr>
      <w:tr>
        <w:trPr>
          <w:trHeight w:val="336"/>
        </w:trPr>
        <w:tc>
          <w:tcPr>
            <w:tcW w:w="80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4"/>
              </w:rPr>
              <w:t>Notes to Condensed Consolidated Financial Statements (Unaudited).....</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6-10</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and Results of Operations........................................</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11-18</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4"/>
              </w:rPr>
              <w:t>Quantitative and Qualitative Disclosures about Market Risk...........</w:t>
            </w:r>
          </w:p>
        </w:tc>
        <w:tc>
          <w:tcPr>
            <w:tcW w:w="9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19-20</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2"/>
              </w:rPr>
              <w:t>Controls and Procedures...............................................</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88"/>
              </w:rPr>
              <w:t>20</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86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960" w:type="dxa"/>
            <w:vAlign w:val="bottom"/>
          </w:tcPr>
          <w:p>
            <w:pPr>
              <w:spacing w:after="0"/>
              <w:rPr>
                <w:sz w:val="24"/>
                <w:szCs w:val="2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2"/>
              </w:rPr>
              <w:t>Exhibits and Reports on Form 8-K......................................</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88"/>
              </w:rPr>
              <w:t>21</w:t>
            </w:r>
          </w:p>
        </w:tc>
      </w:tr>
      <w:tr>
        <w:trPr>
          <w:trHeight w:val="336"/>
        </w:trPr>
        <w:tc>
          <w:tcPr>
            <w:tcW w:w="80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4"/>
              </w:rPr>
              <w:t>Signatures and Certifications........................................</w:t>
            </w:r>
          </w:p>
        </w:tc>
        <w:tc>
          <w:tcPr>
            <w:tcW w:w="9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22-24</w:t>
            </w:r>
          </w:p>
        </w:tc>
      </w:tr>
      <w:tr>
        <w:trPr>
          <w:trHeight w:val="841"/>
        </w:trPr>
        <w:tc>
          <w:tcPr>
            <w:tcW w:w="800" w:type="dxa"/>
            <w:vAlign w:val="bottom"/>
          </w:tcPr>
          <w:p>
            <w:pPr>
              <w:spacing w:after="0"/>
              <w:rPr>
                <w:sz w:val="24"/>
                <w:szCs w:val="24"/>
                <w:color w:val="auto"/>
              </w:rPr>
            </w:pPr>
          </w:p>
        </w:tc>
        <w:tc>
          <w:tcPr>
            <w:tcW w:w="5860" w:type="dxa"/>
            <w:vAlign w:val="bottom"/>
          </w:tcPr>
          <w:p>
            <w:pPr>
              <w:jc w:val="right"/>
              <w:ind w:right="308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1290" w:right="1440" w:bottom="1440" w:gutter="0" w:footer="0" w:header="0"/>
        </w:sectPr>
      </w:pPr>
    </w:p>
    <w:bookmarkStart w:id="2" w:name="page3"/>
    <w:bookmarkEnd w:id="2"/>
    <w:p>
      <w:pPr>
        <w:jc w:val="center"/>
        <w:ind w:right="3320"/>
        <w:spacing w:after="0"/>
        <w:rPr>
          <w:sz w:val="20"/>
          <w:szCs w:val="20"/>
          <w:color w:val="auto"/>
        </w:rPr>
      </w:pPr>
      <w:r>
        <w:rPr>
          <w:rFonts w:ascii="Courier New" w:cs="Courier New" w:eastAsia="Courier New" w:hAnsi="Courier New"/>
          <w:sz w:val="15"/>
          <w:szCs w:val="15"/>
          <w:color w:val="auto"/>
        </w:rPr>
        <w:t>PART I. ITEM 1. FINANCIAL INFORMATION</w:t>
      </w:r>
    </w:p>
    <w:p>
      <w:pPr>
        <w:spacing w:after="0" w:line="16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TORO COMPANY AND SUBSIDIARIES</w:t>
      </w:r>
    </w:p>
    <w:p>
      <w:pPr>
        <w:ind w:left="980"/>
        <w:spacing w:after="0" w:line="237" w:lineRule="auto"/>
        <w:rPr>
          <w:sz w:val="20"/>
          <w:szCs w:val="20"/>
          <w:color w:val="auto"/>
        </w:rPr>
      </w:pPr>
      <w:r>
        <w:rPr>
          <w:rFonts w:ascii="Courier New" w:cs="Courier New" w:eastAsia="Courier New" w:hAnsi="Courier New"/>
          <w:sz w:val="15"/>
          <w:szCs w:val="15"/>
          <w:color w:val="auto"/>
        </w:rPr>
        <w:t>CONDENSED CONSOLIDATED STATEMENTS OF OPERATIONS (UNAUDITED)</w:t>
      </w:r>
    </w:p>
    <w:p>
      <w:pPr>
        <w:ind w:left="1060"/>
        <w:spacing w:after="0" w:line="238" w:lineRule="auto"/>
        <w:rPr>
          <w:sz w:val="20"/>
          <w:szCs w:val="20"/>
          <w:color w:val="auto"/>
        </w:rPr>
      </w:pPr>
      <w:r>
        <w:rPr>
          <w:rFonts w:ascii="Courier New" w:cs="Courier New" w:eastAsia="Courier New" w:hAnsi="Courier New"/>
          <w:sz w:val="15"/>
          <w:szCs w:val="15"/>
          <w:color w:val="auto"/>
        </w:rPr>
        <w:t>(DOLLARS AND SHARES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7000" w:type="dxa"/>
            <w:vAlign w:val="bottom"/>
          </w:tcPr>
          <w:p>
            <w:pPr>
              <w:spacing w:after="0"/>
              <w:rPr>
                <w:sz w:val="14"/>
                <w:szCs w:val="14"/>
                <w:color w:val="auto"/>
              </w:rPr>
            </w:pPr>
          </w:p>
        </w:tc>
        <w:tc>
          <w:tcPr>
            <w:tcW w:w="34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January 31,</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February 1,</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6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w w:val="96"/>
              </w:rPr>
              <w:t>Net sales ......................................................................</w:t>
            </w:r>
          </w:p>
        </w:tc>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295,962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277,915</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Cost of sales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190,381</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182,608</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 profit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105,581</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95,307</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Selling, general, and administrative expense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95,864</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89,012</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Restructuring and other expense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9,953</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Earnings (loss) from operations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9,717</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(3,658)</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Interest expense ...............................................................</w:t>
            </w:r>
          </w:p>
        </w:tc>
        <w:tc>
          <w:tcPr>
            <w:tcW w:w="26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(4,092)</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(5,320)</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income, net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4,795</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Earnings (loss) before income taxes and cumulative effect of change</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accounting principle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10,420</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(7,644)</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(Provision) benefit for income taxes ...........................................</w:t>
            </w:r>
          </w:p>
        </w:tc>
        <w:tc>
          <w:tcPr>
            <w:tcW w:w="26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(3,439)</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2,523</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Net earnings (loss) before cumulative effect of change in</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accounting principle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6,981</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(5,121)</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net of</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income tax benefit of $509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(24,614)</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6,981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(29,735)</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Basic net earnings (loss) per share of common stock, before</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cumulative effect of change in accounting principle ..........................</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0.56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net of</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income tax benefit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Basic net earnings (loss) per share of common stock ............................</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0.56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Diluted net earnings (loss) per share of common stock, before</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cumulative effect of change in accounting principle ..........................</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0.54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net of</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income tax benefit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Diluted net earnings (loss) per share of common stock ..........................</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0.54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7000" w:type="dxa"/>
            <w:vAlign w:val="bottom"/>
          </w:tcPr>
          <w:p>
            <w:pPr>
              <w:spacing w:after="0"/>
              <w:rPr>
                <w:sz w:val="14"/>
                <w:szCs w:val="14"/>
                <w:color w:val="auto"/>
              </w:rPr>
            </w:pP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 outstanding -</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12,461</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 outstanding -</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Dilutive ...................................................................</w:t>
            </w:r>
          </w:p>
        </w:tc>
        <w:tc>
          <w:tcPr>
            <w:tcW w:w="260" w:type="dxa"/>
            <w:vAlign w:val="bottom"/>
          </w:tcPr>
          <w:p>
            <w:pPr>
              <w:spacing w:after="0"/>
              <w:rPr>
                <w:sz w:val="14"/>
                <w:szCs w:val="14"/>
                <w:color w:val="auto"/>
              </w:rPr>
            </w:pP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12,922</w:t>
            </w:r>
          </w:p>
        </w:tc>
        <w:tc>
          <w:tcPr>
            <w:tcW w:w="6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20"/>
          </w:cols>
          <w:pgMar w:left="220" w:top="1122" w:right="1259" w:bottom="1440" w:gutter="0" w:footer="0" w:header="0"/>
        </w:sectPr>
      </w:pPr>
    </w:p>
    <w:bookmarkStart w:id="3" w:name="page4"/>
    <w:bookmarkEnd w:id="3"/>
    <w:p>
      <w:pPr>
        <w:jc w:val="center"/>
        <w:ind w:right="376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3760"/>
        <w:spacing w:after="0" w:line="237" w:lineRule="auto"/>
        <w:rPr>
          <w:sz w:val="20"/>
          <w:szCs w:val="20"/>
          <w:color w:val="auto"/>
        </w:rPr>
      </w:pPr>
      <w:r>
        <w:rPr>
          <w:rFonts w:ascii="Courier New" w:cs="Courier New" w:eastAsia="Courier New" w:hAnsi="Courier New"/>
          <w:sz w:val="15"/>
          <w:szCs w:val="15"/>
          <w:color w:val="auto"/>
        </w:rPr>
        <w:t>CONDENSED CONSOLIDATED BALANCE SHEETS (UNAUDITED)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January 31,</w:t>
            </w:r>
          </w:p>
        </w:tc>
        <w:tc>
          <w:tcPr>
            <w:tcW w:w="9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February 1,</w:t>
            </w:r>
          </w:p>
        </w:tc>
      </w:tr>
      <w:tr>
        <w:trPr>
          <w:trHeight w:val="168"/>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2003</w:t>
            </w:r>
          </w:p>
        </w:tc>
        <w:tc>
          <w:tcPr>
            <w:tcW w:w="90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000" w:type="dxa"/>
            <w:vAlign w:val="bottom"/>
          </w:tcPr>
          <w:p>
            <w:pPr>
              <w:spacing w:after="0"/>
              <w:rPr>
                <w:sz w:val="14"/>
                <w:szCs w:val="14"/>
                <w:color w:val="auto"/>
              </w:rPr>
            </w:pP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87</w:t>
            </w:r>
          </w:p>
        </w:tc>
        <w:tc>
          <w:tcPr>
            <w:tcW w:w="9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Receivables, net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311,892</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302,189</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Inventories, net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267,376</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274,524</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Prepaid expenses and other current assets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11,689</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17,415</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income taxes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39,474</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34,261</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630,518</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628,435</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Property, plant, and equipment ...............................................</w:t>
            </w:r>
          </w:p>
        </w:tc>
        <w:tc>
          <w:tcPr>
            <w:tcW w:w="180" w:type="dxa"/>
            <w:vAlign w:val="bottom"/>
          </w:tcPr>
          <w:p>
            <w:pPr>
              <w:spacing w:after="0"/>
              <w:rPr>
                <w:sz w:val="24"/>
                <w:szCs w:val="24"/>
                <w:color w:val="auto"/>
              </w:rPr>
            </w:pP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449,040</w:t>
            </w:r>
          </w:p>
        </w:tc>
        <w:tc>
          <w:tcPr>
            <w:tcW w:w="90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410,387</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Less accumulated depreciation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289,566</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265,942</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159,474</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144,445</w:t>
            </w:r>
          </w:p>
        </w:tc>
      </w:tr>
      <w:tr>
        <w:trPr>
          <w:trHeight w:val="336"/>
        </w:trPr>
        <w:tc>
          <w:tcPr>
            <w:tcW w:w="70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Deferred income taxes ........................................................</w:t>
            </w:r>
          </w:p>
        </w:tc>
        <w:tc>
          <w:tcPr>
            <w:tcW w:w="180" w:type="dxa"/>
            <w:vAlign w:val="bottom"/>
          </w:tcPr>
          <w:p>
            <w:pPr>
              <w:spacing w:after="0"/>
              <w:rPr>
                <w:sz w:val="24"/>
                <w:szCs w:val="24"/>
                <w:color w:val="auto"/>
              </w:rPr>
            </w:pP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4,196</w:t>
            </w:r>
          </w:p>
        </w:tc>
        <w:tc>
          <w:tcPr>
            <w:tcW w:w="90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9,721</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14,253</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14,794</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Goodwill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77,891</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77,805</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intangible assets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1,769</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2,347</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assets .........................................................</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888,101</w:t>
            </w:r>
          </w:p>
        </w:tc>
        <w:tc>
          <w:tcPr>
            <w:tcW w:w="9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877,547</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Current portion of long-term debt ............................................</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15,846</w:t>
            </w:r>
          </w:p>
        </w:tc>
        <w:tc>
          <w:tcPr>
            <w:tcW w:w="9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Short-term debt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25,024</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113,938</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Accounts payable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90,397</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75,656</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Accrued liabilities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194,917</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172,744</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326,184</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362,851</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Long-term debt, less current portion .........................................</w:t>
            </w:r>
          </w:p>
        </w:tc>
        <w:tc>
          <w:tcPr>
            <w:tcW w:w="180" w:type="dxa"/>
            <w:vAlign w:val="bottom"/>
          </w:tcPr>
          <w:p>
            <w:pPr>
              <w:spacing w:after="0"/>
              <w:rPr>
                <w:sz w:val="24"/>
                <w:szCs w:val="24"/>
                <w:color w:val="auto"/>
              </w:rPr>
            </w:pP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178,724</w:t>
            </w:r>
          </w:p>
        </w:tc>
        <w:tc>
          <w:tcPr>
            <w:tcW w:w="90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194,553</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long-term liabilities ..................................................</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8,259</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7,091</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9"/>
              </w:rPr>
              <w:t>Preferred stock, par value $1.00 per share, authorized 1,000,000</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voting and 850,000 non voting shares, none issued and outstanding</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Common stock par value $1.00 per share, authorized 35,000,000 shares, issued</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and outstanding 12,218,531 shares as of January 31, 2003 (net of 1,289,524</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treasury shares) and 12,278,570 shares as of February 1, 2002 (net of</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1,229,485 treasury shares)..............................................</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12,219</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12,279</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28,083</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32,208</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347,845</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281,831</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Accumulated comprehensive loss.............................................</w:t>
            </w:r>
          </w:p>
        </w:tc>
        <w:tc>
          <w:tcPr>
            <w:tcW w:w="180" w:type="dxa"/>
            <w:vAlign w:val="bottom"/>
          </w:tcPr>
          <w:p>
            <w:pPr>
              <w:spacing w:after="0"/>
              <w:rPr>
                <w:sz w:val="14"/>
                <w:szCs w:val="14"/>
                <w:color w:val="auto"/>
              </w:rPr>
            </w:pPr>
          </w:p>
        </w:tc>
        <w:tc>
          <w:tcPr>
            <w:tcW w:w="17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(13,213)</w:t>
            </w:r>
          </w:p>
        </w:tc>
        <w:tc>
          <w:tcPr>
            <w:tcW w:w="9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(13,266)</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374,934</w:t>
            </w:r>
          </w:p>
        </w:tc>
        <w:tc>
          <w:tcPr>
            <w:tcW w:w="9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313,052</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888,101</w:t>
            </w:r>
          </w:p>
        </w:tc>
        <w:tc>
          <w:tcPr>
            <w:tcW w:w="9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877,547</w:t>
            </w:r>
          </w:p>
        </w:tc>
      </w:tr>
      <w:tr>
        <w:trPr>
          <w:trHeight w:val="168"/>
        </w:trPr>
        <w:tc>
          <w:tcPr>
            <w:tcW w:w="7000" w:type="dxa"/>
            <w:vAlign w:val="bottom"/>
          </w:tcPr>
          <w:p>
            <w:pPr>
              <w:spacing w:after="0"/>
              <w:rPr>
                <w:sz w:val="14"/>
                <w:szCs w:val="14"/>
                <w:color w:val="auto"/>
              </w:rPr>
            </w:pPr>
          </w:p>
        </w:tc>
        <w:tc>
          <w:tcPr>
            <w:tcW w:w="19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860"/>
          </w:cols>
          <w:pgMar w:left="220" w:top="1290" w:right="819" w:bottom="1440" w:gutter="0" w:footer="0" w:header="0"/>
        </w:sectPr>
      </w:pPr>
    </w:p>
    <w:bookmarkStart w:id="4" w:name="page5"/>
    <w:bookmarkEnd w:id="4"/>
    <w:p>
      <w:pPr>
        <w:jc w:val="center"/>
        <w:ind w:right="3120"/>
        <w:spacing w:after="0" w:line="235" w:lineRule="auto"/>
        <w:rPr>
          <w:sz w:val="20"/>
          <w:szCs w:val="20"/>
          <w:color w:val="auto"/>
        </w:rPr>
      </w:pPr>
      <w:r>
        <w:rPr>
          <w:rFonts w:ascii="Courier New" w:cs="Courier New" w:eastAsia="Courier New" w:hAnsi="Courier New"/>
          <w:sz w:val="15"/>
          <w:szCs w:val="15"/>
          <w:color w:val="auto"/>
        </w:rPr>
        <w:t>THE TORO COMPANY AND SUBSIDIARIES CONDENSED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8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January 31,</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February 1,</w:t>
            </w:r>
          </w:p>
        </w:tc>
      </w:tr>
      <w:tr>
        <w:trPr>
          <w:trHeight w:val="168"/>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(loss)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6,981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(29,735)</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earnings (loss) to net cash</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880" w:type="dxa"/>
            <w:vAlign w:val="bottom"/>
          </w:tcPr>
          <w:p>
            <w:pPr>
              <w:jc w:val="right"/>
              <w:ind w:right="3647"/>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24,614</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Non-cash asset impairment write-off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4,163</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Provision for depreciation and amortization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7,310</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7,336</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disposal of property, plant, and equipment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deferred income taxes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(752)</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Receivables, net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(52,399)</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(30,512)</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(48,213)</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(39,863)</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current assets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(1,322)</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 liabilities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13,257</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(7,846)</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operating activities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(75,142)</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(78,396)</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property, plant, and equipment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(11,451)</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(9,245)</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asset disposals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Decrease in investment in affiliates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other assets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(2,147)</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 of business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1,016</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(11,551)</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(11,609)</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short-term debt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23,868</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79,525</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Repayments of long-term debt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Decrease in other long-term liabilities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exercise of stock options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1,693</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common stock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(598)</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Dividends on common stock ................................................</w:t>
            </w:r>
          </w:p>
        </w:tc>
        <w:tc>
          <w:tcPr>
            <w:tcW w:w="3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(1,495)</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(1,501)</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23,372</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77,201</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Foreign currency translation adjustment .....................................</w:t>
            </w:r>
          </w:p>
        </w:tc>
        <w:tc>
          <w:tcPr>
            <w:tcW w:w="300" w:type="dxa"/>
            <w:vAlign w:val="bottom"/>
          </w:tcPr>
          <w:p>
            <w:pPr>
              <w:spacing w:after="0"/>
              <w:rPr>
                <w:sz w:val="24"/>
                <w:szCs w:val="2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592</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decrease in cash and cash equivalents ...................................</w:t>
            </w:r>
          </w:p>
        </w:tc>
        <w:tc>
          <w:tcPr>
            <w:tcW w:w="300" w:type="dxa"/>
            <w:vAlign w:val="bottom"/>
          </w:tcPr>
          <w:p>
            <w:pPr>
              <w:spacing w:after="0"/>
              <w:rPr>
                <w:sz w:val="24"/>
                <w:szCs w:val="2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(62,729)</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(12,830)</w:t>
            </w:r>
          </w:p>
        </w:tc>
      </w:tr>
      <w:tr>
        <w:trPr>
          <w:trHeight w:val="168"/>
        </w:trPr>
        <w:tc>
          <w:tcPr>
            <w:tcW w:w="6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as of the beginning of the period .................</w:t>
            </w:r>
          </w:p>
        </w:tc>
        <w:tc>
          <w:tcPr>
            <w:tcW w:w="30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62,816</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12,876</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as of the end of the period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68"/>
        </w:trPr>
        <w:tc>
          <w:tcPr>
            <w:tcW w:w="688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40"/>
          </w:cols>
          <w:pgMar w:left="220" w:top="1128" w:right="1439" w:bottom="1440" w:gutter="0" w:footer="0" w:header="0"/>
        </w:sectPr>
      </w:pPr>
    </w:p>
    <w:bookmarkStart w:id="5" w:name="page6"/>
    <w:bookmarkEnd w:id="5"/>
    <w:p>
      <w:pPr>
        <w:jc w:val="center"/>
        <w:ind w:right="3239"/>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JANUARY 31, 2003</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31, 2003 cannot be annualized to determine the expected results for the fiscal year ending October 31, 2003. Certain amounts from prior period's financial statements have been reclassified to conform to this period's presentation.</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6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fiscal year ended October 31, 2002. The policies described in that report are used for preparing quarterly reports.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preparing the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Inventories are valued at the lower of cost or net realizable value, with cost determined by the last-in, first-out (LIFO) method for most inventories.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720" w:type="dxa"/>
            <w:vAlign w:val="bottom"/>
          </w:tcPr>
          <w:p>
            <w:pPr>
              <w:jc w:val="right"/>
              <w:ind w:right="2727"/>
              <w:spacing w:after="0"/>
              <w:rPr>
                <w:sz w:val="20"/>
                <w:szCs w:val="20"/>
                <w:color w:val="auto"/>
              </w:rPr>
            </w:pPr>
            <w:r>
              <w:rPr>
                <w:rFonts w:ascii="Courier New" w:cs="Courier New" w:eastAsia="Courier New" w:hAnsi="Courier New"/>
                <w:sz w:val="15"/>
                <w:szCs w:val="15"/>
                <w:color w:val="auto"/>
                <w:w w:val="95"/>
              </w:rPr>
              <w:t>(Dollars in thousands)</w:t>
            </w:r>
          </w:p>
        </w:tc>
        <w:tc>
          <w:tcPr>
            <w:tcW w:w="260" w:type="dxa"/>
            <w:vAlign w:val="bottom"/>
          </w:tcPr>
          <w:p>
            <w:pPr>
              <w:spacing w:after="0"/>
              <w:rPr>
                <w:sz w:val="14"/>
                <w:szCs w:val="1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January 31,</w:t>
            </w: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February 1,</w:t>
            </w: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w w:val="98"/>
              </w:rPr>
              <w:t>Raw materials and work in process....................</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74,834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69,335</w:t>
            </w: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Finished goods and service parts.....................</w:t>
            </w:r>
          </w:p>
        </w:tc>
        <w:tc>
          <w:tcPr>
            <w:tcW w:w="26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233,973</w:t>
            </w:r>
          </w:p>
        </w:tc>
        <w:tc>
          <w:tcPr>
            <w:tcW w:w="4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250,678</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308,807</w:t>
            </w:r>
          </w:p>
        </w:tc>
        <w:tc>
          <w:tcPr>
            <w:tcW w:w="4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320,013</w:t>
            </w: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Less: LIFO...........................................</w:t>
            </w:r>
          </w:p>
        </w:tc>
        <w:tc>
          <w:tcPr>
            <w:tcW w:w="26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26,903</w:t>
            </w:r>
          </w:p>
        </w:tc>
        <w:tc>
          <w:tcPr>
            <w:tcW w:w="4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29,264</w:t>
            </w: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Other reserves.......................................</w:t>
            </w:r>
          </w:p>
        </w:tc>
        <w:tc>
          <w:tcPr>
            <w:tcW w:w="26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14,528</w:t>
            </w:r>
          </w:p>
        </w:tc>
        <w:tc>
          <w:tcPr>
            <w:tcW w:w="4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16,225</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267,376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274,524</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7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39"/>
          </w:cols>
          <w:pgMar w:left="220" w:top="112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Restructuring and Other Expense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2002, the company announced plans to close its Riverside, California manufacturing operations and its Evansville, Indiana and Madera, California manufacturing facilities. Approximately 550 job positions and related staff reductions will be lost in connection with closing these operations. As of January 31, 2003, of the 550 job position reductions, 441 have been eliminated.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180"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following is an analysis of the company's restructuring and other expense reserve accounts: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Severance</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&amp; Benefits</w:t>
            </w:r>
          </w:p>
        </w:tc>
        <w:tc>
          <w:tcPr>
            <w:tcW w:w="5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w w:val="97"/>
              </w:rPr>
              <w:t>Balance as of October 31, 2002..............................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1,865</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2,737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Utilization.................................................</w:t>
            </w:r>
          </w:p>
        </w:tc>
        <w:tc>
          <w:tcPr>
            <w:tcW w:w="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1,331</w:t>
            </w:r>
          </w:p>
        </w:tc>
        <w:tc>
          <w:tcPr>
            <w:tcW w:w="5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1,356</w:t>
            </w:r>
          </w:p>
        </w:tc>
      </w:tr>
      <w:tr>
        <w:trPr>
          <w:trHeight w:val="168"/>
        </w:trPr>
        <w:tc>
          <w:tcPr>
            <w:tcW w:w="52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Balance as of January 31, 2003..............................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534</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r>
        <w:trPr>
          <w:trHeight w:val="168"/>
        </w:trPr>
        <w:tc>
          <w:tcPr>
            <w:tcW w:w="52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 expects a majority of the remaining accruals to be utilized during fiscal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(Loss)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Comprehensive income (loss) and the components of other comprehensive income (loss) for the three months ended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January 31,</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 1,</w:t>
            </w:r>
          </w:p>
        </w:tc>
      </w:tr>
      <w:tr>
        <w:trPr>
          <w:trHeight w:val="168"/>
        </w:trPr>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w w:val="96"/>
              </w:rPr>
              <w:t>Net earnings (loss)...................................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6,981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(29,735)</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(loss):</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592</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Unrealized loss on derivative instruments..........</w:t>
            </w:r>
          </w:p>
        </w:tc>
        <w:tc>
          <w:tcPr>
            <w:tcW w:w="8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(1,202)</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Comprehensive income (loss)...........................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6,371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(30,013)</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Data</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Reconciliations of basic and dilutive weighted average shares of common stock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(Shares in thousands)</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January 31,</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February 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2003</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stock outstanding....................................</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12,440</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12,470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Assumed issuance of contingent shares ......................</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2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and assumed issuance of contingent shares............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12,461</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52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and assumed issuance of contingent shares............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12,461</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Assumed conversion of stock options.........................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461</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assumed issuance of contingent shares, and</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assumed conversion of stock options..................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12,922</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52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26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1122" w:right="1440" w:bottom="18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Segment Data</w:t>
      </w:r>
    </w:p>
    <w:p>
      <w:pPr>
        <w:spacing w:after="0" w:line="173" w:lineRule="exact"/>
        <w:rPr>
          <w:sz w:val="20"/>
          <w:szCs w:val="20"/>
          <w:color w:val="auto"/>
        </w:rPr>
      </w:pPr>
    </w:p>
    <w:p>
      <w:pPr>
        <w:ind w:right="4620"/>
        <w:spacing w:after="0" w:line="236" w:lineRule="auto"/>
        <w:rPr>
          <w:sz w:val="20"/>
          <w:szCs w:val="20"/>
          <w:color w:val="auto"/>
        </w:rPr>
      </w:pPr>
      <w:r>
        <w:rPr>
          <w:rFonts w:ascii="Courier New" w:cs="Courier New" w:eastAsia="Courier New" w:hAnsi="Courier New"/>
          <w:sz w:val="15"/>
          <w:szCs w:val="15"/>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75"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The following table shows the summarized financial information concerning the company's reportable segments: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January 31, 2003</w:t>
            </w:r>
          </w:p>
        </w:tc>
        <w:tc>
          <w:tcPr>
            <w:tcW w:w="10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Professional(1)</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Residential</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Distribution</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6"/>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..193,444</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$94,665</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$18,600</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$(10,747)</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$295,962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Intersegment gross sales.....................................</w:t>
            </w:r>
          </w:p>
        </w:tc>
        <w:tc>
          <w:tcPr>
            <w:tcW w:w="10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12,044</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843</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(12,887)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Earnings (loss) before income taxes..........................</w:t>
            </w:r>
          </w:p>
        </w:tc>
        <w:tc>
          <w:tcPr>
            <w:tcW w:w="10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27,756</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8,661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(3,358)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(22,639)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10,420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10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449,869</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193,068</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36,158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209,006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888,101</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Three months ended February 1, 2002</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sales....................................................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175,765</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$92,216</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$24,229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$(14,295)</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$277,915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Intersegment gross sales.....................................</w:t>
            </w:r>
          </w:p>
        </w:tc>
        <w:tc>
          <w:tcPr>
            <w:tcW w:w="10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15,667</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1,250</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(16,917)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income taxes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and accounting change......................................</w:t>
            </w:r>
          </w:p>
        </w:tc>
        <w:tc>
          <w:tcPr>
            <w:tcW w:w="10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9,080</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7,706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(22,343)</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10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448,704</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170,099</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53,978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204,766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877,547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restructuring and other expense of $10.0 million in fiscal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presents the details of the other segment earnings (loss)</w:t>
      </w:r>
    </w:p>
    <w:p>
      <w:pPr>
        <w:spacing w:after="0" w:line="237" w:lineRule="auto"/>
        <w:rPr>
          <w:sz w:val="20"/>
          <w:szCs w:val="20"/>
          <w:color w:val="auto"/>
        </w:rPr>
      </w:pPr>
      <w:r>
        <w:rPr>
          <w:rFonts w:ascii="Courier New" w:cs="Courier New" w:eastAsia="Courier New" w:hAnsi="Courier New"/>
          <w:sz w:val="15"/>
          <w:szCs w:val="15"/>
          <w:color w:val="auto"/>
        </w:rPr>
        <w:t>before income taxes: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340" w:type="dxa"/>
            <w:vAlign w:val="bottom"/>
          </w:tcPr>
          <w:p>
            <w:pPr>
              <w:spacing w:after="0"/>
              <w:rPr>
                <w:sz w:val="14"/>
                <w:szCs w:val="14"/>
                <w:color w:val="auto"/>
              </w:rPr>
            </w:pPr>
          </w:p>
        </w:tc>
        <w:tc>
          <w:tcPr>
            <w:tcW w:w="29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48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February 1,</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2003</w:t>
            </w:r>
          </w:p>
        </w:tc>
        <w:tc>
          <w:tcPr>
            <w:tcW w:w="6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5"/>
              </w:rPr>
              <w:t>Corporate expenses............................................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(23,757)</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(21,249)</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Finance charge revenue........................................</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848</w:t>
            </w:r>
          </w:p>
        </w:tc>
        <w:tc>
          <w:tcPr>
            <w:tcW w:w="6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1,068</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Elimination of corporate financing expense....................</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2,332</w:t>
            </w:r>
          </w:p>
        </w:tc>
        <w:tc>
          <w:tcPr>
            <w:tcW w:w="6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2,615</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(4,092)</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(5,320)</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2,030</w:t>
            </w:r>
          </w:p>
        </w:tc>
        <w:tc>
          <w:tcPr>
            <w:tcW w:w="6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Total.........................................................</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(22,639)</w:t>
            </w:r>
          </w:p>
        </w:tc>
        <w:tc>
          <w:tcPr>
            <w:tcW w:w="6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(22,343)</w:t>
            </w:r>
          </w:p>
        </w:tc>
      </w:tr>
      <w:tr>
        <w:trPr>
          <w:trHeight w:val="168"/>
        </w:trPr>
        <w:tc>
          <w:tcPr>
            <w:tcW w:w="5340" w:type="dxa"/>
            <w:vAlign w:val="bottom"/>
          </w:tcPr>
          <w:p>
            <w:pPr>
              <w:spacing w:after="0"/>
              <w:rPr>
                <w:sz w:val="14"/>
                <w:szCs w:val="14"/>
                <w:color w:val="auto"/>
              </w:rPr>
            </w:pP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changes in the net carrying amount of goodwill for the first quarter of fiscal 2003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1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Professional</w:t>
            </w:r>
          </w:p>
        </w:tc>
        <w:tc>
          <w:tcPr>
            <w:tcW w:w="4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Residential</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Segment</w:t>
            </w:r>
          </w:p>
        </w:tc>
        <w:tc>
          <w:tcPr>
            <w:tcW w:w="440" w:type="dxa"/>
            <w:vAlign w:val="bottom"/>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Segment</w:t>
            </w:r>
          </w:p>
        </w:tc>
        <w:tc>
          <w:tcPr>
            <w:tcW w:w="52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700" w:type="dxa"/>
            <w:vAlign w:val="bottom"/>
          </w:tcPr>
          <w:p>
            <w:pPr>
              <w:spacing w:after="0"/>
              <w:rPr>
                <w:sz w:val="14"/>
                <w:szCs w:val="14"/>
                <w:color w:val="auto"/>
              </w:rPr>
            </w:pPr>
          </w:p>
        </w:tc>
        <w:tc>
          <w:tcPr>
            <w:tcW w:w="35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6"/>
              </w:rPr>
              <w:t>Balance as of October 31, 2002</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68,942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8,913</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77,855</w:t>
            </w:r>
          </w:p>
        </w:tc>
      </w:tr>
      <w:tr>
        <w:trPr>
          <w:trHeight w:val="168"/>
        </w:trPr>
        <w:tc>
          <w:tcPr>
            <w:tcW w:w="48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Translation adjustment...............................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2700" w:type="dxa"/>
            <w:vAlign w:val="bottom"/>
          </w:tcPr>
          <w:p>
            <w:pPr>
              <w:spacing w:after="0"/>
              <w:rPr>
                <w:sz w:val="14"/>
                <w:szCs w:val="14"/>
                <w:color w:val="auto"/>
              </w:rPr>
            </w:pPr>
          </w:p>
        </w:tc>
        <w:tc>
          <w:tcPr>
            <w:tcW w:w="35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Balance as of January 31, 2003</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68,952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8,939</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77,891</w:t>
            </w:r>
          </w:p>
        </w:tc>
      </w:tr>
      <w:tr>
        <w:trPr>
          <w:trHeight w:val="168"/>
        </w:trPr>
        <w:tc>
          <w:tcPr>
            <w:tcW w:w="2700" w:type="dxa"/>
            <w:vAlign w:val="bottom"/>
          </w:tcPr>
          <w:p>
            <w:pPr>
              <w:spacing w:after="0"/>
              <w:rPr>
                <w:sz w:val="14"/>
                <w:szCs w:val="14"/>
                <w:color w:val="auto"/>
              </w:rPr>
            </w:pPr>
          </w:p>
        </w:tc>
        <w:tc>
          <w:tcPr>
            <w:tcW w:w="35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700" w:type="dxa"/>
            <w:vAlign w:val="bottom"/>
          </w:tcPr>
          <w:p>
            <w:pPr>
              <w:spacing w:after="0"/>
              <w:rPr>
                <w:sz w:val="24"/>
                <w:szCs w:val="24"/>
                <w:color w:val="auto"/>
              </w:rPr>
            </w:pPr>
          </w:p>
        </w:tc>
        <w:tc>
          <w:tcPr>
            <w:tcW w:w="210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540"/>
          </w:cols>
          <w:pgMar w:left="220" w:top="1122"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Other Intangible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other amortizable intangible assets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January 31, 2003</w:t>
            </w:r>
          </w:p>
        </w:tc>
        <w:tc>
          <w:tcPr>
            <w:tcW w:w="32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February 1, 2002</w:t>
            </w:r>
          </w:p>
        </w:tc>
      </w:tr>
      <w:tr>
        <w:trPr>
          <w:trHeight w:val="168"/>
        </w:trPr>
        <w:tc>
          <w:tcPr>
            <w:tcW w:w="50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00" w:type="dxa"/>
            <w:vAlign w:val="bottom"/>
          </w:tcPr>
          <w:p>
            <w:pPr>
              <w:spacing w:after="0"/>
              <w:rPr>
                <w:sz w:val="14"/>
                <w:szCs w:val="14"/>
                <w:color w:val="auto"/>
              </w:rPr>
            </w:pPr>
          </w:p>
        </w:tc>
        <w:tc>
          <w:tcPr>
            <w:tcW w:w="3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Gross Carrying</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w:t>
            </w:r>
          </w:p>
        </w:tc>
        <w:tc>
          <w:tcPr>
            <w:tcW w:w="18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Gross Carrying</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r>
      <w:tr>
        <w:trPr>
          <w:trHeight w:val="168"/>
        </w:trPr>
        <w:tc>
          <w:tcPr>
            <w:tcW w:w="5000" w:type="dxa"/>
            <w:vAlign w:val="bottom"/>
          </w:tcPr>
          <w:p>
            <w:pPr>
              <w:spacing w:after="0"/>
              <w:rPr>
                <w:sz w:val="14"/>
                <w:szCs w:val="14"/>
                <w:color w:val="auto"/>
              </w:rPr>
            </w:pPr>
          </w:p>
        </w:tc>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5"/>
              </w:rPr>
              <w:t>Patents...................................................</w:t>
            </w:r>
          </w:p>
        </w:tc>
        <w:tc>
          <w:tcPr>
            <w:tcW w:w="340" w:type="dxa"/>
            <w:vAlign w:val="bottom"/>
          </w:tcPr>
          <w:p>
            <w:pPr>
              <w:jc w:val="right"/>
              <w:ind w:right="89"/>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6,104</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$(4,688)</w:t>
            </w: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$6,104</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$(4,341)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Non-compete agreements....................................</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800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800</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800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(800)</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800</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(740)</w:t>
            </w:r>
          </w:p>
        </w:tc>
      </w:tr>
      <w:tr>
        <w:trPr>
          <w:trHeight w:val="168"/>
        </w:trPr>
        <w:tc>
          <w:tcPr>
            <w:tcW w:w="5000" w:type="dxa"/>
            <w:vAlign w:val="bottom"/>
          </w:tcPr>
          <w:p>
            <w:pPr>
              <w:spacing w:after="0"/>
              <w:rPr>
                <w:sz w:val="14"/>
                <w:szCs w:val="14"/>
                <w:color w:val="auto"/>
              </w:rPr>
            </w:pPr>
          </w:p>
        </w:tc>
        <w:tc>
          <w:tcPr>
            <w:tcW w:w="1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Total.....................................................</w:t>
            </w:r>
          </w:p>
        </w:tc>
        <w:tc>
          <w:tcPr>
            <w:tcW w:w="34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7,704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$(5,935)</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$7,704</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$(5,357)</w:t>
            </w:r>
          </w:p>
        </w:tc>
      </w:tr>
      <w:tr>
        <w:trPr>
          <w:trHeight w:val="168"/>
        </w:trPr>
        <w:tc>
          <w:tcPr>
            <w:tcW w:w="5000" w:type="dxa"/>
            <w:vAlign w:val="bottom"/>
          </w:tcPr>
          <w:p>
            <w:pPr>
              <w:spacing w:after="0"/>
              <w:rPr>
                <w:sz w:val="14"/>
                <w:szCs w:val="14"/>
                <w:color w:val="auto"/>
              </w:rPr>
            </w:pPr>
          </w:p>
        </w:tc>
        <w:tc>
          <w:tcPr>
            <w:tcW w:w="1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5"/>
              </w:rPr>
              <w:t>Total other intangible assets, net........................</w:t>
            </w:r>
          </w:p>
        </w:tc>
        <w:tc>
          <w:tcPr>
            <w:tcW w:w="340" w:type="dxa"/>
            <w:vAlign w:val="bottom"/>
          </w:tcPr>
          <w:p>
            <w:pPr>
              <w:jc w:val="right"/>
              <w:ind w:right="89"/>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1,769</w:t>
            </w:r>
          </w:p>
        </w:tc>
        <w:tc>
          <w:tcPr>
            <w:tcW w:w="1700" w:type="dxa"/>
            <w:vAlign w:val="bottom"/>
          </w:tcPr>
          <w:p>
            <w:pPr>
              <w:spacing w:after="0"/>
              <w:rPr>
                <w:sz w:val="24"/>
                <w:szCs w:val="24"/>
                <w:color w:val="auto"/>
              </w:rPr>
            </w:pP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$2,347</w:t>
            </w:r>
          </w:p>
        </w:tc>
        <w:tc>
          <w:tcPr>
            <w:tcW w:w="138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bl>
    <w:p>
      <w:pPr>
        <w:spacing w:after="0" w:line="341" w:lineRule="exact"/>
        <w:rPr>
          <w:sz w:val="20"/>
          <w:szCs w:val="20"/>
          <w:color w:val="auto"/>
        </w:rPr>
      </w:pPr>
    </w:p>
    <w:p>
      <w:pPr>
        <w:ind w:right="4700"/>
        <w:spacing w:after="0" w:line="236" w:lineRule="auto"/>
        <w:rPr>
          <w:sz w:val="20"/>
          <w:szCs w:val="20"/>
          <w:color w:val="auto"/>
        </w:rPr>
      </w:pPr>
      <w:r>
        <w:rPr>
          <w:rFonts w:ascii="Courier New" w:cs="Courier New" w:eastAsia="Courier New" w:hAnsi="Courier New"/>
          <w:sz w:val="15"/>
          <w:szCs w:val="15"/>
          <w:color w:val="auto"/>
        </w:rPr>
        <w:t>Amortization expense for intangible assets during the first quarter of fiscal 2003 was $136,000. Estimated amortization expense for the remainder of fiscal 2003 and succeeding fiscal years is as follows: 2003 (remainder), $343,000; 2004, $357,000; 2005, $337,000; 2006, $337,000; 2007, $182,000; 2008, $131,000 and after 2008, $82,000.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Guarantees</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The company's products are warranted to the end-user to ensure end-user confidence in design, workmanship, and overall quality. Warranty lengths vary by product line, ranging from a period of six months to seven years, and cover parts, labor, and other expenses for non-maintenance repairs, provided operator abuse, improper use, or negligence did not necessitate the repair. An authorized distributor or dealer must perform warranty work and submit claims for warranty reimbursement, which the company pays as long as the repairs meet prescribed standards. Warranty expense is accrued at the time of sale based on historical claims experience by individual product lines. Special warranty reserves are also accrued for special rework campaigns for known major product modifications. The company also offers additional warranty coverage on select products when the factory warranty period expires.</w:t>
      </w:r>
    </w:p>
    <w:p>
      <w:pPr>
        <w:spacing w:after="0" w:line="333" w:lineRule="exact"/>
        <w:rPr>
          <w:sz w:val="20"/>
          <w:szCs w:val="20"/>
          <w:color w:val="auto"/>
        </w:rPr>
      </w:pPr>
    </w:p>
    <w:p>
      <w:pPr>
        <w:ind w:right="5140"/>
        <w:spacing w:after="0" w:line="234" w:lineRule="auto"/>
        <w:rPr>
          <w:sz w:val="20"/>
          <w:szCs w:val="20"/>
          <w:color w:val="auto"/>
        </w:rPr>
      </w:pPr>
      <w:r>
        <w:rPr>
          <w:rFonts w:ascii="Courier New" w:cs="Courier New" w:eastAsia="Courier New" w:hAnsi="Courier New"/>
          <w:sz w:val="15"/>
          <w:szCs w:val="15"/>
          <w:color w:val="auto"/>
        </w:rPr>
        <w:t>Warranty provisions, claims, and changes in estimates for the three-month periods ended were as follows:</w:t>
      </w:r>
    </w:p>
    <w:p>
      <w:pPr>
        <w:spacing w:after="0" w:line="200" w:lineRule="exact"/>
        <w:rPr>
          <w:sz w:val="20"/>
          <w:szCs w:val="20"/>
          <w:color w:val="auto"/>
        </w:rPr>
      </w:pPr>
    </w:p>
    <w:p>
      <w:pPr>
        <w:spacing w:after="0" w:line="310" w:lineRule="exact"/>
        <w:rPr>
          <w:sz w:val="20"/>
          <w:szCs w:val="20"/>
          <w:color w:val="auto"/>
        </w:rPr>
      </w:pPr>
    </w:p>
    <w:p>
      <w:pPr>
        <w:jc w:val="both"/>
        <w:ind w:right="1120"/>
        <w:spacing w:after="0" w:line="234" w:lineRule="auto"/>
        <w:rPr>
          <w:sz w:val="20"/>
          <w:szCs w:val="20"/>
          <w:color w:val="auto"/>
        </w:rPr>
      </w:pPr>
      <w:r>
        <w:rPr>
          <w:rFonts w:ascii="Courier New" w:cs="Courier New" w:eastAsia="Courier New" w:hAnsi="Courier New"/>
          <w:sz w:val="15"/>
          <w:szCs w:val="15"/>
          <w:color w:val="auto"/>
        </w:rPr>
        <w:t>(Dollars in Thousands) Beginning Warranty Warranty Changes in Ending Three Months Ended Balance Provisions Claims Estimates Balance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January 31,</w:t>
            </w:r>
          </w:p>
        </w:tc>
        <w:tc>
          <w:tcPr>
            <w:tcW w:w="10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9"/>
              </w:rPr>
              <w:t>2003</w:t>
            </w: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$53,590</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$7,784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(9,243)</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$811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$52,942</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February 1,</w:t>
            </w:r>
          </w:p>
        </w:tc>
        <w:tc>
          <w:tcPr>
            <w:tcW w:w="10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9"/>
              </w:rPr>
              <w:t>2002</w:t>
            </w: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$57,882</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$7,097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(11,173)</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40"/>
          </w:cols>
          <w:pgMar w:left="220" w:top="1290"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Derivative Instruments and Hedging Activities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uses derivative instruments to assist in the management of exposure to currency exchange rates. Toro uses derivatives only in an attempt to limit underlying exposure to currency fluctuations, and not for trading purposes. The company documents all relations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enters into foreign currency exchange contracts to hedge the risk from forecasted settlement in local currencies of trade sales and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quarter ended January 31, 2003, the amount of losses reclassified to earnings for such cash flow hedges was $1.0 million. As of January 31, 2003, the amount of such contracts outstanding was $66.1 million. The unrecognized after-tax loss portion of the fair value of the contracts recorded in accumulated comprehensive loss as of January 31, 2003 was $1.6 million.</w:t>
      </w:r>
    </w:p>
    <w:p>
      <w:pPr>
        <w:spacing w:after="0" w:line="16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company also enters into other foreign currency exchange contracts. These contracts are intended to hedge intercompany financing transactions and other activities that are not subject to the accounting criteria of Statement of Financial Accounting Standard (SFAS) No. 133; therefore, changes in fair value of these instruments are recorded in other income, net.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143, "Accounting for Asset Retirement Obligations" addresses the diverse accounting practices for obligations associated with the retirement of tangible long-lived assets and the associated asset retirement costs. The company adopted this standard on November 1, 2002, which did not have a material impact on the company's financial statements.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SFAS No. 144, "Accounting for the Impairment or Disposal of Long-Lived Assets" establishes a single accounting model for the impairment or disposal of long-lived assets. The company adopted this standard on November 1, 2002, which did not have a material impact on the company's financial statements.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SFAS No. 146, "Accounting for Costs Associated with Exit or Disposal Activities" requires that a liability for a cost associated with an exit or disposal activity be recognized when the liability is incurred. This statement also establishes that fair value is the objective for initial measurement of the liability. The company will apply the provisions of SFAS No. 146 for exit or disposal activities initiated after December 31, 2002, as required.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This interpretation elaborates disclosure requirements for obligations by a guarantor under certain guarantees. This interpretation also requires a guarantor to recognize, at the inception of a guarantee, a liability for the fair value of an obligation undertaken in issuing a guarantee. The company will apply the initial recognition and measurement provisions of Interpretation No. 45 to guarantees issued or modified after December 31, 2002, as required. The company has adopted the disclosure requirements in this Interpretation during the first quarter of fiscal 2003, as required.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1290" w:right="1440" w:bottom="1440" w:gutter="0" w:footer="0" w:header="0"/>
        </w:sectPr>
      </w:pPr>
    </w:p>
    <w:bookmarkStart w:id="10" w:name="page11"/>
    <w:bookmarkEnd w:id="10"/>
    <w:p>
      <w:pPr>
        <w:jc w:val="center"/>
        <w:ind w:right="3139"/>
        <w:spacing w:after="0"/>
        <w:rPr>
          <w:sz w:val="20"/>
          <w:szCs w:val="20"/>
          <w:color w:val="auto"/>
        </w:rPr>
      </w:pPr>
      <w:r>
        <w:rPr>
          <w:rFonts w:ascii="Courier New" w:cs="Courier New" w:eastAsia="Courier New" w:hAnsi="Courier New"/>
          <w:sz w:val="15"/>
          <w:szCs w:val="15"/>
          <w:color w:val="auto"/>
        </w:rPr>
        <w:t>ITEM 2. MANAGEMENT'S DISCUSSION AND ANALYSIS OF RESULTS OF OPERATIONS</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principal business of The Toro Company and its wholly owned and majority-owned domestic and foreign subsidiaries ("Toro" or "the company") is the development, manufacturing, and selling of outdoor beautification equipment and systems used in the residential and professional markets. Our products are sold through a network of distributors, dealers, hardware retailers, home centers, mass retailers, and through Internet retailers.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TRENDS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Throughout these financial sections, you will read about both recurring and one-time transactions or events. One-time or significant transactions in the current and prior period discussed in this Management's Discussion and Analysis include the cumulative effect of change in accounting principle in the first quarter of fiscal 2002, restructuring and other expense during fiscal 2002, and a gain resulting from a legal settlement in the first quarter of fiscal 2003. These one-time or significant transactions result from unique facts and circumstances that likely will not recur with similar materiality or impact on continuing operations. While these items are important in understanding and evaluating financial results and trends, other transactions or events such as those discussed later in this Management's Discussion and Analysis may also have a material impact. A complete understanding of these transactions is necessary in order to estimate the likelihood that these trends will continue.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 AND CRITICAL ACCOUNTING ESTIMATES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preparing the consolidated financial statements in conformity with accounting principles generally accepted in the United States of America, we must make decisions which impact the reported amounts and the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valuations. Actual amounts could differ from those estimated at the time the consolidated financial statements are prepared.</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significant accounting policies are described in Note 1 to the consolidated financial statements included in our Annual Report on Form 10-K for the fiscal year ended October 31, 2002. Not all of these significant accounting policies require us to make difficult subjective or complex judgments or estimates. However, we believe the following accounting policies, which require some of the more significant judgments and estimates used in the preparation of the consolidated financial statements, could be deemed to be critical within the Securities and Exchange Commission's (SEC) proposed rules related to critical accounting policy disclosure.</w:t>
      </w:r>
    </w:p>
    <w:p>
      <w:pPr>
        <w:spacing w:after="0" w:line="178"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Warranty Reserve. We establish a reserve for future warranty claims at the time of sale based on historical claims experience by product line. We also establish reserves for special rework campaigns for known major product modifications.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Warranty coverage ranges from a period of six months to seven years, and cover parts, labor, and other expenses for non-maintenance repairs, provided operator abuse, improper use, or negligence did not necessitate the repair. Actual claims could be materially higher than the reserve accrued at the time of sale due both to the long warranty period offered and to the possibility that actual claims could be higher than the reserve if a significant manufacturing or design defect is not discovered until after the product is delivered to customers. We believe that analysis of historical trends and knowledge of potential manufacturing or design problems provide sufficient information to establish a reasonable estimate for warranty claims at the time of sale.</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Accounts and Notes Receivable Valuation. We establish a reserve for specific accounts and notes receivable that we believe are uncollectible, as well as an estimate of uncollectible receivables not specifically known. Each quarter, we evaluate past collection history, the age of the receivable, current financial conditions of key customers, and economic conditions when establishing an allowance for doubtful accounts. Portions of the accounts receivable are protected by a security interest in products held by customers, which minimizes our collection exposure. A deterioration in the financial condition of any key customer or a significant continued slow down in the economy could have a material negative impact on our ability to collect a portion or all of the accounts and notes receivable. Therefore, our reserve for uncollectible receivables could potentially be under estimated.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1122" w:right="1440" w:bottom="1440" w:gutter="0" w:footer="0" w:header="0"/>
        </w:sectPr>
      </w:pPr>
    </w:p>
    <w:bookmarkStart w:id="11" w:name="page12"/>
    <w:bookmarkEnd w:id="11"/>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Earnings (Loss)</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First quarter net earnings were $7.0 million or $0.54 per diluted share compared to a net loss of $29.7 million or $2.38 per diluted share last year. Results last year included the following two one-time items: a cumulative effect of change in accounting principle that reduced net earnings by $24.6 million for the goodwill write-off related to the adoption of SFAS No. 142, "Goodwill and Other Intangible Assets;" and restructuring and other expense of $10.0 million ($6.7 million net of tax). Diluted net earnings per share for the first quarter of fiscal 2003 were $0.54 compared to $0.12 for the first quarter of fiscal 2002 after excluding these one-time items. This significant adjusted net earnings increase resulted partly from a gain for a legal settlement that added $0.16 per diluted share in fiscal 2003. In addition, higher sales volumes and an increase in gross margins resulting from our "5 by Five" profit improvement initiatives also contributed to the earnings growth.</w:t>
      </w:r>
    </w:p>
    <w:p>
      <w:pPr>
        <w:spacing w:after="0" w:line="164" w:lineRule="exact"/>
        <w:rPr>
          <w:sz w:val="20"/>
          <w:szCs w:val="20"/>
          <w:color w:val="auto"/>
        </w:rPr>
      </w:pPr>
    </w:p>
    <w:p>
      <w:pPr>
        <w:ind w:right="4700"/>
        <w:spacing w:after="0" w:line="234" w:lineRule="auto"/>
        <w:rPr>
          <w:sz w:val="20"/>
          <w:szCs w:val="20"/>
          <w:color w:val="auto"/>
        </w:rPr>
      </w:pPr>
      <w:r>
        <w:rPr>
          <w:rFonts w:ascii="Courier New" w:cs="Courier New" w:eastAsia="Courier New" w:hAnsi="Courier New"/>
          <w:sz w:val="15"/>
          <w:szCs w:val="15"/>
          <w:color w:val="auto"/>
        </w:rPr>
        <w:t>The following table summarizes the one-time changes in net earnings (loss) and diluted earnings per share data, net of tax effect:</w:t>
      </w:r>
    </w:p>
    <w:p>
      <w:pPr>
        <w:spacing w:after="0" w:line="200" w:lineRule="exact"/>
        <w:rPr>
          <w:sz w:val="20"/>
          <w:szCs w:val="20"/>
          <w:color w:val="auto"/>
        </w:rPr>
      </w:pPr>
    </w:p>
    <w:p>
      <w:pPr>
        <w:spacing w:after="0" w:line="303"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960"/>
        <w:spacing w:after="0"/>
        <w:tabs>
          <w:tab w:leader="none" w:pos="9260" w:val="left"/>
        </w:tabs>
        <w:rPr>
          <w:sz w:val="20"/>
          <w:szCs w:val="20"/>
          <w:color w:val="auto"/>
        </w:rPr>
      </w:pPr>
      <w:r>
        <w:rPr>
          <w:rFonts w:ascii="Courier New" w:cs="Courier New" w:eastAsia="Courier New" w:hAnsi="Courier New"/>
          <w:sz w:val="15"/>
          <w:szCs w:val="15"/>
          <w:color w:val="auto"/>
        </w:rPr>
        <w:t>January 31, 2003</w:t>
      </w:r>
      <w:r>
        <w:rPr>
          <w:sz w:val="20"/>
          <w:szCs w:val="20"/>
          <w:color w:val="auto"/>
        </w:rPr>
        <w:tab/>
      </w:r>
      <w:r>
        <w:rPr>
          <w:rFonts w:ascii="Courier New" w:cs="Courier New" w:eastAsia="Courier New" w:hAnsi="Courier New"/>
          <w:sz w:val="14"/>
          <w:szCs w:val="14"/>
          <w:color w:val="auto"/>
        </w:rPr>
        <w:t>February 1, 2002</w:t>
      </w:r>
    </w:p>
    <w:p>
      <w:pPr>
        <w:spacing w:after="0" w:line="5" w:lineRule="exact"/>
        <w:rPr>
          <w:sz w:val="20"/>
          <w:szCs w:val="20"/>
          <w:color w:val="auto"/>
        </w:rPr>
      </w:pPr>
    </w:p>
    <w:p>
      <w:pPr>
        <w:ind w:left="5260"/>
        <w:spacing w:after="0"/>
        <w:tabs>
          <w:tab w:leader="none" w:pos="8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5600"/>
        <w:spacing w:after="0"/>
        <w:tabs>
          <w:tab w:leader="none" w:pos="6900" w:val="left"/>
          <w:tab w:leader="none" w:pos="8820" w:val="left"/>
          <w:tab w:leader="none" w:pos="10400" w:val="left"/>
        </w:tabs>
        <w:rPr>
          <w:sz w:val="20"/>
          <w:szCs w:val="20"/>
          <w:color w:val="auto"/>
        </w:rPr>
      </w:pPr>
      <w:r>
        <w:rPr>
          <w:rFonts w:ascii="Courier New" w:cs="Courier New" w:eastAsia="Courier New" w:hAnsi="Courier New"/>
          <w:sz w:val="15"/>
          <w:szCs w:val="15"/>
          <w:color w:val="auto"/>
        </w:rPr>
        <w:t>Dollars</w:t>
      </w:r>
      <w:r>
        <w:rPr>
          <w:sz w:val="20"/>
          <w:szCs w:val="20"/>
          <w:color w:val="auto"/>
        </w:rPr>
        <w:tab/>
      </w:r>
      <w:r>
        <w:rPr>
          <w:rFonts w:ascii="Courier New" w:cs="Courier New" w:eastAsia="Courier New" w:hAnsi="Courier New"/>
          <w:sz w:val="15"/>
          <w:szCs w:val="15"/>
          <w:color w:val="auto"/>
        </w:rPr>
        <w:t>Diluted per</w:t>
      </w:r>
      <w:r>
        <w:rPr>
          <w:sz w:val="20"/>
          <w:szCs w:val="20"/>
          <w:color w:val="auto"/>
        </w:rPr>
        <w:tab/>
      </w:r>
      <w:r>
        <w:rPr>
          <w:rFonts w:ascii="Courier New" w:cs="Courier New" w:eastAsia="Courier New" w:hAnsi="Courier New"/>
          <w:sz w:val="15"/>
          <w:szCs w:val="15"/>
          <w:color w:val="auto"/>
        </w:rPr>
        <w:t>Dollars</w:t>
      </w:r>
      <w:r>
        <w:rPr>
          <w:sz w:val="20"/>
          <w:szCs w:val="20"/>
          <w:color w:val="auto"/>
        </w:rPr>
        <w:tab/>
      </w:r>
      <w:r>
        <w:rPr>
          <w:rFonts w:ascii="Courier New" w:cs="Courier New" w:eastAsia="Courier New" w:hAnsi="Courier New"/>
          <w:sz w:val="14"/>
          <w:szCs w:val="14"/>
          <w:color w:val="auto"/>
        </w:rPr>
        <w:t>Diluted per</w:t>
      </w:r>
    </w:p>
    <w:p>
      <w:pPr>
        <w:ind w:left="5260"/>
        <w:spacing w:after="0"/>
        <w:tabs>
          <w:tab w:leader="none" w:pos="6820" w:val="left"/>
          <w:tab w:leader="none" w:pos="8480" w:val="left"/>
          <w:tab w:leader="none" w:pos="1032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Common Share</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Common Share</w:t>
      </w:r>
    </w:p>
    <w:p>
      <w:pPr>
        <w:ind w:left="5260"/>
        <w:spacing w:after="0"/>
        <w:tabs>
          <w:tab w:leader="none" w:pos="6820" w:val="left"/>
          <w:tab w:leader="none" w:pos="8480" w:val="left"/>
          <w:tab w:leader="none" w:pos="10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1440" w:right="139" w:bottom="517" w:gutter="0" w:footer="0" w:header="0"/>
        </w:sectPr>
      </w:pPr>
    </w:p>
    <w:p>
      <w:pPr>
        <w:spacing w:after="0" w:line="16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5"/>
          <w:szCs w:val="15"/>
          <w:color w:val="auto"/>
        </w:rPr>
        <w:t>Net earnings (loss) as reported...............................$</w:t>
      </w:r>
      <w:r>
        <w:rPr>
          <w:sz w:val="20"/>
          <w:szCs w:val="20"/>
          <w:color w:val="auto"/>
        </w:rPr>
        <w:tab/>
      </w:r>
      <w:r>
        <w:rPr>
          <w:rFonts w:ascii="Courier New" w:cs="Courier New" w:eastAsia="Courier New" w:hAnsi="Courier New"/>
          <w:sz w:val="14"/>
          <w:szCs w:val="14"/>
          <w:color w:val="auto"/>
        </w:rPr>
        <w:t>6,981</w:t>
      </w:r>
    </w:p>
    <w:p>
      <w:pPr>
        <w:spacing w:after="0" w:line="237" w:lineRule="auto"/>
        <w:rPr>
          <w:sz w:val="20"/>
          <w:szCs w:val="20"/>
          <w:color w:val="auto"/>
        </w:rPr>
      </w:pPr>
      <w:r>
        <w:rPr>
          <w:rFonts w:ascii="Courier New" w:cs="Courier New" w:eastAsia="Courier New" w:hAnsi="Courier New"/>
          <w:sz w:val="15"/>
          <w:szCs w:val="15"/>
          <w:color w:val="auto"/>
        </w:rPr>
        <w:t>Add:</w:t>
      </w:r>
    </w:p>
    <w:p>
      <w:pPr>
        <w:ind w:left="180"/>
        <w:spacing w:after="0"/>
        <w:tabs>
          <w:tab w:leader="none" w:pos="6200" w:val="left"/>
        </w:tabs>
        <w:rPr>
          <w:sz w:val="20"/>
          <w:szCs w:val="20"/>
          <w:color w:val="auto"/>
        </w:rPr>
      </w:pPr>
      <w:r>
        <w:rPr>
          <w:rFonts w:ascii="Courier New" w:cs="Courier New" w:eastAsia="Courier New" w:hAnsi="Courier New"/>
          <w:sz w:val="15"/>
          <w:szCs w:val="15"/>
          <w:color w:val="auto"/>
        </w:rPr>
        <w:t>Cumulative effect of change in accounting principle.........</w:t>
      </w:r>
      <w:r>
        <w:rPr>
          <w:sz w:val="20"/>
          <w:szCs w:val="20"/>
          <w:color w:val="auto"/>
        </w:rPr>
        <w:tab/>
      </w:r>
      <w:r>
        <w:rPr>
          <w:rFonts w:ascii="Courier New" w:cs="Courier New" w:eastAsia="Courier New" w:hAnsi="Courier New"/>
          <w:sz w:val="12"/>
          <w:szCs w:val="12"/>
          <w:color w:val="auto"/>
        </w:rPr>
        <w:t>-</w:t>
      </w:r>
    </w:p>
    <w:p>
      <w:pPr>
        <w:ind w:left="180"/>
        <w:spacing w:after="0"/>
        <w:tabs>
          <w:tab w:leader="none" w:pos="6200" w:val="left"/>
        </w:tabs>
        <w:rPr>
          <w:sz w:val="20"/>
          <w:szCs w:val="20"/>
          <w:color w:val="auto"/>
        </w:rPr>
      </w:pPr>
      <w:r>
        <w:rPr>
          <w:rFonts w:ascii="Courier New" w:cs="Courier New" w:eastAsia="Courier New" w:hAnsi="Courier New"/>
          <w:sz w:val="15"/>
          <w:szCs w:val="15"/>
          <w:color w:val="auto"/>
        </w:rPr>
        <w:t>Restructuring and other expense ............................</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5"/>
          <w:szCs w:val="15"/>
          <w:color w:val="auto"/>
        </w:rPr>
        <w:t>Adjusted net earnings.........................................$</w:t>
      </w:r>
      <w:r>
        <w:rPr>
          <w:sz w:val="20"/>
          <w:szCs w:val="20"/>
          <w:color w:val="auto"/>
        </w:rPr>
        <w:tab/>
      </w:r>
      <w:r>
        <w:rPr>
          <w:rFonts w:ascii="Courier New" w:cs="Courier New" w:eastAsia="Courier New" w:hAnsi="Courier New"/>
          <w:sz w:val="14"/>
          <w:szCs w:val="14"/>
          <w:color w:val="auto"/>
        </w:rPr>
        <w:t>6,981</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spacing w:after="0"/>
        <w:tabs>
          <w:tab w:leader="none" w:pos="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0.54</w:t>
      </w:r>
    </w:p>
    <w:p>
      <w:pPr>
        <w:spacing w:after="0" w:line="166"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5"/>
          <w:szCs w:val="15"/>
          <w:color w:val="auto"/>
        </w:rPr>
        <w:t>-</w:t>
      </w:r>
    </w:p>
    <w:p>
      <w:pPr>
        <w:jc w:val="right"/>
        <w:ind w:right="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both"/>
        <w:spacing w:after="0"/>
        <w:tabs>
          <w:tab w:leader="none" w:pos="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0.54</w:t>
      </w:r>
    </w:p>
    <w:p>
      <w:pPr>
        <w:spacing w:after="0" w:line="5"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$(29,735)</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24,614</w:t>
      </w:r>
    </w:p>
    <w:p>
      <w:pPr>
        <w:ind w:left="280"/>
        <w:spacing w:after="0" w:line="237" w:lineRule="auto"/>
        <w:rPr>
          <w:sz w:val="20"/>
          <w:szCs w:val="20"/>
          <w:color w:val="auto"/>
        </w:rPr>
      </w:pPr>
      <w:r>
        <w:rPr>
          <w:rFonts w:ascii="Courier New" w:cs="Courier New" w:eastAsia="Courier New" w:hAnsi="Courier New"/>
          <w:sz w:val="15"/>
          <w:szCs w:val="15"/>
          <w:color w:val="auto"/>
        </w:rPr>
        <w:t>6,668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1,547</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(2.38)</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1.97</w:t>
      </w:r>
    </w:p>
    <w:p>
      <w:pPr>
        <w:ind w:left="520"/>
        <w:spacing w:after="0" w:line="237" w:lineRule="auto"/>
        <w:rPr>
          <w:sz w:val="20"/>
          <w:szCs w:val="20"/>
          <w:color w:val="auto"/>
        </w:rPr>
      </w:pPr>
      <w:r>
        <w:rPr>
          <w:rFonts w:ascii="Courier New" w:cs="Courier New" w:eastAsia="Courier New" w:hAnsi="Courier New"/>
          <w:sz w:val="15"/>
          <w:szCs w:val="15"/>
          <w:color w:val="auto"/>
        </w:rPr>
        <w:t>0.53</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0.12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6300" w:space="540"/>
            <w:col w:w="1100" w:space="720"/>
            <w:col w:w="960" w:space="720"/>
            <w:col w:w="1200"/>
          </w:cols>
          <w:pgMar w:left="220" w:top="1440" w:right="139" w:bottom="517"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3" w:lineRule="exact"/>
        <w:rPr>
          <w:sz w:val="20"/>
          <w:szCs w:val="20"/>
          <w:color w:val="auto"/>
        </w:rPr>
      </w:pPr>
    </w:p>
    <w:p>
      <w:pPr>
        <w:ind w:right="4540"/>
        <w:spacing w:after="0" w:line="237" w:lineRule="auto"/>
        <w:rPr>
          <w:sz w:val="20"/>
          <w:szCs w:val="20"/>
          <w:color w:val="auto"/>
        </w:rPr>
      </w:pPr>
      <w:r>
        <w:rPr>
          <w:rFonts w:ascii="Courier New" w:cs="Courier New" w:eastAsia="Courier New" w:hAnsi="Courier New"/>
          <w:sz w:val="15"/>
          <w:szCs w:val="15"/>
          <w:color w:val="auto"/>
        </w:rPr>
        <w:t>Worldwide consolidated net sales for the first quarter of fiscal 2003 were up 6.5 percent compared to last year's first quarter due primarily to acceptance of new professional segment product introductions as well as lower field inventory levels and a stronger order position entering fiscal 2003 as compared to entering fiscal 2002. Also, early season shipments of Toro walk power mowers and initial stocking shipments of the new TimeCutter Z mower in the residential segment contributed to the sales growth. However, distribution segment sales were lower compared to last year's first quarter due to the sale of a distribution company during the first quarter of fiscal 2003, which also contributed to the favorable change in the other segment due to the sales elimination decrease. International sales were up 6.9 percent compared to last year driven primarily by new product introductions and favorable currency exchange rates. Disregarding currency effects, international sales increased 3.3 percent.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Gross profit for the first quarter of fiscal 2003 increased 10.8 percent compared to last year's first quarter. As a percentage of net sales, gross profit for the first quarter of fiscal 2003 was 35.7 percent compared to 34.3 percent in the first quarter of fiscal 2002. The increase was the result of the following factors: (i) cost reduction efforts that included moving production to lower cost facilities; (ii) profit improvement strategies as part of our ongoing "5 by Five" initiatives; (iii) increased sales of higher-margin products; (iv) lower manufacturing costs from increased plant utilization as a result of reduced excess manufacturing capacity, mainly related to the closure of two facilities and increased demand for our products; and (v) favorable foreign currency exchange rates compared to the U.S. dollar.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Selling, general, and administrative expense (SG&amp;A) for the first quarter of fiscal 2003 increased 7.7 percent compared to the same period last year. SG&amp;A as a percentage of net sales was 32.4 percent in the first quarter of fiscal 2003 compared to 32.0 percent in the first quarter of fiscal 2002. The increase was due mainly to: (i) higher incentive compensation expense; (ii) increased warranty costs for known product modifications; and (iii) higher information service spending.</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40"/>
          </w:cols>
          <w:pgMar w:left="220" w:top="1440" w:right="139" w:bottom="517"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Restructuring and Other Expense</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In the first quarter of fiscal 2003, there were no charges for restructuring and other expense. In the first quarter of fiscal 2002, we incurred $10.0 million of restructuring and other expense. The closure of two manufacturing facilities resulted in a pre-tax restructuring and other expense charge of $8.0 million. In addition, we also incurred a $2.0 million charge for asset impairment related to write-offs of patents and non-compete agreements in the agricultural irrigation business. Based on our evaluation of the recoverability of some acquired intangible assets, we determined that the acquired patents and non-compete agreements in the agricultural irrigation business had no future value due to changes in this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760"/>
        <w:spacing w:after="0" w:line="235" w:lineRule="auto"/>
        <w:rPr>
          <w:sz w:val="20"/>
          <w:szCs w:val="20"/>
          <w:color w:val="auto"/>
        </w:rPr>
      </w:pPr>
      <w:r>
        <w:rPr>
          <w:rFonts w:ascii="Courier New" w:cs="Courier New" w:eastAsia="Courier New" w:hAnsi="Courier New"/>
          <w:sz w:val="15"/>
          <w:szCs w:val="15"/>
          <w:color w:val="auto"/>
        </w:rPr>
        <w:t>Interest expense for the first quarter of fiscal 2003 decreased 23.1 percent compared to the first quarter of fiscal 2002, due primarily to lower levels of short-term debt.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jc w:val="both"/>
        <w:ind w:right="3600"/>
        <w:spacing w:after="0" w:line="235" w:lineRule="auto"/>
        <w:rPr>
          <w:sz w:val="20"/>
          <w:szCs w:val="20"/>
          <w:color w:val="auto"/>
        </w:rPr>
      </w:pPr>
      <w:r>
        <w:rPr>
          <w:rFonts w:ascii="Courier New" w:cs="Courier New" w:eastAsia="Courier New" w:hAnsi="Courier New"/>
          <w:sz w:val="15"/>
          <w:szCs w:val="15"/>
          <w:color w:val="auto"/>
        </w:rPr>
        <w:t>Other income, net for the first quarter of fiscal 2003 was $4.8 million compared to $1.3 million in the same period last year. The increase was due primarily to a gain from a legal settlement.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The effective tax rate for the first quarter of fiscal 2003 remained unchanged at 33.0 percent compared to the first quarter of fiscal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73"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In connection with the adoption of SFAS No. 142 in the first quarter of fiscal 2002, we performed an evaluation of goodwill. The results of the evaluation indicated that goodwill related to the agricultural irrigation reporting unit was impaired. The performance of this reporting unit has not met our original expectations, mainly due to lower than anticipated growth rates in the drip line market. This is a result of lower industry-wide pricing and margins on product sales. We measured the amount of impairment based on a comparison of the fair value of the reporting unit to its carrying value. Accordingly, we recognized a $24.6 million non-cash charge, net of income tax benefit of $0.5 million, as a cumulative effect of change in accounting principle.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SEGMENTS</w:t>
      </w:r>
    </w:p>
    <w:p>
      <w:pPr>
        <w:spacing w:after="0" w:line="173"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As described previously, 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net sales by segment: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53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260" w:type="dxa"/>
            <w:vAlign w:val="bottom"/>
          </w:tcPr>
          <w:p>
            <w:pPr>
              <w:jc w:val="right"/>
              <w:ind w:right="324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January 31,</w:t>
            </w:r>
          </w:p>
        </w:tc>
        <w:tc>
          <w:tcPr>
            <w:tcW w:w="4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February 1,</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Change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526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w w:val="97"/>
              </w:rPr>
              <w:t>Professional................................................</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193,444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175,765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17,679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Residential.................................................</w:t>
            </w:r>
          </w:p>
        </w:tc>
        <w:tc>
          <w:tcPr>
            <w:tcW w:w="8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94,665</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92,216</w:t>
            </w:r>
          </w:p>
        </w:tc>
        <w:tc>
          <w:tcPr>
            <w:tcW w:w="3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Distribution................................................</w:t>
            </w:r>
          </w:p>
        </w:tc>
        <w:tc>
          <w:tcPr>
            <w:tcW w:w="8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18,600</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24,229</w:t>
            </w:r>
          </w:p>
        </w:tc>
        <w:tc>
          <w:tcPr>
            <w:tcW w:w="3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(5,629)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(10,747)</w:t>
            </w:r>
          </w:p>
        </w:tc>
        <w:tc>
          <w:tcPr>
            <w:tcW w:w="4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(14,295)</w:t>
            </w:r>
          </w:p>
        </w:tc>
        <w:tc>
          <w:tcPr>
            <w:tcW w:w="3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526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295,962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277,915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18,047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5260" w:type="dxa"/>
            <w:vAlign w:val="bottom"/>
          </w:tcPr>
          <w:p>
            <w:pPr>
              <w:spacing w:after="0"/>
              <w:rPr>
                <w:sz w:val="14"/>
                <w:szCs w:val="14"/>
                <w:color w:val="auto"/>
              </w:rPr>
            </w:pP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w w:val="97"/>
              </w:rPr>
              <w:t>* Includes international sales of:..........................</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67,456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63,095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600"/>
          </w:cols>
          <w:pgMar w:left="220" w:top="1122" w:right="107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Professional</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Net Sales. Worldwide net sales for the professional segment in the first quarter of fiscal 2003 were up 10.1 percent compared to the first quarter of fiscal 2002. Worldwide shipments of most product lines were up due to the success of introducing new products as well as lower field inventory levels and a stronger order position entering fiscal 2003 as compared to entering fiscal 2002.</w:t>
      </w:r>
    </w:p>
    <w:p>
      <w:pPr>
        <w:spacing w:after="0" w:line="16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Operating Earnings. Adjusted to exclude restructuring and other expense for comparable purposes, operating earnings for the professional segment were $27.8 million in the first quarter of fiscal 2003 compared to $19.0 million in the first quarter of fiscal 2002, an increase of 45.8 percent. Expressed as a percentage of net sales, professional segment operating margins increased to</w:t>
      </w:r>
    </w:p>
    <w:p>
      <w:pPr>
        <w:spacing w:after="0" w:line="2"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14.3 percent compared to 10.8 percent in the first quarter of fiscal 2002. The increase was due mainly to higher gross margins as a result of the same factors discussed previously in the Gross Profit section. In addition, a gain resulting from a legal settlement also contributed to the profit improvement.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Sales. Worldwide net sales for the residential segment in the first quarter of fiscal 2003 were up 2.7 percent compared to the first quarter of fiscal 2002. Shipments of Toro walk power mowers led this increase due to the continued success of the moderate-priced line of walk power mowers. In addition, some walk power mower shipments were accelerated into the first quarter this year to support a retail promotional program that began in February. Sales of Pope retail irrigation products sold in Australia also increased due to dry weather conditions. Riding product sales were also up due to initial stocking orders for the new TimeCutter Z mower. However, shipments of other riding product lines were down due to continued strong competition and consumer preference for lower-priced units. Electric blower product sales were also down due to the cold fall weather in most markets this year that reduced retail demand compared to the warm fall weather last year that extended the selling season into the first quarter of fiscal 2002. Snowthrower product shipments were also lower compared to last year's first quarter due to lack of snowfall in the midwestern market.</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Operating Earnings. Operating earnings for the residential segment increased 12.4 percent in the first quarter of fiscal 2003 compared to the first quarter of fiscal 2002. Expressed as a percentage of net sales, residential segment operating margins increased to 9.1 percent compared to 8.4 percent in the first quarter of fiscal 2002. The increase was due mainly to higher gross margins as a result of the same factors discussed previously in the Gross Profit section. Somewhat offsetting the profit improvement were slightly higher SG&amp;A costs.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Sales. Worldwide net sales for the distribution segment in the first quarter of fiscal 2003 were down 23.2 percent compared to the first quarter of fiscal 2002. This sales decline was primarily the result of selling one of the previously owned distributorships effective December 31, 2002. In addition, sales at the other company-owned distributors were down for the quarter comparison due to continued weak economic conditions and timing of golf projects. In the second quarter of fiscal 2003, Toro expects to purchase the assets of a southeastern-based distributor.</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Losses. Operating losses for the distribution segment were $3.4 million in the first quarter of fiscal 2003 compared to $2.1 million in the first quarter of fiscal 2002. This loss increase was due to lower sales volumes as well as selling one of the previously owned distributorships effective December 31,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Sales. Net sales for the other segment include the elimination of sales from the professional and residential segments to the distribution segment. Professional and residential segment shipments to the company-owned distribution companies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decreased 24.8 percent, reflecting lower amount of shipments to the distribution companies mainly as a result of selling one of the previously owned distributorships as discussed above.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22" w:right="1440" w:bottom="1440" w:gutter="0" w:footer="0" w:header="0"/>
        </w:sectPr>
      </w:pPr>
    </w:p>
    <w:bookmarkStart w:id="14" w:name="page15"/>
    <w:bookmarkEnd w:id="14"/>
    <w:p>
      <w:pPr>
        <w:spacing w:after="0" w:line="2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Operating Losses. Operating losses for the other segment were up slightly compared to the first quarter of fiscal 2002. This loss increase was due to higher incentive compensation expenses and information service spending somewhat offset by lower interest expense.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44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FINANCIAL POSITION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first quarter of fiscal 2003, emphasis continued on improving asset management and reducing average short-term debt. Average working capital for the first three months of fiscal 2003 was $296.7 million compared to $264.4 million for the first three months of fiscal 2002. The increase of 12.2 percent was due to lower average short-term debt somewhat offset by lower average inventory and higher payables and other accrued liabilities. Based on the last twelve months ending January 31, 2003, inventory turns were up 9.9 percent compared to the twelve months ending February 1, 2002. This improvement was the result of lower average inventory levels from improved asset management. In addition, average days outstanding for receivables improved to 84 days based on the last twelve months ending January 31, 2003 compared to 88 days based on the last twelve months ending February 1, 2002. This decrease was due to a higher proportion of sales that have shorter payment terms.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businesses are working capital intensive and require funding for purchases of production and replacement parts inventory, capital expenditures, expansion and upgrading of existing facilities, as well as for financing receivables from customers. We believe that cash generated from operations, together with our fixed rate long-term debt, short- and medium-term bank credit lines, and cash on hand, provide us with adequate liquidity to meet our operating requirements. We believe that the combination of funds available through existing or anticipated financing arrangements, coupled with forecasted cash flows, will provide the necessary capital resources for our anticipated working capital, capital additions, long-term debt repayments, and stock repurchases for the next twelve months.</w:t>
      </w:r>
    </w:p>
    <w:p>
      <w:pPr>
        <w:spacing w:after="0" w:line="18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Cash Flow. Cash used in operating activities for the first three months of fiscal 2003 was 4.2 percent lower than the first three months in fiscal 2002, due primarily to higher earnings before non-cash expenses and higher levels of payables and accruals compared to the prior year's comparable period due to the timing of some profit sharing and incentive compensation payments. Cash used in investing activities was slightly lower compared to the first quarter of fiscal 2002. Purchases of property, plant, and equipment were higher for the first three months of fiscal 2003 compared to the same time period in fiscal 2002, which was offset by proceeds from an investment and sale of a previously owned distribution company. Cash provided by financing activities was lower by $53.8 million because the company borrowed less short-term debt during the first quarter of fiscal 2003 compared to the first quarter of fiscal 2002.</w:t>
      </w:r>
    </w:p>
    <w:p>
      <w:pPr>
        <w:spacing w:after="0" w:line="16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Credit Lines and Other Capital Resources. Under Working Capital Agreements with various banks, our U.S. seasonal working capital requirements are funded with a $175.0 million medium-term committed unsecured bank credit line, which expires in February 2005. During the first quarter of fiscal 2003, we also had a $75.0 million short-term committed unsecured credit line that expired in February 2003. During the second quarter of fiscal 2003, we expect to replace the expired agreement with a new secured line of credit that is expected to reduce our interest costs. Under these Working Capital Agreements, we can also borrow in currencies other than U.S. dollars. Interest expense on these credit lines is based on LIBOR plus a basis point spread defined in the Working Capital Agreements. In addition, our non-U.S. operations and a domestic subsidiary also maintain unsecured short-term lines of credit of approximately $9 million. These facilities bear interest at various rates depending on the rates in their respective countries of operation. We also have a letter of credit subfacility as part of the above Working Capital Agreements. Average borrowings were $10.0 million in the first quarter of fiscal 2003 compared to $76.2 million in the first quarter of fiscal 2002. The decrease in average short-term debt resulted primarily from the use of cash earnings to pay for working capital requirements and higher levels of payables and accruals. Our business is seasonal, with peak borrowing generally occurring between February and May each year.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1122" w:right="1440" w:bottom="1440" w:gutter="0" w:footer="0" w:header="0"/>
        </w:sectPr>
      </w:pPr>
    </w:p>
    <w:bookmarkStart w:id="16" w:name="page17"/>
    <w:bookmarkEnd w:id="16"/>
    <w:p>
      <w:pPr>
        <w:ind w:right="3319"/>
        <w:spacing w:after="0" w:line="255" w:lineRule="auto"/>
        <w:rPr>
          <w:sz w:val="20"/>
          <w:szCs w:val="20"/>
          <w:color w:val="auto"/>
        </w:rPr>
      </w:pPr>
      <w:r>
        <w:rPr>
          <w:rFonts w:ascii="Courier New" w:cs="Courier New" w:eastAsia="Courier New" w:hAnsi="Courier New"/>
          <w:sz w:val="14"/>
          <w:szCs w:val="14"/>
          <w:color w:val="auto"/>
        </w:rPr>
        <w:t>Significant financial covenants in the Working Capital Agreements are interest coverage and debt to total capitalization ratios. The company was in compliance with all covenants related to the Working Capital Agreements as of January 31, 2003. If the company was out of compliance with any debt covenant required by the Working Capital Agreements, the banks could terminate their commitments unless Toro could negotiate a covenant waiver from the banks. In addition, the company's long-term public notes and debentures could become due and payable if the company was unable to obtain a covenant waiver or refinance its short- and medium-term debt under its Working Capital Agreements. If the company's credit rating falls below investment grade, the interest rate it currently pays on outstanding debt on the Working Capital Agreements would rise, but the credit commitments could not be cancelled by the banks based only on a ratings downgrade. Our debt rating for long-term unsecured senior, non-credit enhanced debt has been unchanged for the first quarter of fiscal 2003 by Standard and Poor's Ratings Group at BBB- and by Moody's Investors Service at Baa3.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are subject to the effects of inflation and changing prices. In our opinion, changes in net sales and net earnings that have resulted from inflation and changing prices have not been material during the periods presented. However, there is no assurance that inflation will not materially affect us in the future. We attempt to deal with these inflationary pressures by actively pursuing internal cost reduction efforts and introducing slight price increases.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Historically, net sales and earnings for the first quarter of our fiscal year are lower than other quarters, so that results for the first quarter of fiscal 2003 are not necessarily an indicator of spring season sales trends. We anticipate good growth for the professional segment as we introduce new products. We also expect growth in fiscal 2003 for the residential segment driven primarily by the continued success of the new line of moderate-priced Toro brand walk power mowers. In addition, continued benefits from "5 by Five" programs are expected to improve fiscal 2003 results. We expect an improvement in sales growth in fiscal 2003 compared to the sales growth in fiscal 2002, and low double-digit diluted earnings per share growth before one-time transactions in fiscal 2003 over fiscal 2002, while keeping a cautionary eye on the challenging and uncertain world economies and geopolitical conditions.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Safe Harbor Statement. This Quarterly Report on Form 10-Q contains not only historical information, but also forward-looking statements within the meaning of Section 27A of the Securities Act of 1933 and Section 21E of the Securities Exchange Act of 1934. Statements that are not historical are forward-looking and reflect expectations about our future performance. In addition, forward-looking statements may be made orally or in press releases, conferences, reports, on our worldwide web site, or otherwise, in the future by or on our behalf. When used by or on our behalf, the words "expect", "looking ahead", "anticipate", "estimate", "believe", "could", "will", "may", "should", "intend", and similar expressions generally identify forward-looking statements.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Forward-looking statements involve risks and uncertainties. These uncertainties include factors that affect all businesses operating in a global market as well as matters specific to us. The following are some of the factors that could cause our financial condition to differ materially from what we have anticipated in our forward-looking statements:</w:t>
      </w:r>
    </w:p>
    <w:p>
      <w:pPr>
        <w:spacing w:after="0" w:line="174" w:lineRule="exact"/>
        <w:rPr>
          <w:sz w:val="20"/>
          <w:szCs w:val="20"/>
          <w:color w:val="auto"/>
        </w:rPr>
      </w:pPr>
    </w:p>
    <w:p>
      <w:pPr>
        <w:ind w:left="280" w:right="3319" w:hanging="270"/>
        <w:spacing w:after="0" w:line="254" w:lineRule="auto"/>
        <w:tabs>
          <w:tab w:leader="none" w:pos="19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Continued threat of terrorist acts and war, which may result in heightened security and higher costs for import and export shipments of components or finished goods, and contraction of the U.S. and worldwide economies.</w:t>
      </w:r>
    </w:p>
    <w:p>
      <w:pPr>
        <w:spacing w:after="0" w:line="1" w:lineRule="exact"/>
        <w:rPr>
          <w:rFonts w:ascii="Courier New" w:cs="Courier New" w:eastAsia="Courier New" w:hAnsi="Courier New"/>
          <w:sz w:val="14"/>
          <w:szCs w:val="14"/>
          <w:color w:val="auto"/>
        </w:rPr>
      </w:pPr>
    </w:p>
    <w:p>
      <w:pPr>
        <w:ind w:left="280" w:right="3239" w:hanging="270"/>
        <w:spacing w:after="0" w:line="235" w:lineRule="auto"/>
        <w:tabs>
          <w:tab w:leader="none" w:pos="19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in global and domestic economies, including but not limited to further slowing in growth, slow down in home sales, rise in interest rates and oil costs, inflation, unemployment, and weaker consumer confidence, which could have a negative impact on our financial results.</w:t>
      </w:r>
    </w:p>
    <w:p>
      <w:pPr>
        <w:spacing w:after="0" w:line="7" w:lineRule="exact"/>
        <w:rPr>
          <w:rFonts w:ascii="Courier New" w:cs="Courier New" w:eastAsia="Courier New" w:hAnsi="Courier New"/>
          <w:sz w:val="15"/>
          <w:szCs w:val="15"/>
          <w:color w:val="auto"/>
        </w:rPr>
      </w:pPr>
    </w:p>
    <w:p>
      <w:pPr>
        <w:ind w:left="280" w:right="3239" w:hanging="270"/>
        <w:spacing w:after="0" w:line="235" w:lineRule="auto"/>
        <w:tabs>
          <w:tab w:leader="none" w:pos="19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Increased competition, including competitive pricing pressures, new product introductions, and financing programs offered by both domestic and foreign companies.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Weather conditions that reduce demand for our products.</w:t>
      </w:r>
    </w:p>
    <w:p>
      <w:pPr>
        <w:spacing w:after="0" w:line="5" w:lineRule="exact"/>
        <w:rPr>
          <w:rFonts w:ascii="Courier New" w:cs="Courier New" w:eastAsia="Courier New" w:hAnsi="Courier New"/>
          <w:sz w:val="15"/>
          <w:szCs w:val="15"/>
          <w:color w:val="auto"/>
        </w:rPr>
      </w:pPr>
    </w:p>
    <w:p>
      <w:pPr>
        <w:ind w:left="280" w:right="3499" w:hanging="270"/>
        <w:spacing w:after="0" w:line="254" w:lineRule="auto"/>
        <w:tabs>
          <w:tab w:leader="none" w:pos="19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Ability to acquire, develop, and integrate new businesses and manage alliances successfully, both of which are important to our revenue growth.</w:t>
      </w:r>
    </w:p>
    <w:p>
      <w:pPr>
        <w:ind w:left="280" w:right="3059" w:hanging="270"/>
        <w:spacing w:after="0" w:line="234" w:lineRule="auto"/>
        <w:tabs>
          <w:tab w:leader="none" w:pos="19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ability to achieve sales growth and low double-digit diluted earnings per share growth in fiscal 2003.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7" w:name="page18"/>
    <w:bookmarkEnd w:id="17"/>
    <w:p>
      <w:pPr>
        <w:ind w:left="280" w:right="3239" w:hanging="270"/>
        <w:spacing w:after="0" w:line="234"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ability to achieve goals of the "5 by Five" profit improvement program, which is intended to improve after-tax return on sales.</w:t>
      </w:r>
    </w:p>
    <w:p>
      <w:pPr>
        <w:spacing w:after="0" w:line="5" w:lineRule="exact"/>
        <w:rPr>
          <w:rFonts w:ascii="Courier New" w:cs="Courier New" w:eastAsia="Courier New" w:hAnsi="Courier New"/>
          <w:sz w:val="15"/>
          <w:szCs w:val="15"/>
          <w:color w:val="auto"/>
        </w:rPr>
      </w:pPr>
    </w:p>
    <w:p>
      <w:pPr>
        <w:ind w:left="280" w:right="323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7" w:lineRule="exact"/>
        <w:rPr>
          <w:rFonts w:ascii="Courier New" w:cs="Courier New" w:eastAsia="Courier New" w:hAnsi="Courier New"/>
          <w:sz w:val="15"/>
          <w:szCs w:val="15"/>
          <w:color w:val="auto"/>
        </w:rPr>
      </w:pPr>
    </w:p>
    <w:p>
      <w:pPr>
        <w:ind w:left="280" w:right="339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Unforeseen inventory adjustments or changes in purchasing patterns by our customers, which could reduce sales and necessitate lowering manufacturing volumes, or increase inventory above acceptable levels.</w:t>
      </w:r>
    </w:p>
    <w:p>
      <w:pPr>
        <w:spacing w:after="0" w:line="5" w:lineRule="exact"/>
        <w:rPr>
          <w:rFonts w:ascii="Courier New" w:cs="Courier New" w:eastAsia="Courier New" w:hAnsi="Courier New"/>
          <w:sz w:val="15"/>
          <w:szCs w:val="15"/>
          <w:color w:val="auto"/>
        </w:rPr>
      </w:pPr>
    </w:p>
    <w:p>
      <w:pPr>
        <w:ind w:left="280" w:right="3059" w:hanging="270"/>
        <w:spacing w:after="0" w:line="234"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Market acceptance of existing products based on our commitment to develop and improve existing product lines.</w:t>
      </w:r>
    </w:p>
    <w:p>
      <w:pPr>
        <w:spacing w:after="0" w:line="5" w:lineRule="exact"/>
        <w:rPr>
          <w:rFonts w:ascii="Courier New" w:cs="Courier New" w:eastAsia="Courier New" w:hAnsi="Courier New"/>
          <w:sz w:val="15"/>
          <w:szCs w:val="15"/>
          <w:color w:val="auto"/>
        </w:rPr>
      </w:pPr>
    </w:p>
    <w:p>
      <w:pPr>
        <w:ind w:left="280" w:right="313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Unforeseen product quality problems in the development and production of new and existing products, which could result in loss of market share and higher warranty expense.</w:t>
      </w:r>
    </w:p>
    <w:p>
      <w:pPr>
        <w:spacing w:after="0" w:line="5" w:lineRule="exact"/>
        <w:rPr>
          <w:rFonts w:ascii="Courier New" w:cs="Courier New" w:eastAsia="Courier New" w:hAnsi="Courier New"/>
          <w:sz w:val="15"/>
          <w:szCs w:val="15"/>
          <w:color w:val="auto"/>
        </w:rPr>
      </w:pPr>
    </w:p>
    <w:p>
      <w:pPr>
        <w:ind w:left="280" w:right="339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Degree of success in restructuring and plant consolidation, including our ability to cost-effectively expand existing, open new, move production between, and close manufacturing facilities.</w:t>
      </w:r>
    </w:p>
    <w:p>
      <w:pPr>
        <w:spacing w:after="0" w:line="5" w:lineRule="exact"/>
        <w:rPr>
          <w:rFonts w:ascii="Courier New" w:cs="Courier New" w:eastAsia="Courier New" w:hAnsi="Courier New"/>
          <w:sz w:val="15"/>
          <w:szCs w:val="15"/>
          <w:color w:val="auto"/>
        </w:rPr>
      </w:pPr>
    </w:p>
    <w:p>
      <w:pPr>
        <w:ind w:left="280" w:right="3239" w:hanging="270"/>
        <w:spacing w:after="0" w:line="234"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Continued slow growth rate in new golf course construction or existing golf course renovations.</w:t>
      </w:r>
    </w:p>
    <w:p>
      <w:pPr>
        <w:spacing w:after="0" w:line="5" w:lineRule="exact"/>
        <w:rPr>
          <w:rFonts w:ascii="Courier New" w:cs="Courier New" w:eastAsia="Courier New" w:hAnsi="Courier New"/>
          <w:sz w:val="15"/>
          <w:szCs w:val="15"/>
          <w:color w:val="auto"/>
        </w:rPr>
      </w:pPr>
    </w:p>
    <w:p>
      <w:pPr>
        <w:ind w:left="280" w:right="339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Changing buying patterns, including but not limited to, a trend away from purchases at dealer outlets to price and value sensitive purchases at hardware retailers, home centers, and mass retailers.</w:t>
      </w:r>
    </w:p>
    <w:p>
      <w:pPr>
        <w:spacing w:after="0" w:line="5" w:lineRule="exact"/>
        <w:rPr>
          <w:rFonts w:ascii="Courier New" w:cs="Courier New" w:eastAsia="Courier New" w:hAnsi="Courier New"/>
          <w:sz w:val="15"/>
          <w:szCs w:val="15"/>
          <w:color w:val="auto"/>
        </w:rPr>
      </w:pPr>
    </w:p>
    <w:p>
      <w:pPr>
        <w:ind w:left="280" w:right="3499" w:hanging="270"/>
        <w:spacing w:after="0" w:line="234"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Increased dependence on The Home Depot as a customer for the residential segment.</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Elimination or reduction of shelf space for our products at retailers.</w:t>
      </w:r>
    </w:p>
    <w:p>
      <w:pPr>
        <w:spacing w:after="0" w:line="5" w:lineRule="exact"/>
        <w:rPr>
          <w:rFonts w:ascii="Courier New" w:cs="Courier New" w:eastAsia="Courier New" w:hAnsi="Courier New"/>
          <w:sz w:val="15"/>
          <w:szCs w:val="15"/>
          <w:color w:val="auto"/>
        </w:rPr>
      </w:pPr>
    </w:p>
    <w:p>
      <w:pPr>
        <w:ind w:left="280" w:right="3139" w:hanging="270"/>
        <w:spacing w:after="0" w:line="234"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Reduced government spending for grounds maintenance equipment due to reduced tax revenue and tighter government budgets.</w:t>
      </w:r>
    </w:p>
    <w:p>
      <w:pPr>
        <w:spacing w:after="0" w:line="5" w:lineRule="exact"/>
        <w:rPr>
          <w:rFonts w:ascii="Courier New" w:cs="Courier New" w:eastAsia="Courier New" w:hAnsi="Courier New"/>
          <w:sz w:val="15"/>
          <w:szCs w:val="15"/>
          <w:color w:val="auto"/>
        </w:rPr>
      </w:pPr>
    </w:p>
    <w:p>
      <w:pPr>
        <w:ind w:left="280" w:right="313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viability of some distributors and dealers, changes in distributor ownership, success in partnering with new dealers, and our customers' ability to pay amounts owed to us.</w:t>
      </w:r>
    </w:p>
    <w:p>
      <w:pPr>
        <w:spacing w:after="0" w:line="5" w:lineRule="exact"/>
        <w:rPr>
          <w:rFonts w:ascii="Courier New" w:cs="Courier New" w:eastAsia="Courier New" w:hAnsi="Courier New"/>
          <w:sz w:val="15"/>
          <w:szCs w:val="15"/>
          <w:color w:val="auto"/>
        </w:rPr>
      </w:pPr>
    </w:p>
    <w:p>
      <w:pPr>
        <w:ind w:left="280" w:right="3239" w:hanging="270"/>
        <w:spacing w:after="0" w:line="254" w:lineRule="auto"/>
        <w:tabs>
          <w:tab w:leader="none" w:pos="19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Changes in laws and regulations, including changes in accounting standards; taxation changes, including tax rate changes, new tax laws, revised tax law interpretations, or the repeal of the foreign export benefit; imposition of new tariffs on commodities such as steel; and environmental laws.</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in cost of raw materials, including higher oil prices.</w:t>
      </w:r>
    </w:p>
    <w:p>
      <w:pPr>
        <w:spacing w:after="0" w:line="5" w:lineRule="exact"/>
        <w:rPr>
          <w:rFonts w:ascii="Courier New" w:cs="Courier New" w:eastAsia="Courier New" w:hAnsi="Courier New"/>
          <w:sz w:val="15"/>
          <w:szCs w:val="15"/>
          <w:color w:val="auto"/>
        </w:rPr>
      </w:pPr>
    </w:p>
    <w:p>
      <w:pPr>
        <w:ind w:left="280" w:right="3239" w:hanging="270"/>
        <w:spacing w:after="0" w:line="254" w:lineRule="auto"/>
        <w:tabs>
          <w:tab w:leader="none" w:pos="19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effects of litigation, including threatened or pending litigation, on matters relating to patent infringement, employment, and commercial disputes.</w:t>
      </w:r>
    </w:p>
    <w:p>
      <w:pPr>
        <w:ind w:left="280" w:right="3139" w:hanging="270"/>
        <w:spacing w:after="0" w:line="235"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Adverse changes in currency exchange rates or raw material commodity prices, and the costs we incur in providing price support to international customers and suppliers.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wish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8" w:name="page19"/>
    <w:bookmarkEnd w:id="18"/>
    <w:p>
      <w:pPr>
        <w:jc w:val="center"/>
        <w:ind w:right="3219"/>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of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Foreign Currency Exchange Rate Risk.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quarter ended January 31, 2003, the amount of losses reclassified to earnings for cash flow hedges was $1.0 million.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foreign currency exchange contracts held by us have maturity dates in fiscal 2003.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comprehensive income (loss), and fair value impact of derivative instruments in other income, net as of January 31, 2003 were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VALUE IN</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ACCUMULATED</w:t>
            </w: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FAIR</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CONTRACTED</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NOTIONAL</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IMPACT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(EXCEPT AVERAGE CONTRACTED RATE)</w:t>
            </w:r>
          </w:p>
        </w:tc>
        <w:tc>
          <w:tcPr>
            <w:tcW w:w="17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RATE</w:t>
            </w:r>
          </w:p>
        </w:tc>
        <w:tc>
          <w:tcPr>
            <w:tcW w:w="10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GAIN</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(LOSS)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Buy US dollar/Sell Australian dollar</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0.5672</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$ 25,510.4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(141.8)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(625.5)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Canadian dollar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1.5662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6,113.4</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Euro</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1.0153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49,142.2</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(1,391.1)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Mexican peso</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10.8800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725.6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Australian dollar/Sell US dollar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0.5899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1,563.1</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British pound/Sell US dollar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1.4572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Euro/Sell US dollar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1.0860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1,954.8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Japanese yen/Sell US dollar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121.0356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5,886.7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Mexican peso/Sell US dollar</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10.3110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10,115.5</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(807.1)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280" w:type="dxa"/>
            <w:vAlign w:val="bottom"/>
          </w:tcPr>
          <w:p>
            <w:pPr>
              <w:spacing w:after="0"/>
              <w:rPr>
                <w:sz w:val="24"/>
                <w:szCs w:val="24"/>
                <w:color w:val="auto"/>
              </w:rPr>
            </w:pPr>
          </w:p>
        </w:tc>
        <w:tc>
          <w:tcPr>
            <w:tcW w:w="17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19</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1122" w:right="1440" w:bottom="1440" w:gutter="0" w:footer="0" w:header="0"/>
        </w:sectPr>
      </w:pPr>
    </w:p>
    <w:bookmarkStart w:id="19" w:name="page20"/>
    <w:bookmarkEnd w:id="19"/>
    <w:p>
      <w:pPr>
        <w:ind w:right="3239"/>
        <w:spacing w:after="0" w:line="236" w:lineRule="auto"/>
        <w:rPr>
          <w:sz w:val="20"/>
          <w:szCs w:val="20"/>
          <w:color w:val="auto"/>
        </w:rPr>
      </w:pPr>
      <w:r>
        <w:rPr>
          <w:rFonts w:ascii="Courier New" w:cs="Courier New" w:eastAsia="Courier New" w:hAnsi="Courier New"/>
          <w:sz w:val="15"/>
          <w:szCs w:val="15"/>
          <w:color w:val="auto"/>
        </w:rPr>
        <w:t>Interest Rate Risk. We are exposed to interest rate risk arising from transactions that are entered into during the normal course of business. Our short- and medium-term debt rates are dependent upon the LIBOR rate plus an additional percentage based on our current borrowing level. See our most recent Annual Report filed on Form 10-K (Item 7A). There has been no material change in this information.</w:t>
      </w:r>
    </w:p>
    <w:p>
      <w:pPr>
        <w:spacing w:after="0" w:line="17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Commodity Price Risk. Some raw materials used in our products are exposed to commodity price changes. We manage some of this risk by using a combination of short-term and long-term agreements with some vendors. The primary commodity price exposures are with aluminum, steel, and plastic resin.</w:t>
      </w:r>
    </w:p>
    <w:p>
      <w:pPr>
        <w:spacing w:after="0" w:line="32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ITEM 4. CONTROLS AND PROCEDURES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Disclosure Controls and Procedures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principal executive officer and principal financial officer, after evaluating the effectiveness of the company's disclosure controls and procedures (as defined in Exchange Act Rules 13a-14(c) and 15d-14(c)) as of a date within 90 days before the filing date of this report, have concluded that, as of such date the company's disclosure controls and procedures were effective to ensure that material information relating to the company and its consolidated subsidiaries would be made known to them by others within those entities.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Internal Controls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There were no significant changes in our internal controls or in other factors that could significantly affect those internal controls subsequent to the date of their evaluation, nor were there any significant deficiencies or material weaknesses in our internal controls. As a result, no significant corrective actions were required or undertaken.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1296" w:right="1440" w:bottom="1440" w:gutter="0" w:footer="0" w:header="0"/>
        </w:sectPr>
      </w:pPr>
    </w:p>
    <w:bookmarkStart w:id="20" w:name="page21"/>
    <w:bookmarkEnd w:id="20"/>
    <w:p>
      <w:pPr>
        <w:ind w:left="2380"/>
        <w:spacing w:after="0"/>
        <w:rPr>
          <w:sz w:val="20"/>
          <w:szCs w:val="20"/>
          <w:color w:val="auto"/>
        </w:rPr>
      </w:pPr>
      <w:r>
        <w:rPr>
          <w:rFonts w:ascii="Courier New" w:cs="Courier New" w:eastAsia="Courier New" w:hAnsi="Courier New"/>
          <w:sz w:val="15"/>
          <w:szCs w:val="15"/>
          <w:color w:val="auto"/>
        </w:rPr>
        <w:t>PART II. OTHER INFORMATION</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3(i) and 4(a)</w:t>
      </w:r>
      <w:r>
        <w:rPr>
          <w:rFonts w:ascii="Courier New" w:cs="Courier New" w:eastAsia="Courier New" w:hAnsi="Courier New"/>
          <w:sz w:val="14"/>
          <w:szCs w:val="14"/>
          <w:color w:val="auto"/>
        </w:rPr>
        <w:t>Restated Certificate of Incorporation of Registrant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(incorporated by reference to Exhibit 3(i) and 4(a) to</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Registrant's Annual Report on Form 10-K for the fiscal</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year ended October 31, 2001).</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3(ii) and 4(b)</w:t>
            </w:r>
          </w:p>
        </w:tc>
        <w:tc>
          <w:tcPr>
            <w:tcW w:w="5020" w:type="dxa"/>
            <w:vAlign w:val="bottom"/>
          </w:tcPr>
          <w:p>
            <w:pPr>
              <w:ind w:left="300"/>
              <w:spacing w:after="0"/>
              <w:rPr>
                <w:sz w:val="20"/>
                <w:szCs w:val="20"/>
                <w:color w:val="auto"/>
              </w:rPr>
            </w:pPr>
            <w:r>
              <w:rPr>
                <w:rFonts w:ascii="Courier New" w:cs="Courier New" w:eastAsia="Courier New" w:hAnsi="Courier New"/>
                <w:sz w:val="15"/>
                <w:szCs w:val="15"/>
                <w:color w:val="auto"/>
              </w:rPr>
              <w:t>Bylaws of Registrant (incorporated by reference to</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Exhibit 3(ii) and 4(d) to Registrant's Quarterly</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Report on Form 10-Q for the quarter ended August 3,</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5020" w:type="dxa"/>
            <w:vAlign w:val="bottom"/>
          </w:tcPr>
          <w:p>
            <w:pPr>
              <w:ind w:left="300"/>
              <w:spacing w:after="0"/>
              <w:rPr>
                <w:sz w:val="20"/>
                <w:szCs w:val="20"/>
                <w:color w:val="auto"/>
              </w:rPr>
            </w:pPr>
            <w:r>
              <w:rPr>
                <w:rFonts w:ascii="Courier New" w:cs="Courier New" w:eastAsia="Courier New" w:hAnsi="Courier New"/>
                <w:sz w:val="15"/>
                <w:szCs w:val="15"/>
                <w:color w:val="auto"/>
              </w:rPr>
              <w:t>Specimen form of Common Stock certificate</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(incorporated by reference to Exhibit 4(c) to</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Registrant's Registration Statement on Form S-8,</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Registration No. 2-94417).</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5020" w:type="dxa"/>
            <w:vAlign w:val="bottom"/>
          </w:tcPr>
          <w:p>
            <w:pPr>
              <w:ind w:left="300"/>
              <w:spacing w:after="0"/>
              <w:rPr>
                <w:sz w:val="20"/>
                <w:szCs w:val="20"/>
                <w:color w:val="auto"/>
              </w:rPr>
            </w:pPr>
            <w:r>
              <w:rPr>
                <w:rFonts w:ascii="Courier New" w:cs="Courier New" w:eastAsia="Courier New" w:hAnsi="Courier New"/>
                <w:sz w:val="15"/>
                <w:szCs w:val="15"/>
                <w:color w:val="auto"/>
              </w:rPr>
              <w:t>Rights Agreement dated as of May 20, 1998, between</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Registrant and Wells Fargo Bank Minnesota, National</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Association relating to rights to purchase Series B</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Junior Participating Voting Preferred Stock, as</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amended (incorporated by reference to Registrant's</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Current Report on Form 8-K dated May 27, 1998,</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Commission File No. 1-8649).</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5020" w:type="dxa"/>
            <w:vAlign w:val="bottom"/>
          </w:tcPr>
          <w:p>
            <w:pPr>
              <w:ind w:left="300"/>
              <w:spacing w:after="0"/>
              <w:rPr>
                <w:sz w:val="20"/>
                <w:szCs w:val="20"/>
                <w:color w:val="auto"/>
              </w:rPr>
            </w:pPr>
            <w:r>
              <w:rPr>
                <w:rFonts w:ascii="Courier New" w:cs="Courier New" w:eastAsia="Courier New" w:hAnsi="Courier New"/>
                <w:sz w:val="15"/>
                <w:szCs w:val="15"/>
                <w:color w:val="auto"/>
              </w:rPr>
              <w:t>Indenture dated as of January 31, 1997, between</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Registrant and First National Trust Association, as</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Trustee, relating to the Registrant's 7.125% Notes due</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June 15, 2007 and its 7.80% Debentures due June 15,</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2027 (incorporated by reference to Exhibit 4(a) to</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Registrant's Current Report on Form 8-K for June 24,</w:t>
            </w:r>
          </w:p>
        </w:tc>
      </w:tr>
      <w:tr>
        <w:trPr>
          <w:trHeight w:val="168"/>
        </w:trPr>
        <w:tc>
          <w:tcPr>
            <w:tcW w:w="1540" w:type="dxa"/>
            <w:vAlign w:val="bottom"/>
          </w:tcPr>
          <w:p>
            <w:pPr>
              <w:spacing w:after="0"/>
              <w:rPr>
                <w:sz w:val="14"/>
                <w:szCs w:val="14"/>
                <w:color w:val="auto"/>
              </w:rPr>
            </w:pPr>
          </w:p>
        </w:tc>
        <w:tc>
          <w:tcPr>
            <w:tcW w:w="5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1997, Commission File No. 1-8649).</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99(a)</w:t>
            </w:r>
          </w:p>
        </w:tc>
        <w:tc>
          <w:tcPr>
            <w:tcW w:w="5020" w:type="dxa"/>
            <w:vAlign w:val="bottom"/>
          </w:tcPr>
          <w:p>
            <w:pPr>
              <w:ind w:left="300"/>
              <w:spacing w:after="0"/>
              <w:rPr>
                <w:sz w:val="20"/>
                <w:szCs w:val="20"/>
                <w:color w:val="auto"/>
              </w:rPr>
            </w:pPr>
            <w:r>
              <w:rPr>
                <w:rFonts w:ascii="Courier New" w:cs="Courier New" w:eastAsia="Courier New" w:hAnsi="Courier New"/>
                <w:sz w:val="15"/>
                <w:szCs w:val="15"/>
                <w:color w:val="auto"/>
                <w:w w:val="98"/>
              </w:rPr>
              <w:t>Section 906 Certification of Chief Executive Officer.</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99(b)</w:t>
            </w:r>
          </w:p>
        </w:tc>
        <w:tc>
          <w:tcPr>
            <w:tcW w:w="5020" w:type="dxa"/>
            <w:vAlign w:val="bottom"/>
          </w:tcPr>
          <w:p>
            <w:pPr>
              <w:ind w:left="300"/>
              <w:spacing w:after="0"/>
              <w:rPr>
                <w:sz w:val="20"/>
                <w:szCs w:val="20"/>
                <w:color w:val="auto"/>
              </w:rPr>
            </w:pPr>
            <w:r>
              <w:rPr>
                <w:rFonts w:ascii="Courier New" w:cs="Courier New" w:eastAsia="Courier New" w:hAnsi="Courier New"/>
                <w:sz w:val="15"/>
                <w:szCs w:val="15"/>
                <w:color w:val="auto"/>
                <w:w w:val="98"/>
              </w:rPr>
              <w:t>Section 906 Certification of Chief Financial Officer.</w:t>
            </w:r>
          </w:p>
        </w:tc>
      </w:tr>
    </w:tbl>
    <w:p>
      <w:pPr>
        <w:spacing w:after="0" w:line="335"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290" w:right="1440" w:bottom="1440" w:gutter="0" w:footer="0" w:header="0"/>
        </w:sectPr>
      </w:pPr>
    </w:p>
    <w:bookmarkStart w:id="21" w:name="page22"/>
    <w:bookmarkEnd w:id="21"/>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left="280" w:right="36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129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2003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Stephen P. Wolfe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Stephen P. Wolfe</w:t>
      </w:r>
    </w:p>
    <w:p>
      <w:pPr>
        <w:ind w:left="260"/>
        <w:spacing w:after="0" w:line="237" w:lineRule="auto"/>
        <w:rPr>
          <w:sz w:val="20"/>
          <w:szCs w:val="20"/>
          <w:color w:val="auto"/>
        </w:rPr>
      </w:pPr>
      <w:r>
        <w:rPr>
          <w:rFonts w:ascii="Courier New" w:cs="Courier New" w:eastAsia="Courier New" w:hAnsi="Courier New"/>
          <w:sz w:val="15"/>
          <w:szCs w:val="15"/>
          <w:color w:val="auto"/>
        </w:rPr>
        <w:t>Vice President Finance,</w:t>
      </w:r>
    </w:p>
    <w:p>
      <w:pPr>
        <w:spacing w:after="0" w:line="5" w:lineRule="exact"/>
        <w:rPr>
          <w:sz w:val="20"/>
          <w:szCs w:val="20"/>
          <w:color w:val="auto"/>
        </w:rPr>
      </w:pPr>
    </w:p>
    <w:p>
      <w:pPr>
        <w:sectPr>
          <w:pgSz w:w="11900" w:h="16838" w:orient="portrait"/>
          <w:cols w:equalWidth="0" w:num="3">
            <w:col w:w="440" w:space="180"/>
            <w:col w:w="1560" w:space="720"/>
            <w:col w:w="7339"/>
          </w:cols>
          <w:pgMar w:left="220" w:top="1290"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Treasurer and Chief Financial Officer</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(duly authorized officer and</w:t>
      </w:r>
    </w:p>
    <w:p>
      <w:pPr>
        <w:ind w:left="316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290" w:right="1440" w:bottom="1440" w:gutter="0" w:footer="0" w:header="0"/>
          <w:type w:val="continuous"/>
        </w:sectPr>
      </w:pPr>
    </w:p>
    <w:bookmarkStart w:id="22" w:name="page23"/>
    <w:bookmarkEnd w:id="22"/>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Kendrick B. Melrose, certify that:</w:t>
      </w:r>
    </w:p>
    <w:p>
      <w:pPr>
        <w:spacing w:after="0" w:line="166" w:lineRule="exact"/>
        <w:rPr>
          <w:sz w:val="20"/>
          <w:szCs w:val="20"/>
          <w:color w:val="auto"/>
        </w:rPr>
      </w:pPr>
    </w:p>
    <w:p>
      <w:pPr>
        <w:ind w:left="280" w:hanging="270"/>
        <w:spacing w:after="0"/>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Toro Company;</w:t>
      </w:r>
    </w:p>
    <w:p>
      <w:pPr>
        <w:spacing w:after="0" w:line="172" w:lineRule="exact"/>
        <w:rPr>
          <w:rFonts w:ascii="Courier New" w:cs="Courier New" w:eastAsia="Courier New" w:hAnsi="Courier New"/>
          <w:sz w:val="15"/>
          <w:szCs w:val="15"/>
          <w:color w:val="auto"/>
        </w:rPr>
      </w:pPr>
    </w:p>
    <w:p>
      <w:pPr>
        <w:ind w:right="3319" w:firstLine="10"/>
        <w:spacing w:after="0" w:line="236" w:lineRule="auto"/>
        <w:tabs>
          <w:tab w:leader="none" w:pos="2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3" w:lineRule="exact"/>
        <w:rPr>
          <w:rFonts w:ascii="Courier New" w:cs="Courier New" w:eastAsia="Courier New" w:hAnsi="Courier New"/>
          <w:sz w:val="15"/>
          <w:szCs w:val="15"/>
          <w:color w:val="auto"/>
        </w:rPr>
      </w:pPr>
    </w:p>
    <w:p>
      <w:pPr>
        <w:ind w:right="3499" w:firstLine="10"/>
        <w:spacing w:after="0" w:line="256" w:lineRule="auto"/>
        <w:tabs>
          <w:tab w:leader="none" w:pos="26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4" w:lineRule="exact"/>
        <w:rPr>
          <w:rFonts w:ascii="Courier New" w:cs="Courier New" w:eastAsia="Courier New" w:hAnsi="Courier New"/>
          <w:sz w:val="14"/>
          <w:szCs w:val="14"/>
          <w:color w:val="auto"/>
        </w:rPr>
      </w:pPr>
    </w:p>
    <w:p>
      <w:pPr>
        <w:ind w:right="3399" w:firstLine="10"/>
        <w:spacing w:after="0" w:line="235" w:lineRule="auto"/>
        <w:tabs>
          <w:tab w:leader="none" w:pos="2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5" w:lineRule="exact"/>
        <w:rPr>
          <w:sz w:val="20"/>
          <w:szCs w:val="20"/>
          <w:color w:val="auto"/>
        </w:rPr>
      </w:pPr>
    </w:p>
    <w:p>
      <w:pPr>
        <w:ind w:left="440" w:right="3499" w:hanging="430"/>
        <w:spacing w:after="0" w:line="236"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5" w:lineRule="exact"/>
        <w:rPr>
          <w:rFonts w:ascii="Courier New" w:cs="Courier New" w:eastAsia="Courier New" w:hAnsi="Courier New"/>
          <w:sz w:val="15"/>
          <w:szCs w:val="15"/>
          <w:color w:val="auto"/>
        </w:rPr>
      </w:pPr>
    </w:p>
    <w:p>
      <w:pPr>
        <w:jc w:val="both"/>
        <w:ind w:left="440" w:right="3579"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4" w:lineRule="exact"/>
        <w:rPr>
          <w:sz w:val="20"/>
          <w:szCs w:val="20"/>
          <w:color w:val="auto"/>
        </w:rPr>
      </w:pPr>
    </w:p>
    <w:p>
      <w:pPr>
        <w:ind w:right="3239" w:firstLine="10"/>
        <w:spacing w:after="0" w:line="235" w:lineRule="auto"/>
        <w:tabs>
          <w:tab w:leader="none" w:pos="2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7" w:lineRule="exact"/>
        <w:rPr>
          <w:sz w:val="20"/>
          <w:szCs w:val="20"/>
          <w:color w:val="auto"/>
        </w:rPr>
      </w:pPr>
    </w:p>
    <w:p>
      <w:pPr>
        <w:ind w:left="440" w:right="3399" w:hanging="430"/>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Courier New" w:cs="Courier New" w:eastAsia="Courier New" w:hAnsi="Courier New"/>
          <w:sz w:val="14"/>
          <w:szCs w:val="14"/>
          <w:color w:val="auto"/>
        </w:rPr>
      </w:pPr>
    </w:p>
    <w:p>
      <w:pPr>
        <w:ind w:left="440" w:right="375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sz w:val="20"/>
          <w:szCs w:val="20"/>
          <w:color w:val="auto"/>
        </w:rPr>
      </w:pPr>
    </w:p>
    <w:p>
      <w:pPr>
        <w:ind w:right="3239" w:firstLine="10"/>
        <w:spacing w:after="0" w:line="256" w:lineRule="auto"/>
        <w:tabs>
          <w:tab w:leader="none" w:pos="26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11,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Kendrick B. Melrose</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Kendrick B. Melrose</w:t>
      </w:r>
    </w:p>
    <w:p>
      <w:pPr>
        <w:spacing w:after="0" w:line="5" w:lineRule="exact"/>
        <w:rPr>
          <w:rFonts w:ascii="Courier New" w:cs="Courier New" w:eastAsia="Courier New" w:hAnsi="Courier New"/>
          <w:sz w:val="15"/>
          <w:szCs w:val="15"/>
          <w:color w:val="auto"/>
        </w:rPr>
      </w:pPr>
    </w:p>
    <w:p>
      <w:pPr>
        <w:ind w:right="7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Chairman and Chief Executive Officer (Principal Executive Officer)</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129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I, Stephen P. Wolfe, certify that:</w:t>
      </w:r>
    </w:p>
    <w:p>
      <w:pPr>
        <w:spacing w:after="0" w:line="166" w:lineRule="exact"/>
        <w:rPr>
          <w:sz w:val="20"/>
          <w:szCs w:val="20"/>
          <w:color w:val="auto"/>
        </w:rPr>
      </w:pPr>
    </w:p>
    <w:p>
      <w:pPr>
        <w:ind w:left="280" w:hanging="270"/>
        <w:spacing w:after="0"/>
        <w:tabs>
          <w:tab w:leader="none" w:pos="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Toro Company;</w:t>
      </w:r>
    </w:p>
    <w:p>
      <w:pPr>
        <w:spacing w:after="0" w:line="172" w:lineRule="exact"/>
        <w:rPr>
          <w:rFonts w:ascii="Courier New" w:cs="Courier New" w:eastAsia="Courier New" w:hAnsi="Courier New"/>
          <w:sz w:val="15"/>
          <w:szCs w:val="15"/>
          <w:color w:val="auto"/>
        </w:rPr>
      </w:pPr>
    </w:p>
    <w:p>
      <w:pPr>
        <w:ind w:right="3319" w:firstLine="10"/>
        <w:spacing w:after="0" w:line="236" w:lineRule="auto"/>
        <w:tabs>
          <w:tab w:leader="none" w:pos="2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3" w:lineRule="exact"/>
        <w:rPr>
          <w:rFonts w:ascii="Courier New" w:cs="Courier New" w:eastAsia="Courier New" w:hAnsi="Courier New"/>
          <w:sz w:val="15"/>
          <w:szCs w:val="15"/>
          <w:color w:val="auto"/>
        </w:rPr>
      </w:pPr>
    </w:p>
    <w:p>
      <w:pPr>
        <w:ind w:right="3499" w:firstLine="10"/>
        <w:spacing w:after="0" w:line="256" w:lineRule="auto"/>
        <w:tabs>
          <w:tab w:leader="none" w:pos="26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4" w:lineRule="exact"/>
        <w:rPr>
          <w:rFonts w:ascii="Courier New" w:cs="Courier New" w:eastAsia="Courier New" w:hAnsi="Courier New"/>
          <w:sz w:val="14"/>
          <w:szCs w:val="14"/>
          <w:color w:val="auto"/>
        </w:rPr>
      </w:pPr>
    </w:p>
    <w:p>
      <w:pPr>
        <w:ind w:right="3399" w:firstLine="10"/>
        <w:spacing w:after="0" w:line="235" w:lineRule="auto"/>
        <w:tabs>
          <w:tab w:leader="none" w:pos="2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5" w:lineRule="exact"/>
        <w:rPr>
          <w:sz w:val="20"/>
          <w:szCs w:val="20"/>
          <w:color w:val="auto"/>
        </w:rPr>
      </w:pPr>
    </w:p>
    <w:p>
      <w:pPr>
        <w:ind w:left="440" w:right="3499" w:hanging="430"/>
        <w:spacing w:after="0" w:line="236"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5" w:lineRule="exact"/>
        <w:rPr>
          <w:rFonts w:ascii="Courier New" w:cs="Courier New" w:eastAsia="Courier New" w:hAnsi="Courier New"/>
          <w:sz w:val="15"/>
          <w:szCs w:val="15"/>
          <w:color w:val="auto"/>
        </w:rPr>
      </w:pPr>
    </w:p>
    <w:p>
      <w:pPr>
        <w:jc w:val="both"/>
        <w:ind w:left="440" w:right="357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4" w:lineRule="exact"/>
        <w:rPr>
          <w:sz w:val="20"/>
          <w:szCs w:val="20"/>
          <w:color w:val="auto"/>
        </w:rPr>
      </w:pPr>
    </w:p>
    <w:p>
      <w:pPr>
        <w:ind w:right="3239" w:firstLine="10"/>
        <w:spacing w:after="0" w:line="235" w:lineRule="auto"/>
        <w:tabs>
          <w:tab w:leader="none" w:pos="26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7" w:lineRule="exact"/>
        <w:rPr>
          <w:sz w:val="20"/>
          <w:szCs w:val="20"/>
          <w:color w:val="auto"/>
        </w:rPr>
      </w:pPr>
    </w:p>
    <w:p>
      <w:pPr>
        <w:ind w:left="440" w:right="3399" w:hanging="430"/>
        <w:spacing w:after="0" w:line="254"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Courier New" w:cs="Courier New" w:eastAsia="Courier New" w:hAnsi="Courier New"/>
          <w:sz w:val="14"/>
          <w:szCs w:val="14"/>
          <w:color w:val="auto"/>
        </w:rPr>
      </w:pPr>
    </w:p>
    <w:p>
      <w:pPr>
        <w:ind w:left="440" w:right="3759" w:hanging="430"/>
        <w:spacing w:after="0" w:line="235"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sz w:val="20"/>
          <w:szCs w:val="20"/>
          <w:color w:val="auto"/>
        </w:rPr>
      </w:pPr>
    </w:p>
    <w:p>
      <w:pPr>
        <w:ind w:right="3239" w:firstLine="10"/>
        <w:spacing w:after="0" w:line="256" w:lineRule="auto"/>
        <w:tabs>
          <w:tab w:leader="none" w:pos="26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11,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Stephen P. Wolfe</w:t>
      </w:r>
    </w:p>
    <w:p>
      <w:pPr>
        <w:ind w:left="180" w:hanging="170"/>
        <w:spacing w:after="0" w:line="237" w:lineRule="auto"/>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Stephen P. Wolfe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Finance</w:t>
      </w:r>
    </w:p>
    <w:p>
      <w:pPr>
        <w:spacing w:after="0" w:line="5" w:lineRule="exact"/>
        <w:rPr>
          <w:rFonts w:ascii="Courier New" w:cs="Courier New" w:eastAsia="Courier New" w:hAnsi="Courier New"/>
          <w:sz w:val="15"/>
          <w:szCs w:val="15"/>
          <w:color w:val="auto"/>
        </w:rPr>
      </w:pPr>
    </w:p>
    <w:p>
      <w:pPr>
        <w:ind w:right="69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Treasurer and Chief Financial Officer (Principal Financial Officer)</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290" w:right="1440" w:bottom="1440" w:gutter="0" w:footer="0" w:header="0"/>
        </w:sectPr>
      </w:pPr>
    </w:p>
    <w:bookmarkStart w:id="24" w:name="page25"/>
    <w:bookmarkEnd w:id="24"/>
    <w:p>
      <w:pPr>
        <w:jc w:val="right"/>
        <w:ind w:right="3239"/>
        <w:spacing w:after="0"/>
        <w:rPr>
          <w:sz w:val="20"/>
          <w:szCs w:val="20"/>
          <w:color w:val="auto"/>
        </w:rPr>
      </w:pPr>
      <w:r>
        <w:rPr>
          <w:rFonts w:ascii="Courier New" w:cs="Courier New" w:eastAsia="Courier New" w:hAnsi="Courier New"/>
          <w:sz w:val="15"/>
          <w:szCs w:val="15"/>
          <w:color w:val="auto"/>
        </w:rPr>
        <w:t>EXHIBIT 99(a)</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connection with the Quarterly Report of The Toro Company (the "Company") on Form 10-Q for the quarterly period ending January 31, 2003 as filed with the Securities and Exchange Commission on the date hereof (the "Report"), I, Kendrick B. Melrose, Chairman and Chief Executive Officer of the Company, certify, pursuant to 18 U.S.C. Section 1350, as adopted pursuant to Section 906 of the Sarbanes-Oxley Act of 2002, that:</w:t>
      </w:r>
    </w:p>
    <w:p>
      <w:pPr>
        <w:spacing w:after="0" w:line="175" w:lineRule="exact"/>
        <w:rPr>
          <w:sz w:val="20"/>
          <w:szCs w:val="20"/>
          <w:color w:val="auto"/>
        </w:rPr>
      </w:pPr>
    </w:p>
    <w:p>
      <w:pPr>
        <w:ind w:left="1240" w:right="3399" w:hanging="443"/>
        <w:spacing w:after="0" w:line="234"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3" w:lineRule="exact"/>
        <w:rPr>
          <w:rFonts w:ascii="Courier New" w:cs="Courier New" w:eastAsia="Courier New" w:hAnsi="Courier New"/>
          <w:sz w:val="15"/>
          <w:szCs w:val="15"/>
          <w:color w:val="auto"/>
        </w:rPr>
      </w:pPr>
    </w:p>
    <w:p>
      <w:pPr>
        <w:ind w:left="1240" w:right="3499" w:hanging="443"/>
        <w:spacing w:after="0" w:line="235"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Kendrick B. Melrose</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Kendrick B. Melrose</w:t>
      </w:r>
    </w:p>
    <w:p>
      <w:pPr>
        <w:spacing w:after="0" w:line="5" w:lineRule="exact"/>
        <w:rPr>
          <w:rFonts w:ascii="Courier New" w:cs="Courier New" w:eastAsia="Courier New" w:hAnsi="Courier New"/>
          <w:sz w:val="15"/>
          <w:szCs w:val="15"/>
          <w:color w:val="auto"/>
        </w:rPr>
      </w:pPr>
    </w:p>
    <w:p>
      <w:pPr>
        <w:ind w:right="70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and Chief Executive Officer March 11,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0239"/>
          </w:cols>
          <w:pgMar w:left="220" w:top="471" w:right="1440" w:bottom="1440" w:gutter="0" w:footer="0" w:header="0"/>
        </w:sectPr>
      </w:pPr>
    </w:p>
    <w:bookmarkStart w:id="25" w:name="page26"/>
    <w:bookmarkEnd w:id="25"/>
    <w:p>
      <w:pPr>
        <w:jc w:val="right"/>
        <w:ind w:right="3239"/>
        <w:spacing w:after="0"/>
        <w:rPr>
          <w:sz w:val="20"/>
          <w:szCs w:val="20"/>
          <w:color w:val="auto"/>
        </w:rPr>
      </w:pPr>
      <w:r>
        <w:rPr>
          <w:rFonts w:ascii="Courier New" w:cs="Courier New" w:eastAsia="Courier New" w:hAnsi="Courier New"/>
          <w:sz w:val="15"/>
          <w:szCs w:val="15"/>
          <w:color w:val="auto"/>
        </w:rPr>
        <w:t>EXHIBIT 99(b)</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Quarterly Report of The Toro Company (the "Company") on Form 10-Q for the quarterly period ending January 31, 2003 as filed with the Securities and Exchange Commission on the date hereof (the "Report"), I, Stephen P. Wolfe, Vice President-Finance, Treasurer and Chief Financial Officer of the Company, certify, pursuant to 18 U.S.C. Section 1350, as adopted pursuant to Section 906 of the Sarbanes-Oxley Act of 2002, that:</w:t>
      </w:r>
    </w:p>
    <w:p>
      <w:pPr>
        <w:spacing w:after="0" w:line="175" w:lineRule="exact"/>
        <w:rPr>
          <w:sz w:val="20"/>
          <w:szCs w:val="20"/>
          <w:color w:val="auto"/>
        </w:rPr>
      </w:pPr>
    </w:p>
    <w:p>
      <w:pPr>
        <w:ind w:left="1240" w:right="3399" w:hanging="443"/>
        <w:spacing w:after="0" w:line="234" w:lineRule="auto"/>
        <w:tabs>
          <w:tab w:leader="none" w:pos="12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3" w:lineRule="exact"/>
        <w:rPr>
          <w:rFonts w:ascii="Courier New" w:cs="Courier New" w:eastAsia="Courier New" w:hAnsi="Courier New"/>
          <w:sz w:val="15"/>
          <w:szCs w:val="15"/>
          <w:color w:val="auto"/>
        </w:rPr>
      </w:pPr>
    </w:p>
    <w:p>
      <w:pPr>
        <w:ind w:left="1240" w:right="3499" w:hanging="443"/>
        <w:spacing w:after="0" w:line="235" w:lineRule="auto"/>
        <w:tabs>
          <w:tab w:leader="none" w:pos="12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Stephen P. Wolfe</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Stephen P. Wolfe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President-Finance,</w:t>
      </w:r>
    </w:p>
    <w:p>
      <w:pPr>
        <w:spacing w:after="0" w:line="5" w:lineRule="exact"/>
        <w:rPr>
          <w:rFonts w:ascii="Courier New" w:cs="Courier New" w:eastAsia="Courier New" w:hAnsi="Courier New"/>
          <w:sz w:val="15"/>
          <w:szCs w:val="15"/>
          <w:color w:val="auto"/>
        </w:rPr>
      </w:pPr>
    </w:p>
    <w:p>
      <w:pPr>
        <w:ind w:right="69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and Chief Financial Officer March 11,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6"/>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2019-12-13T13:38:10Z</dcterms:created>
  <dcterms:modified xsi:type="dcterms:W3CDTF">2019-12-13T13:38:10Z</dcterms:modified>
</cp:coreProperties>
</file>