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38" w:lineRule="auto"/>
        <w:rPr>
          <w:sz w:val="20"/>
          <w:szCs w:val="20"/>
          <w:color w:val="auto"/>
        </w:rPr>
      </w:pPr>
      <w:r>
        <w:rPr>
          <w:rFonts w:ascii="Courier New" w:cs="Courier New" w:eastAsia="Courier New" w:hAnsi="Courier New"/>
          <w:sz w:val="18"/>
          <w:szCs w:val="18"/>
          <w:color w:val="auto"/>
        </w:rPr>
        <w:t>Toro Company</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 891092108</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891092108</w:t>
      </w:r>
    </w:p>
    <w:p>
      <w:pPr>
        <w:spacing w:after="0"/>
        <w:tabs>
          <w:tab w:leader="none" w:pos="5140" w:val="left"/>
        </w:tabs>
        <w:rPr>
          <w:sz w:val="20"/>
          <w:szCs w:val="20"/>
          <w:color w:val="auto"/>
        </w:rPr>
      </w:pPr>
      <w:r>
        <w:rPr>
          <w:rFonts w:ascii="Courier New" w:cs="Courier New" w:eastAsia="Courier New" w:hAnsi="Courier New"/>
          <w:sz w:val="18"/>
          <w:szCs w:val="18"/>
          <w:color w:val="auto"/>
        </w:rPr>
        <w:t>Item 1: Reporting Person - FMR Corp. - (Tax ID:</w:t>
      </w:r>
      <w:r>
        <w:rPr>
          <w:sz w:val="20"/>
          <w:szCs w:val="20"/>
          <w:color w:val="auto"/>
        </w:rPr>
        <w:tab/>
      </w:r>
      <w:r>
        <w:rPr>
          <w:rFonts w:ascii="Courier New" w:cs="Courier New" w:eastAsia="Courier New" w:hAnsi="Courier New"/>
          <w:sz w:val="16"/>
          <w:szCs w:val="16"/>
          <w:color w:val="auto"/>
        </w:rPr>
        <w:t>04-2507163)</w:t>
      </w:r>
    </w:p>
    <w:p>
      <w:pPr>
        <w:spacing w:after="0"/>
        <w:rPr>
          <w:sz w:val="20"/>
          <w:szCs w:val="20"/>
          <w:color w:val="auto"/>
        </w:rPr>
      </w:pPr>
      <w:r>
        <w:rPr>
          <w:rFonts w:ascii="Courier New" w:cs="Courier New" w:eastAsia="Courier New" w:hAnsi="Courier New"/>
          <w:sz w:val="18"/>
          <w:szCs w:val="18"/>
          <w:color w:val="auto"/>
        </w:rPr>
        <w:t>Item 4: Commonwealth of Massachusetts</w:t>
      </w:r>
    </w:p>
    <w:p>
      <w:pPr>
        <w:sectPr>
          <w:pgSz w:w="11900" w:h="16855" w:orient="portrait"/>
          <w:cols w:equalWidth="0" w:num="1">
            <w:col w:w="10219"/>
          </w:cols>
          <w:pgMar w:left="240" w:top="852" w:right="1440" w:bottom="0" w:gutter="0" w:footer="0" w:header="0"/>
        </w:sectPr>
      </w:pPr>
    </w:p>
    <w:p>
      <w:pPr>
        <w:spacing w:after="0" w:line="3"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202,800 Item 6: None Item 7: 615,800 Item 8: None Item 9: 615,800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5.13%</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18" w:lineRule="exact"/>
        <w:rPr>
          <w:sz w:val="24"/>
          <w:szCs w:val="24"/>
          <w:color w:val="auto"/>
        </w:rPr>
      </w:pPr>
    </w:p>
    <w:p>
      <w:pPr>
        <w:sectPr>
          <w:pgSz w:w="11900" w:h="16855" w:orient="portrait"/>
          <w:cols w:equalWidth="0" w:num="2">
            <w:col w:w="1580" w:space="120"/>
            <w:col w:w="8519"/>
          </w:cols>
          <w:pgMar w:left="240" w:top="852" w:right="1440" w:bottom="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891092108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55" w:orient="portrait"/>
          <w:cols w:equalWidth="0" w:num="1">
            <w:col w:w="10219"/>
          </w:cols>
          <w:pgMar w:left="240" w:top="852" w:right="1440" w:bottom="0" w:gutter="0" w:footer="0" w:header="0"/>
          <w:type w:val="continuous"/>
        </w:sectPr>
      </w:pPr>
    </w:p>
    <w:p>
      <w:pPr>
        <w:spacing w:after="0" w:line="4"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615,800 Item 8: None Item 9: 615,800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5.13%</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18" w:lineRule="exact"/>
        <w:rPr>
          <w:sz w:val="24"/>
          <w:szCs w:val="24"/>
          <w:color w:val="auto"/>
        </w:rPr>
      </w:pPr>
    </w:p>
    <w:p>
      <w:pPr>
        <w:sectPr>
          <w:pgSz w:w="11900" w:h="16855" w:orient="portrait"/>
          <w:cols w:equalWidth="0" w:num="2">
            <w:col w:w="1580" w:space="120"/>
            <w:col w:w="8519"/>
          </w:cols>
          <w:pgMar w:left="240" w:top="852" w:right="1440" w:bottom="0" w:gutter="0" w:footer="0" w:header="0"/>
          <w:type w:val="continuous"/>
        </w:sect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891092108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Abigail P. Johnson</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55" w:orient="portrait"/>
          <w:cols w:equalWidth="0" w:num="1">
            <w:col w:w="10219"/>
          </w:cols>
          <w:pgMar w:left="240" w:top="852" w:right="1440" w:bottom="0" w:gutter="0" w:footer="0" w:header="0"/>
          <w:type w:val="continuous"/>
        </w:sectPr>
      </w:pPr>
    </w:p>
    <w:p>
      <w:pPr>
        <w:spacing w:after="0" w:line="4"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615,800 Item 8: None Item 9: 615,800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5.13%</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18" w:lineRule="exact"/>
        <w:rPr>
          <w:sz w:val="24"/>
          <w:szCs w:val="24"/>
          <w:color w:val="auto"/>
        </w:rPr>
      </w:pPr>
    </w:p>
    <w:p>
      <w:pPr>
        <w:sectPr>
          <w:pgSz w:w="11900" w:h="16855" w:orient="portrait"/>
          <w:cols w:equalWidth="0" w:num="2">
            <w:col w:w="1580" w:space="120"/>
            <w:col w:w="8519"/>
          </w:cols>
          <w:pgMar w:left="240" w:top="852" w:right="1440" w:bottom="0" w:gutter="0" w:footer="0" w:header="0"/>
          <w:type w:val="continuous"/>
        </w:sect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Toro Company</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8111 Lyndale Avenue South</w:t>
      </w:r>
    </w:p>
    <w:p>
      <w:pPr>
        <w:ind w:left="1700"/>
        <w:spacing w:after="0"/>
        <w:tabs>
          <w:tab w:leader="none" w:pos="3460" w:val="left"/>
        </w:tabs>
        <w:rPr>
          <w:sz w:val="20"/>
          <w:szCs w:val="20"/>
          <w:color w:val="auto"/>
        </w:rPr>
      </w:pPr>
      <w:r>
        <w:rPr>
          <w:rFonts w:ascii="Courier New" w:cs="Courier New" w:eastAsia="Courier New" w:hAnsi="Courier New"/>
          <w:sz w:val="18"/>
          <w:szCs w:val="18"/>
          <w:color w:val="auto"/>
        </w:rPr>
        <w:t>Minneapolis, MN</w:t>
      </w:r>
      <w:r>
        <w:rPr>
          <w:sz w:val="20"/>
          <w:szCs w:val="20"/>
          <w:color w:val="auto"/>
        </w:rPr>
        <w:tab/>
      </w:r>
      <w:r>
        <w:rPr>
          <w:rFonts w:ascii="Courier New" w:cs="Courier New" w:eastAsia="Courier New" w:hAnsi="Courier New"/>
          <w:sz w:val="16"/>
          <w:szCs w:val="16"/>
          <w:color w:val="auto"/>
        </w:rPr>
        <w:t>55420-1136</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spacing w:after="0" w:line="201" w:lineRule="exact"/>
        <w:rPr>
          <w:sz w:val="24"/>
          <w:szCs w:val="24"/>
          <w:color w:val="auto"/>
        </w:rPr>
      </w:pPr>
    </w:p>
    <w:p>
      <w:pPr>
        <w:ind w:left="1700"/>
        <w:spacing w:after="0"/>
        <w:tabs>
          <w:tab w:leader="none" w:pos="642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ectPr>
          <w:pgSz w:w="11900" w:h="16855" w:orient="portrait"/>
          <w:cols w:equalWidth="0" w:num="1">
            <w:col w:w="10219"/>
          </w:cols>
          <w:pgMar w:left="240" w:top="852" w:right="1440" w:bottom="0" w:gutter="0" w:footer="0" w:header="0"/>
          <w:type w:val="continuous"/>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891092108</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615,800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sz w:val="20"/>
          <w:szCs w:val="20"/>
          <w:color w:val="auto"/>
        </w:rPr>
      </w:pPr>
      <w:r>
        <w:rPr>
          <w:rFonts w:ascii="Courier New" w:cs="Courier New" w:eastAsia="Courier New" w:hAnsi="Courier New"/>
          <w:sz w:val="18"/>
          <w:szCs w:val="18"/>
          <w:color w:val="auto"/>
        </w:rPr>
        <w:t>5.13%</w:t>
      </w:r>
    </w:p>
    <w:p>
      <w:pPr>
        <w:spacing w:after="0" w:line="202"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202,800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615,800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Toro Company. No one person's interest in the common stock of Toro Company is more than five percent of the total outstanding common stock.</w:t>
      </w: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Schedule 13G in connection with FMR Corp.'s beneficial ownership of the common stock of Toro Company at December 31, 1996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14, 1997</w:t>
      </w:r>
    </w:p>
    <w:p>
      <w:pPr>
        <w:spacing w:after="0" w:line="238" w:lineRule="auto"/>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339"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393,900 shares or 3.28% of the common stock outstanding of Toro Company ("the Company") as a result of acting as investment adviser to various investment companies registered under Section 8 of the Investment Company Act of 1940.</w:t>
      </w:r>
    </w:p>
    <w:p>
      <w:pPr>
        <w:spacing w:after="0" w:line="212" w:lineRule="exact"/>
        <w:rPr>
          <w:sz w:val="20"/>
          <w:szCs w:val="20"/>
          <w:color w:val="auto"/>
        </w:rPr>
      </w:pPr>
    </w:p>
    <w:p>
      <w:pPr>
        <w:ind w:right="1679" w:firstLine="843"/>
        <w:spacing w:after="0" w:line="290" w:lineRule="auto"/>
        <w:rPr>
          <w:sz w:val="20"/>
          <w:szCs w:val="20"/>
          <w:color w:val="auto"/>
        </w:rPr>
      </w:pPr>
      <w:r>
        <w:rPr>
          <w:rFonts w:ascii="Courier New" w:cs="Courier New" w:eastAsia="Courier New" w:hAnsi="Courier New"/>
          <w:sz w:val="16"/>
          <w:szCs w:val="16"/>
          <w:color w:val="auto"/>
        </w:rPr>
        <w:t>Edward C. Johnson 3d, FMR Corp., through its control of Fidelity, and the funds each has sole power to dispose of the 393,900 shares owned by the Funds.</w:t>
      </w:r>
    </w:p>
    <w:p>
      <w:pPr>
        <w:spacing w:after="0" w:line="170"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221,900 shares or 1.85% of the common stock outstanding of the Company as a result of its serving as investment manager of the institutional account(s).</w:t>
      </w:r>
    </w:p>
    <w:p>
      <w:pPr>
        <w:spacing w:after="0" w:line="210"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each has sole dispositive power over 221,900 shares and sole power to vote or to direct the voting of 202,800 shares, and no power to vote or to direct the voting of 19,100 Shares of common stock owned by the institutional account(s) as reported above.</w:t>
      </w:r>
    </w:p>
    <w:p>
      <w:pPr>
        <w:spacing w:after="0" w:line="209"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and trusts for their benefit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6" w:lineRule="exact"/>
        <w:rPr>
          <w:sz w:val="20"/>
          <w:szCs w:val="20"/>
          <w:color w:val="auto"/>
        </w:rPr>
      </w:pPr>
    </w:p>
    <w:p>
      <w:pPr>
        <w:ind w:right="1879" w:firstLine="843"/>
        <w:spacing w:after="0" w:line="268" w:lineRule="auto"/>
        <w:rPr>
          <w:sz w:val="20"/>
          <w:szCs w:val="20"/>
          <w:color w:val="auto"/>
        </w:rPr>
      </w:pPr>
      <w:r>
        <w:rPr>
          <w:rFonts w:ascii="Courier New" w:cs="Courier New" w:eastAsia="Courier New" w:hAnsi="Courier New"/>
          <w:sz w:val="16"/>
          <w:szCs w:val="16"/>
          <w:color w:val="auto"/>
        </w:rPr>
        <w:t>The undersigned persons, on February 14, 1997, agree and consent to the joint filing on their behalf of this Schedule 13G in connection with their beneficial ownership of the common stock of Toro Company at December 31, 1996.</w:t>
      </w:r>
    </w:p>
    <w:p>
      <w:pPr>
        <w:ind w:left="860"/>
        <w:spacing w:after="0" w:line="233" w:lineRule="auto"/>
        <w:rPr>
          <w:sz w:val="20"/>
          <w:szCs w:val="20"/>
          <w:color w:val="auto"/>
        </w:rPr>
      </w:pPr>
      <w:r>
        <w:rPr>
          <w:rFonts w:ascii="Courier New" w:cs="Courier New" w:eastAsia="Courier New" w:hAnsi="Courier New"/>
          <w:sz w:val="18"/>
          <w:szCs w:val="18"/>
          <w:color w:val="auto"/>
        </w:rPr>
        <w:t>FMR Corp.</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Vice President - Legal</w:t>
      </w:r>
    </w:p>
    <w:p>
      <w:pPr>
        <w:ind w:left="860"/>
        <w:spacing w:after="0" w:line="237" w:lineRule="auto"/>
        <w:rPr>
          <w:sz w:val="20"/>
          <w:szCs w:val="20"/>
          <w:color w:val="auto"/>
        </w:rPr>
      </w:pPr>
      <w:r>
        <w:rPr>
          <w:rFonts w:ascii="Courier New" w:cs="Courier New" w:eastAsia="Courier New" w:hAnsi="Courier New"/>
          <w:sz w:val="18"/>
          <w:szCs w:val="18"/>
          <w:color w:val="auto"/>
        </w:rPr>
        <w:t>Edward C. Johnson 3d</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 dated</w:t>
      </w:r>
    </w:p>
    <w:p>
      <w:pPr>
        <w:spacing w:after="0" w:line="237" w:lineRule="auto"/>
        <w:rPr>
          <w:sz w:val="20"/>
          <w:szCs w:val="20"/>
          <w:color w:val="auto"/>
        </w:rPr>
      </w:pPr>
      <w:r>
        <w:rPr>
          <w:rFonts w:ascii="Courier New" w:cs="Courier New" w:eastAsia="Courier New" w:hAnsi="Courier New"/>
          <w:sz w:val="18"/>
          <w:szCs w:val="18"/>
          <w:color w:val="auto"/>
        </w:rPr>
        <w:t>5/17/89</w:t>
      </w:r>
    </w:p>
    <w:p>
      <w:pPr>
        <w:spacing w:after="0"/>
        <w:rPr>
          <w:sz w:val="20"/>
          <w:szCs w:val="20"/>
          <w:color w:val="auto"/>
        </w:rPr>
      </w:pPr>
      <w:r>
        <w:rPr>
          <w:rFonts w:ascii="Courier New" w:cs="Courier New" w:eastAsia="Courier New" w:hAnsi="Courier New"/>
          <w:sz w:val="18"/>
          <w:szCs w:val="18"/>
          <w:color w:val="auto"/>
        </w:rPr>
        <w:t>On File with Schedule 13G for</w:t>
      </w:r>
    </w:p>
    <w:p>
      <w:pPr>
        <w:spacing w:after="0" w:line="237" w:lineRule="auto"/>
        <w:rPr>
          <w:sz w:val="20"/>
          <w:szCs w:val="20"/>
          <w:color w:val="auto"/>
        </w:rPr>
      </w:pPr>
      <w:r>
        <w:rPr>
          <w:rFonts w:ascii="Courier New" w:cs="Courier New" w:eastAsia="Courier New" w:hAnsi="Courier New"/>
          <w:sz w:val="18"/>
          <w:szCs w:val="18"/>
          <w:color w:val="auto"/>
        </w:rPr>
        <w:t>Airborne Freight Corp. 9/10/91</w:t>
      </w:r>
    </w:p>
    <w:p>
      <w:pPr>
        <w:sectPr>
          <w:pgSz w:w="11900" w:h="16838" w:orient="portrait"/>
          <w:cols w:equalWidth="0" w:num="1">
            <w:col w:w="10219"/>
          </w:cols>
          <w:pgMar w:left="240" w:top="541"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 dated</w:t>
      </w:r>
    </w:p>
    <w:p>
      <w:pPr>
        <w:spacing w:after="0" w:line="237" w:lineRule="auto"/>
        <w:rPr>
          <w:sz w:val="20"/>
          <w:szCs w:val="20"/>
          <w:color w:val="auto"/>
        </w:rPr>
      </w:pPr>
      <w:r>
        <w:rPr>
          <w:rFonts w:ascii="Courier New" w:cs="Courier New" w:eastAsia="Courier New" w:hAnsi="Courier New"/>
          <w:sz w:val="18"/>
          <w:szCs w:val="18"/>
          <w:color w:val="auto"/>
        </w:rPr>
        <w:t>1/5/96</w:t>
      </w:r>
    </w:p>
    <w:p>
      <w:pPr>
        <w:spacing w:after="0" w:line="238" w:lineRule="auto"/>
        <w:rPr>
          <w:sz w:val="20"/>
          <w:szCs w:val="20"/>
          <w:color w:val="auto"/>
        </w:rPr>
      </w:pPr>
      <w:r>
        <w:rPr>
          <w:rFonts w:ascii="Courier New" w:cs="Courier New" w:eastAsia="Courier New" w:hAnsi="Courier New"/>
          <w:sz w:val="18"/>
          <w:szCs w:val="18"/>
          <w:color w:val="auto"/>
        </w:rPr>
        <w:t>On File with Schedule 13G for</w:t>
      </w:r>
    </w:p>
    <w:p>
      <w:pPr>
        <w:spacing w:after="0"/>
        <w:rPr>
          <w:sz w:val="20"/>
          <w:szCs w:val="20"/>
          <w:color w:val="auto"/>
        </w:rPr>
      </w:pPr>
      <w:r>
        <w:rPr>
          <w:rFonts w:ascii="Courier New" w:cs="Courier New" w:eastAsia="Courier New" w:hAnsi="Courier New"/>
          <w:sz w:val="18"/>
          <w:szCs w:val="18"/>
          <w:color w:val="auto"/>
        </w:rPr>
        <w:t>Acclaim Entertainment Inc.</w:t>
      </w:r>
    </w:p>
    <w:p>
      <w:pPr>
        <w:spacing w:after="0" w:line="237" w:lineRule="auto"/>
        <w:rPr>
          <w:sz w:val="20"/>
          <w:szCs w:val="20"/>
          <w:color w:val="auto"/>
        </w:rPr>
      </w:pPr>
      <w:r>
        <w:rPr>
          <w:rFonts w:ascii="Courier New" w:cs="Courier New" w:eastAsia="Courier New" w:hAnsi="Courier New"/>
          <w:sz w:val="18"/>
          <w:szCs w:val="18"/>
          <w:color w:val="auto"/>
        </w:rPr>
        <w:t>1/10/96</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Fidelity Management &amp; Research Company</w:t>
      </w:r>
    </w:p>
    <w:p>
      <w:pPr>
        <w:spacing w:after="0" w:line="16"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Sr. V.P. and General Counsel</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2019-12-13T13:51:19Z</dcterms:created>
  <dcterms:modified xsi:type="dcterms:W3CDTF">2019-12-13T13:51:19Z</dcterms:modified>
</cp:coreProperties>
</file>