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760"/>
        <w:spacing w:after="0"/>
        <w:rPr>
          <w:sz w:val="20"/>
          <w:szCs w:val="20"/>
          <w:color w:val="auto"/>
        </w:rPr>
      </w:pPr>
      <w:r>
        <w:rPr>
          <w:rFonts w:ascii="Arial" w:cs="Arial" w:eastAsia="Arial" w:hAnsi="Arial"/>
          <w:sz w:val="22"/>
          <w:szCs w:val="22"/>
          <w:b w:val="1"/>
          <w:bCs w:val="1"/>
          <w:color w:val="auto"/>
        </w:rPr>
        <w:t>Date of Report (Date of earliest event reported): March 12,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TORO COMPANY</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3220" w:type="dxa"/>
            <w:vAlign w:val="bottom"/>
          </w:tcPr>
          <w:p>
            <w:pPr>
              <w:jc w:val="center"/>
              <w:ind w:right="2282"/>
              <w:spacing w:after="0"/>
              <w:rPr>
                <w:sz w:val="20"/>
                <w:szCs w:val="20"/>
                <w:color w:val="auto"/>
              </w:rPr>
            </w:pPr>
            <w:r>
              <w:rPr>
                <w:rFonts w:ascii="Arial" w:cs="Arial" w:eastAsia="Arial" w:hAnsi="Arial"/>
                <w:sz w:val="18"/>
                <w:szCs w:val="18"/>
                <w:b w:val="1"/>
                <w:bCs w:val="1"/>
                <w:color w:val="auto"/>
                <w:w w:val="88"/>
              </w:rPr>
              <w:t>Delaware</w:t>
            </w:r>
          </w:p>
        </w:tc>
        <w:tc>
          <w:tcPr>
            <w:tcW w:w="2540" w:type="dxa"/>
            <w:vAlign w:val="bottom"/>
          </w:tcPr>
          <w:p>
            <w:pPr>
              <w:jc w:val="center"/>
              <w:ind w:right="246"/>
              <w:spacing w:after="0"/>
              <w:rPr>
                <w:sz w:val="20"/>
                <w:szCs w:val="20"/>
                <w:color w:val="auto"/>
              </w:rPr>
            </w:pPr>
            <w:r>
              <w:rPr>
                <w:rFonts w:ascii="Arial" w:cs="Arial" w:eastAsia="Arial" w:hAnsi="Arial"/>
                <w:sz w:val="18"/>
                <w:szCs w:val="18"/>
                <w:b w:val="1"/>
                <w:bCs w:val="1"/>
                <w:color w:val="auto"/>
                <w:w w:val="89"/>
              </w:rPr>
              <w:t>1-8649</w:t>
            </w:r>
          </w:p>
        </w:tc>
        <w:tc>
          <w:tcPr>
            <w:tcW w:w="2980" w:type="dxa"/>
            <w:vAlign w:val="bottom"/>
          </w:tcPr>
          <w:p>
            <w:pPr>
              <w:jc w:val="center"/>
              <w:ind w:left="1584"/>
              <w:spacing w:after="0"/>
              <w:rPr>
                <w:sz w:val="20"/>
                <w:szCs w:val="20"/>
                <w:color w:val="auto"/>
              </w:rPr>
            </w:pPr>
            <w:r>
              <w:rPr>
                <w:rFonts w:ascii="Arial" w:cs="Arial" w:eastAsia="Arial" w:hAnsi="Arial"/>
                <w:sz w:val="18"/>
                <w:szCs w:val="18"/>
                <w:b w:val="1"/>
                <w:bCs w:val="1"/>
                <w:color w:val="auto"/>
                <w:w w:val="87"/>
              </w:rPr>
              <w:t>41-0580470</w:t>
            </w:r>
          </w:p>
        </w:tc>
      </w:tr>
      <w:tr>
        <w:trPr>
          <w:trHeight w:val="149"/>
        </w:trPr>
        <w:tc>
          <w:tcPr>
            <w:tcW w:w="3220" w:type="dxa"/>
            <w:vAlign w:val="bottom"/>
          </w:tcPr>
          <w:p>
            <w:pPr>
              <w:jc w:val="center"/>
              <w:ind w:right="2302"/>
              <w:spacing w:after="0" w:line="149" w:lineRule="exact"/>
              <w:rPr>
                <w:sz w:val="20"/>
                <w:szCs w:val="20"/>
                <w:color w:val="auto"/>
              </w:rPr>
            </w:pPr>
            <w:r>
              <w:rPr>
                <w:rFonts w:ascii="Arial" w:cs="Arial" w:eastAsia="Arial" w:hAnsi="Arial"/>
                <w:sz w:val="14"/>
                <w:szCs w:val="14"/>
                <w:b w:val="1"/>
                <w:bCs w:val="1"/>
                <w:color w:val="auto"/>
                <w:w w:val="85"/>
              </w:rPr>
              <w:t>(State of</w:t>
            </w:r>
          </w:p>
        </w:tc>
        <w:tc>
          <w:tcPr>
            <w:tcW w:w="2540" w:type="dxa"/>
            <w:vAlign w:val="bottom"/>
          </w:tcPr>
          <w:p>
            <w:pPr>
              <w:jc w:val="center"/>
              <w:ind w:right="26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980" w:type="dxa"/>
            <w:vAlign w:val="bottom"/>
          </w:tcPr>
          <w:p>
            <w:pPr>
              <w:jc w:val="center"/>
              <w:ind w:left="15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220" w:type="dxa"/>
            <w:vAlign w:val="bottom"/>
          </w:tcPr>
          <w:p>
            <w:pPr>
              <w:jc w:val="center"/>
              <w:ind w:right="2282"/>
              <w:spacing w:after="0"/>
              <w:rPr>
                <w:sz w:val="20"/>
                <w:szCs w:val="20"/>
                <w:color w:val="auto"/>
              </w:rPr>
            </w:pPr>
            <w:r>
              <w:rPr>
                <w:rFonts w:ascii="Arial" w:cs="Arial" w:eastAsia="Arial" w:hAnsi="Arial"/>
                <w:sz w:val="14"/>
                <w:szCs w:val="14"/>
                <w:b w:val="1"/>
                <w:bCs w:val="1"/>
                <w:color w:val="auto"/>
                <w:w w:val="90"/>
              </w:rPr>
              <w:t>Incorporation)</w:t>
            </w:r>
          </w:p>
        </w:tc>
        <w:tc>
          <w:tcPr>
            <w:tcW w:w="2540" w:type="dxa"/>
            <w:vAlign w:val="bottom"/>
          </w:tcPr>
          <w:p>
            <w:pPr>
              <w:jc w:val="center"/>
              <w:ind w:right="246"/>
              <w:spacing w:after="0"/>
              <w:rPr>
                <w:sz w:val="20"/>
                <w:szCs w:val="20"/>
                <w:color w:val="auto"/>
              </w:rPr>
            </w:pPr>
            <w:r>
              <w:rPr>
                <w:rFonts w:ascii="Arial" w:cs="Arial" w:eastAsia="Arial" w:hAnsi="Arial"/>
                <w:sz w:val="14"/>
                <w:szCs w:val="14"/>
                <w:b w:val="1"/>
                <w:bCs w:val="1"/>
                <w:color w:val="auto"/>
                <w:w w:val="91"/>
              </w:rPr>
              <w:t>File Number)</w:t>
            </w:r>
          </w:p>
        </w:tc>
        <w:tc>
          <w:tcPr>
            <w:tcW w:w="2980" w:type="dxa"/>
            <w:vAlign w:val="bottom"/>
          </w:tcPr>
          <w:p>
            <w:pPr>
              <w:jc w:val="center"/>
              <w:ind w:left="1564"/>
              <w:spacing w:after="0"/>
              <w:rPr>
                <w:sz w:val="20"/>
                <w:szCs w:val="20"/>
                <w:color w:val="auto"/>
              </w:rPr>
            </w:pPr>
            <w:r>
              <w:rPr>
                <w:rFonts w:ascii="Arial" w:cs="Arial" w:eastAsia="Arial" w:hAnsi="Arial"/>
                <w:sz w:val="14"/>
                <w:szCs w:val="14"/>
                <w:b w:val="1"/>
                <w:bCs w:val="1"/>
                <w:color w:val="auto"/>
                <w:w w:val="90"/>
              </w:rPr>
              <w:t>Identification Number)</w:t>
            </w:r>
          </w:p>
        </w:tc>
      </w:tr>
      <w:tr>
        <w:trPr>
          <w:trHeight w:val="405"/>
        </w:trPr>
        <w:tc>
          <w:tcPr>
            <w:tcW w:w="3220" w:type="dxa"/>
            <w:vAlign w:val="bottom"/>
          </w:tcPr>
          <w:p>
            <w:pPr>
              <w:jc w:val="center"/>
              <w:ind w:right="402"/>
              <w:spacing w:after="0"/>
              <w:rPr>
                <w:sz w:val="20"/>
                <w:szCs w:val="20"/>
                <w:color w:val="auto"/>
              </w:rPr>
            </w:pPr>
            <w:r>
              <w:rPr>
                <w:rFonts w:ascii="Arial" w:cs="Arial" w:eastAsia="Arial" w:hAnsi="Arial"/>
                <w:sz w:val="18"/>
                <w:szCs w:val="18"/>
                <w:b w:val="1"/>
                <w:bCs w:val="1"/>
                <w:color w:val="auto"/>
                <w:w w:val="86"/>
              </w:rPr>
              <w:t>8111 Lyndale Avenue South</w:t>
            </w:r>
          </w:p>
        </w:tc>
        <w:tc>
          <w:tcPr>
            <w:tcW w:w="254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31"/>
        </w:trPr>
        <w:tc>
          <w:tcPr>
            <w:tcW w:w="3220" w:type="dxa"/>
            <w:vAlign w:val="bottom"/>
          </w:tcPr>
          <w:p>
            <w:pPr>
              <w:jc w:val="center"/>
              <w:ind w:right="402"/>
              <w:spacing w:after="0"/>
              <w:rPr>
                <w:sz w:val="20"/>
                <w:szCs w:val="20"/>
                <w:color w:val="auto"/>
              </w:rPr>
            </w:pPr>
            <w:r>
              <w:rPr>
                <w:rFonts w:ascii="Arial" w:cs="Arial" w:eastAsia="Arial" w:hAnsi="Arial"/>
                <w:sz w:val="18"/>
                <w:szCs w:val="18"/>
                <w:b w:val="1"/>
                <w:bCs w:val="1"/>
                <w:color w:val="auto"/>
                <w:w w:val="88"/>
              </w:rPr>
              <w:t>Bloomington, Minnesota</w:t>
            </w:r>
          </w:p>
        </w:tc>
        <w:tc>
          <w:tcPr>
            <w:tcW w:w="2540" w:type="dxa"/>
            <w:vAlign w:val="bottom"/>
          </w:tcPr>
          <w:p>
            <w:pPr>
              <w:spacing w:after="0"/>
              <w:rPr>
                <w:sz w:val="20"/>
                <w:szCs w:val="20"/>
                <w:color w:val="auto"/>
              </w:rPr>
            </w:pPr>
          </w:p>
        </w:tc>
        <w:tc>
          <w:tcPr>
            <w:tcW w:w="2980" w:type="dxa"/>
            <w:vAlign w:val="bottom"/>
          </w:tcPr>
          <w:p>
            <w:pPr>
              <w:jc w:val="right"/>
              <w:ind w:right="1304"/>
              <w:spacing w:after="0"/>
              <w:rPr>
                <w:sz w:val="20"/>
                <w:szCs w:val="20"/>
                <w:color w:val="auto"/>
              </w:rPr>
            </w:pPr>
            <w:r>
              <w:rPr>
                <w:rFonts w:ascii="Arial" w:cs="Arial" w:eastAsia="Arial" w:hAnsi="Arial"/>
                <w:sz w:val="18"/>
                <w:szCs w:val="18"/>
                <w:b w:val="1"/>
                <w:bCs w:val="1"/>
                <w:color w:val="auto"/>
              </w:rPr>
              <w:t>55420</w:t>
            </w:r>
          </w:p>
        </w:tc>
      </w:tr>
      <w:tr>
        <w:trPr>
          <w:trHeight w:val="174"/>
        </w:trPr>
        <w:tc>
          <w:tcPr>
            <w:tcW w:w="3220" w:type="dxa"/>
            <w:vAlign w:val="bottom"/>
          </w:tcPr>
          <w:p>
            <w:pPr>
              <w:jc w:val="center"/>
              <w:ind w:right="40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2540" w:type="dxa"/>
            <w:vAlign w:val="bottom"/>
          </w:tcPr>
          <w:p>
            <w:pPr>
              <w:spacing w:after="0"/>
              <w:rPr>
                <w:sz w:val="15"/>
                <w:szCs w:val="15"/>
                <w:color w:val="auto"/>
              </w:rPr>
            </w:pPr>
          </w:p>
        </w:tc>
        <w:tc>
          <w:tcPr>
            <w:tcW w:w="2980" w:type="dxa"/>
            <w:vAlign w:val="bottom"/>
          </w:tcPr>
          <w:p>
            <w:pPr>
              <w:jc w:val="center"/>
              <w:ind w:right="16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Registrant’s telephone number, including area code: (952) 888-8801</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5—Corporate Governance and Management</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Toro Company (the “Company”) held its 2013 Annual Meeting of Shareholders on March 12, 2013 (the “Annual Meeting”). The final results of the shareholder vote on the business brought before the meeting were as follows: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Against/</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ind w:left="200"/>
              <w:spacing w:after="0"/>
              <w:rPr>
                <w:sz w:val="20"/>
                <w:szCs w:val="20"/>
                <w:color w:val="auto"/>
              </w:rPr>
            </w:pPr>
            <w:r>
              <w:rPr>
                <w:rFonts w:ascii="Arial" w:cs="Arial" w:eastAsia="Arial" w:hAnsi="Arial"/>
                <w:sz w:val="14"/>
                <w:szCs w:val="14"/>
                <w:color w:val="auto"/>
              </w:rPr>
              <w:t>Broker</w:t>
            </w:r>
          </w:p>
        </w:tc>
      </w:tr>
      <w:tr>
        <w:trPr>
          <w:trHeight w:val="159"/>
        </w:trPr>
        <w:tc>
          <w:tcPr>
            <w:tcW w:w="6520" w:type="dxa"/>
            <w:vAlign w:val="bottom"/>
          </w:tcPr>
          <w:p>
            <w:pPr>
              <w:spacing w:after="0"/>
              <w:rPr>
                <w:sz w:val="13"/>
                <w:szCs w:val="13"/>
                <w:color w:val="auto"/>
              </w:rPr>
            </w:pPr>
          </w:p>
        </w:tc>
        <w:tc>
          <w:tcPr>
            <w:tcW w:w="1140" w:type="dxa"/>
            <w:vAlign w:val="bottom"/>
            <w:gridSpan w:val="2"/>
          </w:tcPr>
          <w:p>
            <w:pPr>
              <w:jc w:val="right"/>
              <w:ind w:right="620"/>
              <w:spacing w:after="0" w:line="159" w:lineRule="exact"/>
              <w:rPr>
                <w:sz w:val="20"/>
                <w:szCs w:val="20"/>
                <w:color w:val="auto"/>
              </w:rPr>
            </w:pPr>
            <w:r>
              <w:rPr>
                <w:rFonts w:ascii="Arial" w:cs="Arial" w:eastAsia="Arial" w:hAnsi="Arial"/>
                <w:sz w:val="14"/>
                <w:szCs w:val="14"/>
                <w:color w:val="auto"/>
              </w:rPr>
              <w:t>For</w:t>
            </w:r>
          </w:p>
        </w:tc>
        <w:tc>
          <w:tcPr>
            <w:tcW w:w="106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Withheld</w:t>
            </w:r>
          </w:p>
        </w:tc>
        <w:tc>
          <w:tcPr>
            <w:tcW w:w="92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Abstain</w:t>
            </w:r>
          </w:p>
        </w:tc>
        <w:tc>
          <w:tcPr>
            <w:tcW w:w="8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99"/>
              </w:rPr>
              <w:t>Non-Votes</w:t>
            </w:r>
          </w:p>
        </w:tc>
      </w:tr>
      <w:tr>
        <w:trPr>
          <w:trHeight w:val="182"/>
        </w:trPr>
        <w:tc>
          <w:tcPr>
            <w:tcW w:w="65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w w:val="91"/>
              </w:rPr>
              <w:t>Proposal One—Election of directors to serve for a term of three years ending at the</w:t>
            </w:r>
          </w:p>
        </w:tc>
        <w:tc>
          <w:tcPr>
            <w:tcW w:w="8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Company’s 2016 Annual Meeting of Shareholders</w:t>
            </w:r>
          </w:p>
        </w:tc>
        <w:tc>
          <w:tcPr>
            <w:tcW w:w="8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Robert C. Buhrmaster</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47,715,325</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1,416,760</w:t>
            </w: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4,966,908</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James C. O’Rourke</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48,006,875</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1,125,210</w:t>
            </w: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4,966,908</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Christopher A. Twomey</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47,338,903</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1,793,182</w:t>
            </w: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4,966,908</w:t>
            </w:r>
          </w:p>
        </w:tc>
        <w:tc>
          <w:tcPr>
            <w:tcW w:w="100" w:type="dxa"/>
            <w:vAlign w:val="bottom"/>
          </w:tcPr>
          <w:p>
            <w:pPr>
              <w:spacing w:after="0"/>
              <w:rPr>
                <w:sz w:val="18"/>
                <w:szCs w:val="18"/>
                <w:color w:val="auto"/>
              </w:rPr>
            </w:pPr>
          </w:p>
        </w:tc>
      </w:tr>
      <w:tr>
        <w:trPr>
          <w:trHeight w:val="202"/>
        </w:trPr>
        <w:tc>
          <w:tcPr>
            <w:tcW w:w="65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2"/>
              </w:rPr>
              <w:t>Proposal Two—Approval of amendment to Restated Certificate of Incorporation to</w:t>
            </w: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w w:val="91"/>
              </w:rPr>
              <w:t>increase the number of authorized shares of common stock from 100,000,000 to</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175,000,000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51,036,744</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2,661,596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400,653</w:t>
            </w:r>
          </w:p>
        </w:tc>
        <w:tc>
          <w:tcPr>
            <w:tcW w:w="2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2"/>
        </w:trPr>
        <w:tc>
          <w:tcPr>
            <w:tcW w:w="6520" w:type="dxa"/>
            <w:vAlign w:val="bottom"/>
          </w:tcPr>
          <w:p>
            <w:pPr>
              <w:spacing w:after="0" w:line="201" w:lineRule="exact"/>
              <w:rPr>
                <w:sz w:val="20"/>
                <w:szCs w:val="20"/>
                <w:color w:val="auto"/>
              </w:rPr>
            </w:pPr>
            <w:r>
              <w:rPr>
                <w:rFonts w:ascii="Arial" w:cs="Arial" w:eastAsia="Arial" w:hAnsi="Arial"/>
                <w:sz w:val="18"/>
                <w:szCs w:val="18"/>
                <w:b w:val="1"/>
                <w:bCs w:val="1"/>
                <w:color w:val="auto"/>
                <w:w w:val="98"/>
              </w:rPr>
              <w:t>Proposal Three—Ratification of the selection of KPMG LLP as the Company’s</w:t>
            </w: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520" w:type="dxa"/>
            <w:vAlign w:val="bottom"/>
          </w:tcPr>
          <w:p>
            <w:pPr>
              <w:ind w:left="220"/>
              <w:spacing w:after="0"/>
              <w:rPr>
                <w:sz w:val="20"/>
                <w:szCs w:val="20"/>
                <w:color w:val="auto"/>
              </w:rPr>
            </w:pPr>
            <w:r>
              <w:rPr>
                <w:rFonts w:ascii="Arial" w:cs="Arial" w:eastAsia="Arial" w:hAnsi="Arial"/>
                <w:sz w:val="18"/>
                <w:szCs w:val="18"/>
                <w:b w:val="1"/>
                <w:bCs w:val="1"/>
                <w:color w:val="auto"/>
                <w:w w:val="96"/>
              </w:rPr>
              <w:t>independent registered public accounting firm for the Company’s fiscal year</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6520" w:type="dxa"/>
            <w:vAlign w:val="bottom"/>
          </w:tcPr>
          <w:p>
            <w:pPr>
              <w:ind w:left="220"/>
              <w:spacing w:after="0"/>
              <w:rPr>
                <w:sz w:val="20"/>
                <w:szCs w:val="20"/>
                <w:color w:val="auto"/>
              </w:rPr>
            </w:pPr>
            <w:r>
              <w:rPr>
                <w:rFonts w:ascii="Arial" w:cs="Arial" w:eastAsia="Arial" w:hAnsi="Arial"/>
                <w:sz w:val="18"/>
                <w:szCs w:val="18"/>
                <w:b w:val="1"/>
                <w:bCs w:val="1"/>
                <w:color w:val="auto"/>
              </w:rPr>
              <w:t>ending October 31, 2013</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53,101,543</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796,411</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201,039</w:t>
            </w:r>
          </w:p>
        </w:tc>
        <w:tc>
          <w:tcPr>
            <w:tcW w:w="2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8"/>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Proposal Four—Advisory approval of executive compensation</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46,176,248</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2,401,830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554,007</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4,966,908</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Each of the directors in Proposal One was elected by the Company’s shareholders by the required vote and each of Proposals Two, Three and Four was approved by the Company’s shareholders by the required vote.</w:t>
      </w:r>
    </w:p>
    <w:p>
      <w:pPr>
        <w:spacing w:after="0" w:line="132"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Regarding the Company’s other directors, (i) each of Jeffrey M. Ettinger, Katherine J. Harless and Michael J. Hoffman continue to serve as a director for a term ending at the Company’s 2014 Annual Meeting of Shareholders; and (ii) each of Janet K. Cooper, Gary L. Ellis and Gregg W. Steinhafel continue to serve as a director for a term ending at the Company’s 2015 Annual Meeting of Shareholders. Robert H. Nassau retired as a director upon the expiration of his term at the Company’s 2013 Annual Meeting of Shareholders.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8—Other Events</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Following approval by the Company’s shareholders at the Annual Meeting of the amendment to the Company’s Restated Certificate of Incorporation to increase the number of authorized shares of common stock from 100,000,000 to 175,000,000, the Company filed a Certificate of Amendment to Restated Certificate of Incorporation (the “Certificate of Amendment”) with the Secretary of State of the State of Delaware on March 12, 2013, to effect such increase in the number of authorized shares. The Certificate of Amendment is filed herewith as Exhibit 3.1 and is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500" w:type="dxa"/>
            <w:vAlign w:val="bottom"/>
            <w:gridSpan w:val="3"/>
          </w:tcPr>
          <w:p>
            <w:pPr>
              <w:ind w:left="8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5500" w:type="dxa"/>
            <w:vAlign w:val="bottom"/>
            <w:gridSpan w:val="3"/>
          </w:tcPr>
          <w:p>
            <w:pPr>
              <w:ind w:left="860"/>
              <w:spacing w:after="0"/>
              <w:rPr>
                <w:sz w:val="20"/>
                <w:szCs w:val="20"/>
                <w:color w:val="auto"/>
              </w:rPr>
            </w:pPr>
            <w:r>
              <w:rPr>
                <w:rFonts w:ascii="Arial" w:cs="Arial" w:eastAsia="Arial" w:hAnsi="Arial"/>
                <w:sz w:val="18"/>
                <w:szCs w:val="18"/>
                <w:color w:val="auto"/>
                <w:w w:val="89"/>
              </w:rPr>
              <w:t>Certificate of Amendment to Restated Certificate of Incorporation</w:t>
            </w:r>
          </w:p>
        </w:tc>
      </w:tr>
    </w:tbl>
    <w:p>
      <w:pPr>
        <w:sectPr>
          <w:pgSz w:w="11900" w:h="16838" w:orient="portrait"/>
          <w:cols w:equalWidth="0" w:num="1">
            <w:col w:w="11320"/>
          </w:cols>
          <w:pgMar w:left="240" w:top="27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7660" w:type="dxa"/>
            <w:vAlign w:val="bottom"/>
            <w:gridSpan w:val="2"/>
          </w:tcPr>
          <w:p>
            <w:pPr>
              <w:ind w:left="2200"/>
              <w:spacing w:after="0"/>
              <w:rPr>
                <w:sz w:val="20"/>
                <w:szCs w:val="20"/>
                <w:color w:val="auto"/>
              </w:rPr>
            </w:pPr>
            <w:r>
              <w:rPr>
                <w:rFonts w:ascii="Arial" w:cs="Arial" w:eastAsia="Arial" w:hAnsi="Arial"/>
                <w:sz w:val="18"/>
                <w:szCs w:val="18"/>
                <w:color w:val="auto"/>
              </w:rPr>
              <w:t>THE TORO COMPANY</w:t>
            </w:r>
          </w:p>
        </w:tc>
      </w:tr>
      <w:tr>
        <w:trPr>
          <w:trHeight w:val="222"/>
        </w:trPr>
        <w:tc>
          <w:tcPr>
            <w:tcW w:w="3760" w:type="dxa"/>
            <w:vAlign w:val="bottom"/>
          </w:tcPr>
          <w:p>
            <w:pPr>
              <w:spacing w:after="0"/>
              <w:rPr>
                <w:sz w:val="19"/>
                <w:szCs w:val="19"/>
                <w:color w:val="auto"/>
              </w:rPr>
            </w:pPr>
          </w:p>
        </w:tc>
        <w:tc>
          <w:tcPr>
            <w:tcW w:w="7660" w:type="dxa"/>
            <w:vAlign w:val="bottom"/>
            <w:gridSpan w:val="2"/>
          </w:tcPr>
          <w:p>
            <w:pPr>
              <w:ind w:left="2200"/>
              <w:spacing w:after="0"/>
              <w:rPr>
                <w:sz w:val="20"/>
                <w:szCs w:val="20"/>
                <w:color w:val="auto"/>
              </w:rPr>
            </w:pPr>
            <w:r>
              <w:rPr>
                <w:rFonts w:ascii="Arial" w:cs="Arial" w:eastAsia="Arial" w:hAnsi="Arial"/>
                <w:sz w:val="18"/>
                <w:szCs w:val="18"/>
                <w:color w:val="auto"/>
              </w:rPr>
              <w:t>(Registrant)</w:t>
            </w:r>
          </w:p>
        </w:tc>
      </w:tr>
      <w:tr>
        <w:trPr>
          <w:trHeight w:val="447"/>
        </w:trPr>
        <w:tc>
          <w:tcPr>
            <w:tcW w:w="3760" w:type="dxa"/>
            <w:vAlign w:val="bottom"/>
          </w:tcPr>
          <w:p>
            <w:pPr>
              <w:spacing w:after="0"/>
              <w:rPr>
                <w:sz w:val="20"/>
                <w:szCs w:val="20"/>
                <w:color w:val="auto"/>
              </w:rPr>
            </w:pPr>
            <w:r>
              <w:rPr>
                <w:rFonts w:ascii="Arial" w:cs="Arial" w:eastAsia="Arial" w:hAnsi="Arial"/>
                <w:sz w:val="18"/>
                <w:szCs w:val="18"/>
                <w:color w:val="auto"/>
              </w:rPr>
              <w:t>Date: March 13, 2013</w:t>
            </w:r>
          </w:p>
        </w:tc>
        <w:tc>
          <w:tcPr>
            <w:tcW w:w="7660" w:type="dxa"/>
            <w:vAlign w:val="bottom"/>
            <w:gridSpan w:val="2"/>
          </w:tcPr>
          <w:p>
            <w:pPr>
              <w:ind w:left="2200"/>
              <w:spacing w:after="0"/>
              <w:rPr>
                <w:sz w:val="20"/>
                <w:szCs w:val="20"/>
                <w:color w:val="auto"/>
              </w:rPr>
            </w:pPr>
            <w:r>
              <w:rPr>
                <w:rFonts w:ascii="Arial" w:cs="Arial" w:eastAsia="Arial" w:hAnsi="Arial"/>
                <w:sz w:val="18"/>
                <w:szCs w:val="18"/>
                <w:color w:val="auto"/>
              </w:rPr>
              <w:t>By  /s/ Timothy P. Dordell</w:t>
            </w:r>
          </w:p>
        </w:tc>
      </w:tr>
      <w:tr>
        <w:trPr>
          <w:trHeight w:val="202"/>
        </w:trPr>
        <w:tc>
          <w:tcPr>
            <w:tcW w:w="37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Timothy P. Dordell</w:t>
            </w:r>
          </w:p>
        </w:tc>
      </w:tr>
      <w:tr>
        <w:trPr>
          <w:trHeight w:val="222"/>
        </w:trPr>
        <w:tc>
          <w:tcPr>
            <w:tcW w:w="37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Vice President, Secretary and General Counsel</w:t>
            </w:r>
          </w:p>
        </w:tc>
      </w:tr>
    </w:tbl>
    <w:p>
      <w:pPr>
        <w:sectPr>
          <w:pgSz w:w="11900" w:h="16838" w:orient="portrait"/>
          <w:cols w:equalWidth="0" w:num="1">
            <w:col w:w="11420"/>
          </w:cols>
          <w:pgMar w:left="240" w:top="280"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60" w:type="dxa"/>
            <w:vAlign w:val="bottom"/>
          </w:tcPr>
          <w:p>
            <w:pPr>
              <w:ind w:left="198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9"/>
              </w:rPr>
              <w:t>EXHIBIT NO.</w:t>
            </w:r>
          </w:p>
        </w:tc>
        <w:tc>
          <w:tcPr>
            <w:tcW w:w="116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20" w:type="dxa"/>
            <w:vAlign w:val="bottom"/>
          </w:tcPr>
          <w:p>
            <w:pPr>
              <w:spacing w:after="0"/>
              <w:rPr>
                <w:sz w:val="18"/>
                <w:szCs w:val="18"/>
                <w:color w:val="auto"/>
              </w:rPr>
            </w:pPr>
          </w:p>
        </w:tc>
        <w:tc>
          <w:tcPr>
            <w:tcW w:w="900" w:type="dxa"/>
            <w:vAlign w:val="bottom"/>
            <w:tcBorders>
              <w:top w:val="single" w:sz="8" w:color="auto"/>
            </w:tcBorders>
          </w:tcPr>
          <w:p>
            <w:pPr>
              <w:jc w:val="right"/>
              <w:ind w:right="622"/>
              <w:spacing w:after="0"/>
              <w:rPr>
                <w:sz w:val="20"/>
                <w:szCs w:val="20"/>
                <w:color w:val="auto"/>
              </w:rPr>
            </w:pPr>
            <w:r>
              <w:rPr>
                <w:rFonts w:ascii="Arial" w:cs="Arial" w:eastAsia="Arial" w:hAnsi="Arial"/>
                <w:sz w:val="18"/>
                <w:szCs w:val="18"/>
                <w:color w:val="auto"/>
                <w:w w:val="71"/>
              </w:rPr>
              <w:t>3.1</w:t>
            </w:r>
          </w:p>
        </w:tc>
        <w:tc>
          <w:tcPr>
            <w:tcW w:w="1160" w:type="dxa"/>
            <w:vAlign w:val="bottom"/>
          </w:tcPr>
          <w:p>
            <w:pPr>
              <w:spacing w:after="0"/>
              <w:rPr>
                <w:sz w:val="18"/>
                <w:szCs w:val="18"/>
                <w:color w:val="auto"/>
              </w:rPr>
            </w:pPr>
          </w:p>
        </w:tc>
        <w:tc>
          <w:tcPr>
            <w:tcW w:w="9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Certificate of</w:t>
            </w:r>
          </w:p>
        </w:tc>
        <w:tc>
          <w:tcPr>
            <w:tcW w:w="3660" w:type="dxa"/>
            <w:vAlign w:val="bottom"/>
          </w:tcPr>
          <w:p>
            <w:pPr>
              <w:spacing w:after="0"/>
              <w:rPr>
                <w:sz w:val="20"/>
                <w:szCs w:val="20"/>
                <w:color w:val="auto"/>
              </w:rPr>
            </w:pPr>
            <w:r>
              <w:rPr>
                <w:rFonts w:ascii="Arial" w:cs="Arial" w:eastAsia="Arial" w:hAnsi="Arial"/>
                <w:sz w:val="18"/>
                <w:szCs w:val="18"/>
                <w:color w:val="auto"/>
                <w:w w:val="88"/>
              </w:rPr>
              <w:t>Amendment to Restated Certificate of Incorporation</w:t>
            </w:r>
          </w:p>
        </w:tc>
      </w:tr>
    </w:tbl>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Toro Company (hereinafter called the “corporation”), a corporation organized and existing under and by virtue of the General Corporation Law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State of Delaware, does hereby certify:</w:t>
      </w:r>
    </w:p>
    <w:p>
      <w:pPr>
        <w:spacing w:after="0" w:line="84"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FIRST: The present name of the corporation is The Toro Company, which is the name under which the corporation was originally incorporated, and the date of filing the original Certificate of Incorporation of the corporation with the Secretary of State of the State of Delaware was November 7, 1983.</w:t>
      </w:r>
    </w:p>
    <w:p>
      <w:pPr>
        <w:spacing w:after="0" w:line="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SECOND: This Certificate of Amendment to Restated Certificate of Incorporation was duly adopted by the Board of Directors and the shareholders of the corporation in accordance with the provisions of Section 242 of the General Corporation Law of the State of Delaware as set forth in Title 8 of the Delaware Code.</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THIRD: The text of the first paragraph to Article IV of the Restated Certificate of Incorporation of the corporation is hereby amended to read in its entirety as follows: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corporation shall be authorized to issue three classes of shares of capital stock to be designated, respectively, “Common Stock”, “Voting Preferred Stock” and “Non-Voting Preferred Stock.” The total number of shares of capital stock which the corporation shall have authority to issue is one hundred seventy-six million eight hundred fifty thousand (176,850,000); the total number of shares of Common Stock shall be one hundred seventy-five million (175,000,000), and each such share shall have a par value of $1.00; the total number of shares of Voting Preferred Stock shall be one million (1,000,000), and each such share shall have a par value of $1.00; and the total number of shares of Non-Voting Preferred Stock shall be eight hundred fifty thousand (850,000), and each such share shall have a par value of $1.00.</w:t>
      </w:r>
    </w:p>
    <w:p>
      <w:pPr>
        <w:spacing w:after="0" w:line="14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WITNESS WHEREOF, the corporation has caused this Certificate of Amendment to Restated Certificate of Incorporation to be executed this 12</w:t>
      </w:r>
      <w:r>
        <w:rPr>
          <w:rFonts w:ascii="Arial" w:cs="Arial" w:eastAsia="Arial" w:hAnsi="Arial"/>
          <w:sz w:val="11"/>
          <w:szCs w:val="11"/>
          <w:color w:val="auto"/>
        </w:rPr>
        <w:t>th</w:t>
      </w:r>
      <w:r>
        <w:rPr>
          <w:rFonts w:ascii="Arial" w:cs="Arial" w:eastAsia="Arial" w:hAnsi="Arial"/>
          <w:sz w:val="18"/>
          <w:szCs w:val="18"/>
          <w:color w:val="auto"/>
        </w:rPr>
        <w:t xml:space="preserve"> day of March, 2013, in its name and on its behalf by its Vice President, Secretary and General Counsel pursuant to Section 103 of the General Corporation Law of the State of Delaware.</w:t>
      </w:r>
    </w:p>
    <w:p>
      <w:pPr>
        <w:spacing w:after="0" w:line="26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TORO COMPANY</w:t>
      </w:r>
    </w:p>
    <w:p>
      <w:pPr>
        <w:spacing w:after="0" w:line="22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10795</wp:posOffset>
            </wp:positionV>
            <wp:extent cx="28898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Timothy P. Dordell</w:t>
      </w:r>
    </w:p>
    <w:p>
      <w:pPr>
        <w:spacing w:after="0" w:line="1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Vice President, Secretary and General Counsel</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2019-12-05T20:34:38Z</dcterms:created>
  <dcterms:modified xsi:type="dcterms:W3CDTF">2019-12-05T20:34:38Z</dcterms:modified>
</cp:coreProperties>
</file>