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225425</wp:posOffset>
            </wp:positionH>
            <wp:positionV relativeFrom="page">
              <wp:posOffset>603250</wp:posOffset>
            </wp:positionV>
            <wp:extent cx="70980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517525</wp:posOffset>
            </wp:positionV>
            <wp:extent cx="70980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255"/>
                    </a:xfrm>
                    <a:prstGeom prst="rect">
                      <a:avLst/>
                    </a:prstGeom>
                    <a:noFill/>
                  </pic:spPr>
                </pic:pic>
              </a:graphicData>
            </a:graphic>
          </wp:anchor>
        </w:drawing>
        <w:t>UNITED STATES</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2687955</wp:posOffset>
            </wp:positionH>
            <wp:positionV relativeFrom="paragraph">
              <wp:posOffset>257175</wp:posOffset>
            </wp:positionV>
            <wp:extent cx="17659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2687955</wp:posOffset>
            </wp:positionH>
            <wp:positionV relativeFrom="paragraph">
              <wp:posOffset>186055</wp:posOffset>
            </wp:positionV>
            <wp:extent cx="17659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1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3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2687955</wp:posOffset>
            </wp:positionH>
            <wp:positionV relativeFrom="paragraph">
              <wp:posOffset>180340</wp:posOffset>
            </wp:positionV>
            <wp:extent cx="17659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97" w:lineRule="exact"/>
        <w:rPr>
          <w:sz w:val="24"/>
          <w:szCs w:val="24"/>
          <w:color w:val="auto"/>
        </w:rPr>
      </w:pPr>
    </w:p>
    <w:p>
      <w:pPr>
        <w:jc w:val="center"/>
        <w:ind w:right="20"/>
        <w:spacing w:after="0"/>
        <w:rPr>
          <w:sz w:val="20"/>
          <w:szCs w:val="20"/>
          <w:color w:val="auto"/>
        </w:rPr>
      </w:pPr>
      <w:r>
        <w:rPr>
          <w:rFonts w:ascii="Arial" w:cs="Arial" w:eastAsia="Arial" w:hAnsi="Arial"/>
          <w:sz w:val="40"/>
          <w:szCs w:val="40"/>
          <w:b w:val="1"/>
          <w:bCs w:val="1"/>
          <w:color w:val="auto"/>
        </w:rPr>
        <w:t>THE TORO COMPANY</w:t>
      </w:r>
    </w:p>
    <w:p>
      <w:pPr>
        <w:spacing w:after="0" w:line="91"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2687955</wp:posOffset>
            </wp:positionH>
            <wp:positionV relativeFrom="paragraph">
              <wp:posOffset>172085</wp:posOffset>
            </wp:positionV>
            <wp:extent cx="17659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ectPr>
          <w:pgSz w:w="11900" w:h="16838" w:orient="portrait"/>
          <w:cols w:equalWidth="0" w:num="1">
            <w:col w:w="11260"/>
          </w:cols>
          <w:pgMar w:left="320" w:top="1039" w:right="319" w:bottom="1440" w:gutter="0" w:footer="0" w:header="0"/>
        </w:sectPr>
      </w:pPr>
    </w:p>
    <w:p>
      <w:pPr>
        <w:spacing w:after="0" w:line="200" w:lineRule="exact"/>
        <w:rPr>
          <w:sz w:val="24"/>
          <w:szCs w:val="24"/>
          <w:color w:val="auto"/>
        </w:rPr>
      </w:pPr>
    </w:p>
    <w:p>
      <w:pPr>
        <w:spacing w:after="0" w:line="229" w:lineRule="exact"/>
        <w:rPr>
          <w:sz w:val="24"/>
          <w:szCs w:val="24"/>
          <w:color w:val="auto"/>
        </w:rPr>
      </w:pPr>
    </w:p>
    <w:p>
      <w:pPr>
        <w:ind w:left="16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9" w:lineRule="exact"/>
        <w:rPr>
          <w:sz w:val="24"/>
          <w:szCs w:val="24"/>
          <w:color w:val="auto"/>
        </w:rPr>
      </w:pPr>
    </w:p>
    <w:p>
      <w:pPr>
        <w:jc w:val="center"/>
        <w:ind w:right="2180"/>
        <w:spacing w:after="0"/>
        <w:rPr>
          <w:sz w:val="20"/>
          <w:szCs w:val="20"/>
          <w:color w:val="auto"/>
        </w:rPr>
      </w:pPr>
      <w:r>
        <w:rPr>
          <w:rFonts w:ascii="Arial" w:cs="Arial" w:eastAsia="Arial" w:hAnsi="Arial"/>
          <w:sz w:val="16"/>
          <w:szCs w:val="16"/>
          <w:b w:val="1"/>
          <w:bCs w:val="1"/>
          <w:color w:val="auto"/>
        </w:rPr>
        <w:t>1-8649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41-0580470</w:t>
      </w:r>
    </w:p>
    <w:p>
      <w:pPr>
        <w:spacing w:after="0" w:line="95" w:lineRule="exact"/>
        <w:rPr>
          <w:sz w:val="24"/>
          <w:szCs w:val="24"/>
          <w:color w:val="auto"/>
        </w:rPr>
      </w:pPr>
    </w:p>
    <w:p>
      <w:pPr>
        <w:sectPr>
          <w:pgSz w:w="11900" w:h="16838" w:orient="portrait"/>
          <w:cols w:equalWidth="0" w:num="3">
            <w:col w:w="4600" w:space="720"/>
            <w:col w:w="2700" w:space="720"/>
            <w:col w:w="2520"/>
          </w:cols>
          <w:pgMar w:left="320" w:top="1039" w:right="319" w:bottom="1440" w:gutter="0" w:footer="0" w:header="0"/>
          <w:type w:val="continuous"/>
        </w:sectPr>
      </w:pPr>
    </w:p>
    <w:p>
      <w:pPr>
        <w:ind w:left="580"/>
        <w:spacing w:after="0"/>
        <w:rPr>
          <w:sz w:val="20"/>
          <w:szCs w:val="20"/>
          <w:color w:val="auto"/>
        </w:rPr>
      </w:pPr>
      <w:r>
        <w:rPr>
          <w:rFonts w:ascii="Arial" w:cs="Arial" w:eastAsia="Arial" w:hAnsi="Arial"/>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200" w:lineRule="exact"/>
        <w:rPr>
          <w:sz w:val="24"/>
          <w:szCs w:val="24"/>
          <w:color w:val="auto"/>
        </w:rPr>
      </w:pPr>
    </w:p>
    <w:p>
      <w:pPr>
        <w:sectPr>
          <w:pgSz w:w="11900" w:h="16838" w:orient="portrait"/>
          <w:cols w:equalWidth="0" w:num="3">
            <w:col w:w="3960" w:space="720"/>
            <w:col w:w="2600" w:space="720"/>
            <w:col w:w="3260"/>
          </w:cols>
          <w:pgMar w:left="320" w:top="1039" w:right="319" w:bottom="1440" w:gutter="0" w:footer="0" w:header="0"/>
          <w:type w:val="continuous"/>
        </w:sectPr>
      </w:pP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8111 Lyndale Avenue South</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Bloomington, Minnesota 55420-1196</w:t>
      </w:r>
    </w:p>
    <w:p>
      <w:pPr>
        <w:jc w:val="center"/>
        <w:ind w:right="20"/>
        <w:spacing w:after="0"/>
        <w:rPr>
          <w:sz w:val="20"/>
          <w:szCs w:val="20"/>
          <w:color w:val="auto"/>
        </w:rPr>
      </w:pPr>
      <w:r>
        <w:rPr>
          <w:rFonts w:ascii="Arial" w:cs="Arial" w:eastAsia="Arial" w:hAnsi="Arial"/>
          <w:sz w:val="20"/>
          <w:szCs w:val="20"/>
          <w:b w:val="1"/>
          <w:bCs w:val="1"/>
          <w:color w:val="auto"/>
        </w:rPr>
        <w:t>Telephone number: (952) 888-8801</w:t>
      </w:r>
    </w:p>
    <w:p>
      <w:pPr>
        <w:spacing w:after="0" w:line="45"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(Address, including zip code, and telephone number, including area code, of registrant's principal executive offices)</w:t>
      </w:r>
    </w:p>
    <w:p>
      <w:pPr>
        <w:spacing w:after="0" w:line="168"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Not Applicable</w:t>
      </w:r>
    </w:p>
    <w:p>
      <w:pPr>
        <w:spacing w:after="0" w:line="67"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2687955</wp:posOffset>
            </wp:positionH>
            <wp:positionV relativeFrom="paragraph">
              <wp:posOffset>172085</wp:posOffset>
            </wp:positionV>
            <wp:extent cx="17659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65935" cy="8890"/>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ind w:right="20"/>
        <w:spacing w:after="0" w:line="261" w:lineRule="auto"/>
        <w:rPr>
          <w:sz w:val="20"/>
          <w:szCs w:val="20"/>
          <w:color w:val="auto"/>
        </w:rPr>
      </w:pPr>
      <w:r>
        <w:rPr>
          <w:rFonts w:ascii="Arial" w:cs="Arial" w:eastAsia="Arial" w:hAnsi="Arial"/>
          <w:sz w:val="19"/>
          <w:szCs w:val="19"/>
          <w:color w:val="auto"/>
        </w:rPr>
        <w:t>Check the appropriate box below if the Form 8-K filing is intended to simultaneously satisfy the filing obligation of the registrant under any of the following provisions:</w:t>
      </w:r>
    </w:p>
    <w:p>
      <w:pPr>
        <w:spacing w:after="0" w:line="78"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Written communications pursuant to Rule 425 under the Securities Act (17 CFR 230.425)</w:t>
      </w:r>
    </w:p>
    <w:p>
      <w:pPr>
        <w:spacing w:after="0" w:line="119" w:lineRule="exact"/>
        <w:rPr>
          <w:rFonts w:ascii="MS PGothic" w:cs="MS PGothic" w:eastAsia="MS PGothic" w:hAnsi="MS PGothic"/>
          <w:sz w:val="19"/>
          <w:szCs w:val="19"/>
          <w:color w:val="auto"/>
        </w:rPr>
      </w:pPr>
    </w:p>
    <w:p>
      <w:pPr>
        <w:ind w:left="240" w:hanging="232"/>
        <w:spacing w:after="0"/>
        <w:tabs>
          <w:tab w:leader="none" w:pos="24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Soliciting material pursuant to Rule 14a-12 under the Exchange Act (17 CFR 240.14a-12)</w:t>
      </w:r>
    </w:p>
    <w:p>
      <w:pPr>
        <w:spacing w:after="0" w:line="119" w:lineRule="exact"/>
        <w:rPr>
          <w:rFonts w:ascii="MS PGothic" w:cs="MS PGothic" w:eastAsia="MS PGothic" w:hAnsi="MS PGothic"/>
          <w:sz w:val="19"/>
          <w:szCs w:val="19"/>
          <w:color w:val="auto"/>
        </w:rPr>
      </w:pPr>
    </w:p>
    <w:p>
      <w:pPr>
        <w:ind w:left="240" w:hanging="232"/>
        <w:spacing w:after="0"/>
        <w:tabs>
          <w:tab w:leader="none" w:pos="24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Pre-commencement communications pursuant to Rule 14d-2(b) under the Exchange Act (17 CFR 240.14d-2(b))</w:t>
      </w:r>
    </w:p>
    <w:p>
      <w:pPr>
        <w:spacing w:after="0" w:line="119" w:lineRule="exact"/>
        <w:rPr>
          <w:rFonts w:ascii="MS PGothic" w:cs="MS PGothic" w:eastAsia="MS PGothic" w:hAnsi="MS PGothic"/>
          <w:sz w:val="19"/>
          <w:szCs w:val="19"/>
          <w:color w:val="auto"/>
        </w:rPr>
      </w:pPr>
    </w:p>
    <w:p>
      <w:pPr>
        <w:ind w:left="240" w:hanging="232"/>
        <w:spacing w:after="0"/>
        <w:tabs>
          <w:tab w:leader="none" w:pos="24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Pre-commencement communications pursuant to Rule 13e-4(c) under the Exchange Act (17 CFR 240.13e-4(c))</w:t>
      </w:r>
    </w:p>
    <w:p>
      <w:pPr>
        <w:spacing w:after="0" w:line="22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8" w:lineRule="exact"/>
        <w:rPr>
          <w:sz w:val="24"/>
          <w:szCs w:val="24"/>
          <w:color w:val="auto"/>
        </w:rPr>
      </w:pPr>
    </w:p>
    <w:tbl>
      <w:tblPr>
        <w:tblLayout w:type="fixed"/>
        <w:tblInd w:w="10" w:type="dxa"/>
        <w:tblCellMar>
          <w:top w:w="0" w:type="dxa"/>
          <w:left w:w="0" w:type="dxa"/>
          <w:bottom w:w="0" w:type="dxa"/>
          <w:right w:w="0" w:type="dxa"/>
        </w:tblCellMar>
      </w:tblPr>
      <w:tr>
        <w:trPr>
          <w:trHeight w:val="237"/>
        </w:trPr>
        <w:tc>
          <w:tcPr>
            <w:tcW w:w="40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3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4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33"/>
        </w:trPr>
        <w:tc>
          <w:tcPr>
            <w:tcW w:w="4080" w:type="dxa"/>
            <w:vAlign w:val="bottom"/>
            <w:tcBorders>
              <w:left w:val="single" w:sz="8" w:color="auto"/>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4140" w:type="dxa"/>
            <w:vAlign w:val="bottom"/>
            <w:tcBorders>
              <w:bottom w:val="single" w:sz="8" w:color="auto"/>
              <w:right w:val="single" w:sz="8" w:color="auto"/>
            </w:tcBorders>
          </w:tcPr>
          <w:p>
            <w:pPr>
              <w:spacing w:after="0"/>
              <w:rPr>
                <w:sz w:val="2"/>
                <w:szCs w:val="2"/>
                <w:color w:val="auto"/>
              </w:rPr>
            </w:pPr>
          </w:p>
        </w:tc>
      </w:tr>
      <w:tr>
        <w:trPr>
          <w:trHeight w:val="237"/>
        </w:trPr>
        <w:tc>
          <w:tcPr>
            <w:tcW w:w="4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$1.00 per share</w:t>
            </w:r>
          </w:p>
        </w:tc>
        <w:tc>
          <w:tcPr>
            <w:tcW w:w="30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TTC</w:t>
            </w:r>
          </w:p>
        </w:tc>
        <w:tc>
          <w:tcPr>
            <w:tcW w:w="4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r>
        <w:trPr>
          <w:trHeight w:val="27"/>
        </w:trPr>
        <w:tc>
          <w:tcPr>
            <w:tcW w:w="4080" w:type="dxa"/>
            <w:vAlign w:val="bottom"/>
            <w:tcBorders>
              <w:left w:val="single" w:sz="8" w:color="auto"/>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4140" w:type="dxa"/>
            <w:vAlign w:val="bottom"/>
            <w:tcBorders>
              <w:bottom w:val="single" w:sz="8" w:color="auto"/>
              <w:right w:val="single" w:sz="8" w:color="auto"/>
            </w:tcBorders>
          </w:tcPr>
          <w:p>
            <w:pPr>
              <w:spacing w:after="0"/>
              <w:rPr>
                <w:sz w:val="2"/>
                <w:szCs w:val="2"/>
                <w:color w:val="auto"/>
              </w:rPr>
            </w:pPr>
          </w:p>
        </w:tc>
      </w:tr>
    </w:tbl>
    <w:p>
      <w:pPr>
        <w:spacing w:after="0" w:line="194" w:lineRule="exact"/>
        <w:rPr>
          <w:sz w:val="24"/>
          <w:szCs w:val="24"/>
          <w:color w:val="auto"/>
        </w:rPr>
      </w:pPr>
    </w:p>
    <w:p>
      <w:pPr>
        <w:jc w:val="both"/>
        <w:ind w:right="20"/>
        <w:spacing w:after="0" w:line="261"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3" w:lineRule="exact"/>
        <w:rPr>
          <w:sz w:val="24"/>
          <w:szCs w:val="24"/>
          <w:color w:val="auto"/>
        </w:rPr>
      </w:pPr>
    </w:p>
    <w:p>
      <w:pPr>
        <w:ind w:left="896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177" w:lineRule="exact"/>
        <w:rPr>
          <w:sz w:val="24"/>
          <w:szCs w:val="24"/>
          <w:color w:val="auto"/>
        </w:rPr>
      </w:pPr>
    </w:p>
    <w:p>
      <w:pPr>
        <w:jc w:val="both"/>
        <w:ind w:right="20"/>
        <w:spacing w:after="0" w:line="239"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156845</wp:posOffset>
            </wp:positionV>
            <wp:extent cx="70980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71120</wp:posOffset>
            </wp:positionV>
            <wp:extent cx="70980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ectPr>
          <w:pgSz w:w="11900" w:h="16838" w:orient="portrait"/>
          <w:cols w:equalWidth="0" w:num="1">
            <w:col w:w="11260"/>
          </w:cols>
          <w:pgMar w:left="320" w:top="1039" w:right="3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0"/>
          <w:szCs w:val="20"/>
          <w:b w:val="1"/>
          <w:bCs w:val="1"/>
          <w:color w:val="auto"/>
        </w:rPr>
        <w:t>Section 2 - Financial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On June 4, 2020, The Toro Company announced its earnings for the three and six month periods ended May 1, 2020.</w:t>
      </w:r>
    </w:p>
    <w:p>
      <w:pPr>
        <w:spacing w:after="0" w:line="22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ectPr>
          <w:pgSz w:w="11900" w:h="16838" w:orient="portrait"/>
          <w:cols w:equalWidth="0" w:num="1">
            <w:col w:w="11240"/>
          </w:cols>
          <w:pgMar w:left="320" w:top="549" w:right="339" w:bottom="1440" w:gutter="0" w:footer="0" w:header="0"/>
        </w:sectPr>
      </w:pPr>
    </w:p>
    <w:bookmarkStart w:id="2" w:name="page3"/>
    <w:bookmarkEnd w:id="2"/>
    <w:p>
      <w:pPr>
        <w:spacing w:after="0"/>
        <w:rPr>
          <w:sz w:val="20"/>
          <w:szCs w:val="20"/>
          <w:color w:val="auto"/>
        </w:rPr>
      </w:pPr>
      <w:r>
        <w:rPr>
          <w:rFonts w:ascii="Arial" w:cs="Arial" w:eastAsia="Arial" w:hAnsi="Arial"/>
          <w:sz w:val="20"/>
          <w:szCs w:val="20"/>
          <w:b w:val="1"/>
          <w:bCs w:val="1"/>
          <w:color w:val="auto"/>
        </w:rPr>
        <w:t>Section 9 - Financial Statements and Exhibits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22" w:lineRule="exact"/>
        <w:rPr>
          <w:sz w:val="20"/>
          <w:szCs w:val="20"/>
          <w:color w:val="auto"/>
        </w:rPr>
      </w:pPr>
    </w:p>
    <w:p>
      <w:pPr>
        <w:spacing w:after="0"/>
        <w:tabs>
          <w:tab w:leader="none" w:pos="40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18"/>
          <w:szCs w:val="18"/>
          <w:color w:val="auto"/>
        </w:rPr>
        <w:t>Exhibits.</w:t>
      </w:r>
    </w:p>
    <w:p>
      <w:pPr>
        <w:spacing w:after="0" w:line="372" w:lineRule="exact"/>
        <w:rPr>
          <w:sz w:val="20"/>
          <w:szCs w:val="20"/>
          <w:color w:val="auto"/>
        </w:rPr>
      </w:pPr>
    </w:p>
    <w:tbl>
      <w:tblPr>
        <w:tblLayout w:type="fixed"/>
        <w:tblInd w:w="220" w:type="dxa"/>
        <w:tblCellMar>
          <w:top w:w="0" w:type="dxa"/>
          <w:left w:w="0" w:type="dxa"/>
          <w:bottom w:w="0" w:type="dxa"/>
          <w:right w:w="0" w:type="dxa"/>
        </w:tblCellMar>
      </w:tblPr>
      <w:tr>
        <w:trPr>
          <w:trHeight w:val="256"/>
        </w:trPr>
        <w:tc>
          <w:tcPr>
            <w:tcW w:w="1580" w:type="dxa"/>
            <w:vAlign w:val="bottom"/>
          </w:tcPr>
          <w:p>
            <w:pPr>
              <w:spacing w:after="0"/>
              <w:rPr>
                <w:sz w:val="20"/>
                <w:szCs w:val="20"/>
                <w:color w:val="auto"/>
              </w:rPr>
            </w:pPr>
            <w:r>
              <w:rPr>
                <w:rFonts w:ascii="Arial" w:cs="Arial" w:eastAsia="Arial" w:hAnsi="Arial"/>
                <w:sz w:val="20"/>
                <w:szCs w:val="20"/>
                <w:b w:val="1"/>
                <w:bCs w:val="1"/>
                <w:color w:val="auto"/>
              </w:rPr>
              <w:t>Exhibit No.</w:t>
            </w:r>
          </w:p>
        </w:tc>
        <w:tc>
          <w:tcPr>
            <w:tcW w:w="7000" w:type="dxa"/>
            <w:vAlign w:val="bottom"/>
          </w:tcPr>
          <w:p>
            <w:pPr>
              <w:ind w:left="600"/>
              <w:spacing w:after="0"/>
              <w:rPr>
                <w:sz w:val="20"/>
                <w:szCs w:val="20"/>
                <w:color w:val="auto"/>
              </w:rPr>
            </w:pPr>
            <w:r>
              <w:rPr>
                <w:rFonts w:ascii="Arial" w:cs="Arial" w:eastAsia="Arial" w:hAnsi="Arial"/>
                <w:sz w:val="20"/>
                <w:szCs w:val="20"/>
                <w:b w:val="1"/>
                <w:bCs w:val="1"/>
                <w:color w:val="auto"/>
              </w:rPr>
              <w:t>Description</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99.1</w:t>
            </w:r>
          </w:p>
        </w:tc>
        <w:tc>
          <w:tcPr>
            <w:tcW w:w="7000" w:type="dxa"/>
            <w:vAlign w:val="bottom"/>
          </w:tcPr>
          <w:p>
            <w:pPr>
              <w:ind w:left="600"/>
              <w:spacing w:after="0"/>
              <w:rPr>
                <w:rFonts w:ascii="Arial" w:cs="Arial" w:eastAsia="Arial" w:hAnsi="Arial"/>
                <w:sz w:val="20"/>
                <w:szCs w:val="20"/>
                <w:u w:val="single" w:color="auto"/>
                <w:color w:val="0000FF"/>
              </w:rPr>
            </w:pPr>
            <w:hyperlink w:anchor="page5">
              <w:r>
                <w:rPr>
                  <w:rFonts w:ascii="Arial" w:cs="Arial" w:eastAsia="Arial" w:hAnsi="Arial"/>
                  <w:sz w:val="20"/>
                  <w:szCs w:val="20"/>
                  <w:u w:val="single" w:color="auto"/>
                  <w:color w:val="0000FF"/>
                </w:rPr>
                <w:t>Press release dated June 4, 2020 (furnished herewith).</w:t>
              </w:r>
            </w:hyperlink>
          </w:p>
        </w:tc>
      </w:tr>
      <w:tr>
        <w:trPr>
          <w:trHeight w:val="283"/>
        </w:trPr>
        <w:tc>
          <w:tcPr>
            <w:tcW w:w="1580" w:type="dxa"/>
            <w:vAlign w:val="bottom"/>
          </w:tcPr>
          <w:p>
            <w:pPr>
              <w:spacing w:after="0"/>
              <w:rPr>
                <w:sz w:val="20"/>
                <w:szCs w:val="20"/>
                <w:color w:val="auto"/>
              </w:rPr>
            </w:pPr>
            <w:r>
              <w:rPr>
                <w:rFonts w:ascii="Arial" w:cs="Arial" w:eastAsia="Arial" w:hAnsi="Arial"/>
                <w:sz w:val="20"/>
                <w:szCs w:val="20"/>
                <w:color w:val="auto"/>
              </w:rPr>
              <w:t>104</w:t>
            </w:r>
          </w:p>
        </w:tc>
        <w:tc>
          <w:tcPr>
            <w:tcW w:w="7000" w:type="dxa"/>
            <w:vAlign w:val="bottom"/>
          </w:tcPr>
          <w:p>
            <w:pPr>
              <w:ind w:left="600"/>
              <w:spacing w:after="0"/>
              <w:rPr>
                <w:sz w:val="20"/>
                <w:szCs w:val="20"/>
                <w:color w:val="auto"/>
              </w:rPr>
            </w:pPr>
            <w:r>
              <w:rPr>
                <w:rFonts w:ascii="Arial" w:cs="Arial" w:eastAsia="Arial" w:hAnsi="Arial"/>
                <w:sz w:val="20"/>
                <w:szCs w:val="20"/>
                <w:color w:val="auto"/>
                <w:w w:val="90"/>
              </w:rPr>
              <w:t>Cover Page Interactive Data File (embedded within the Inline XBRL document).</w:t>
            </w:r>
          </w:p>
        </w:tc>
      </w:tr>
    </w:tbl>
    <w:p>
      <w:pPr>
        <w:sectPr>
          <w:pgSz w:w="11900" w:h="16838" w:orient="portrait"/>
          <w:cols w:equalWidth="0" w:num="1">
            <w:col w:w="10139"/>
          </w:cols>
          <w:pgMar w:left="320" w:top="549" w:right="1440"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20"/>
          <w:szCs w:val="20"/>
          <w:color w:val="auto"/>
        </w:rPr>
        <w:t>SIGNATURES</w:t>
      </w:r>
    </w:p>
    <w:p>
      <w:pPr>
        <w:spacing w:after="0" w:line="21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55" w:lineRule="exact"/>
        <w:rPr>
          <w:sz w:val="20"/>
          <w:szCs w:val="20"/>
          <w:color w:val="auto"/>
        </w:rPr>
      </w:pPr>
    </w:p>
    <w:p>
      <w:pPr>
        <w:ind w:left="6320"/>
        <w:spacing w:after="0"/>
        <w:rPr>
          <w:sz w:val="20"/>
          <w:szCs w:val="20"/>
          <w:color w:val="auto"/>
        </w:rPr>
      </w:pPr>
      <w:r>
        <w:rPr>
          <w:rFonts w:ascii="Arial" w:cs="Arial" w:eastAsia="Arial" w:hAnsi="Arial"/>
          <w:sz w:val="20"/>
          <w:szCs w:val="20"/>
          <w:color w:val="auto"/>
        </w:rPr>
        <w:t>THE TORO COMPANY</w:t>
      </w:r>
    </w:p>
    <w:p>
      <w:pPr>
        <w:spacing w:after="0" w:line="54" w:lineRule="exact"/>
        <w:rPr>
          <w:sz w:val="20"/>
          <w:szCs w:val="20"/>
          <w:color w:val="auto"/>
        </w:rPr>
      </w:pPr>
    </w:p>
    <w:p>
      <w:pPr>
        <w:ind w:left="6320"/>
        <w:spacing w:after="0"/>
        <w:rPr>
          <w:sz w:val="20"/>
          <w:szCs w:val="20"/>
          <w:color w:val="auto"/>
        </w:rPr>
      </w:pPr>
      <w:r>
        <w:rPr>
          <w:rFonts w:ascii="Arial" w:cs="Arial" w:eastAsia="Arial" w:hAnsi="Arial"/>
          <w:sz w:val="20"/>
          <w:szCs w:val="20"/>
          <w:color w:val="auto"/>
        </w:rPr>
        <w:t>(Registrant)</w:t>
      </w:r>
    </w:p>
    <w:p>
      <w:pPr>
        <w:spacing w:after="0" w:line="378"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20"/>
          <w:szCs w:val="20"/>
          <w:color w:val="auto"/>
        </w:rPr>
        <w:t>Date: June 4, 2020</w:t>
      </w:r>
      <w:r>
        <w:rPr>
          <w:sz w:val="20"/>
          <w:szCs w:val="20"/>
          <w:color w:val="auto"/>
        </w:rPr>
        <w:tab/>
      </w:r>
      <w:r>
        <w:rPr>
          <w:rFonts w:ascii="Arial" w:cs="Arial" w:eastAsia="Arial" w:hAnsi="Arial"/>
          <w:sz w:val="16"/>
          <w:szCs w:val="16"/>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27305</wp:posOffset>
            </wp:positionV>
            <wp:extent cx="31375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47" w:lineRule="exact"/>
        <w:rPr>
          <w:sz w:val="20"/>
          <w:szCs w:val="20"/>
          <w:color w:val="auto"/>
        </w:rPr>
      </w:pPr>
    </w:p>
    <w:p>
      <w:pPr>
        <w:ind w:left="6320"/>
        <w:spacing w:after="0"/>
        <w:rPr>
          <w:sz w:val="20"/>
          <w:szCs w:val="20"/>
          <w:color w:val="auto"/>
        </w:rPr>
      </w:pPr>
      <w:r>
        <w:rPr>
          <w:rFonts w:ascii="Arial" w:cs="Arial" w:eastAsia="Arial" w:hAnsi="Arial"/>
          <w:sz w:val="20"/>
          <w:szCs w:val="20"/>
          <w:color w:val="auto"/>
        </w:rPr>
        <w:t>Renee J. Peterson</w:t>
      </w:r>
    </w:p>
    <w:p>
      <w:pPr>
        <w:spacing w:after="0" w:line="54" w:lineRule="exact"/>
        <w:rPr>
          <w:sz w:val="20"/>
          <w:szCs w:val="20"/>
          <w:color w:val="auto"/>
        </w:rPr>
      </w:pPr>
    </w:p>
    <w:p>
      <w:pPr>
        <w:ind w:left="6320"/>
        <w:spacing w:after="0"/>
        <w:rPr>
          <w:sz w:val="20"/>
          <w:szCs w:val="20"/>
          <w:color w:val="auto"/>
        </w:rPr>
      </w:pPr>
      <w:r>
        <w:rPr>
          <w:rFonts w:ascii="Arial" w:cs="Arial" w:eastAsia="Arial" w:hAnsi="Arial"/>
          <w:sz w:val="20"/>
          <w:szCs w:val="20"/>
          <w:color w:val="auto"/>
        </w:rPr>
        <w:t>Vice President, Treasurer and</w:t>
      </w:r>
    </w:p>
    <w:p>
      <w:pPr>
        <w:spacing w:after="0" w:line="16" w:lineRule="exact"/>
        <w:rPr>
          <w:sz w:val="20"/>
          <w:szCs w:val="20"/>
          <w:color w:val="auto"/>
        </w:rPr>
      </w:pPr>
    </w:p>
    <w:p>
      <w:pPr>
        <w:ind w:left="6320"/>
        <w:spacing w:after="0"/>
        <w:rPr>
          <w:sz w:val="20"/>
          <w:szCs w:val="20"/>
          <w:color w:val="auto"/>
        </w:rPr>
      </w:pPr>
      <w:r>
        <w:rPr>
          <w:rFonts w:ascii="Arial" w:cs="Arial" w:eastAsia="Arial" w:hAnsi="Arial"/>
          <w:sz w:val="20"/>
          <w:szCs w:val="20"/>
          <w:color w:val="auto"/>
        </w:rPr>
        <w:t>Chief Financial Officer</w:t>
      </w:r>
    </w:p>
    <w:p>
      <w:pPr>
        <w:sectPr>
          <w:pgSz w:w="11900" w:h="16838" w:orient="portrait"/>
          <w:cols w:equalWidth="0" w:num="1">
            <w:col w:w="11080"/>
          </w:cols>
          <w:pgMar w:left="320" w:top="555" w:right="4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994410" cy="651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994410" cy="651510"/>
                    </a:xfrm>
                    <a:prstGeom prst="rect">
                      <a:avLst/>
                    </a:prstGeom>
                    <a:noFill/>
                  </pic:spPr>
                </pic:pic>
              </a:graphicData>
            </a:graphic>
          </wp:anchor>
        </w:drawing>
        <w:t>Investor Relations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Nicholas Rhoads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 Investor Relations</w:t>
      </w:r>
    </w:p>
    <w:p>
      <w:pPr>
        <w:spacing w:after="0" w:line="9" w:lineRule="exact"/>
        <w:rPr>
          <w:sz w:val="20"/>
          <w:szCs w:val="20"/>
          <w:color w:val="auto"/>
        </w:rPr>
      </w:pP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887-8865, </w:t>
      </w:r>
      <w:r>
        <w:rPr>
          <w:rFonts w:ascii="Arial" w:cs="Arial" w:eastAsia="Arial" w:hAnsi="Arial"/>
          <w:sz w:val="18"/>
          <w:szCs w:val="18"/>
          <w:u w:val="single" w:color="auto"/>
          <w:color w:val="0000FF"/>
        </w:rPr>
        <w:t>nicholas.rhoads@toro.com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Manager, Public Relations</w:t>
      </w:r>
    </w:p>
    <w:p>
      <w:pPr>
        <w:spacing w:after="0" w:line="9" w:lineRule="exact"/>
        <w:rPr>
          <w:sz w:val="20"/>
          <w:szCs w:val="20"/>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887-8930, </w:t>
      </w:r>
      <w:r>
        <w:rPr>
          <w:rFonts w:ascii="Arial" w:cs="Arial" w:eastAsia="Arial" w:hAnsi="Arial"/>
          <w:sz w:val="18"/>
          <w:szCs w:val="18"/>
          <w:u w:val="single" w:color="auto"/>
          <w:color w:val="0000FF"/>
        </w:rPr>
        <w:t>branden.happel@toro.com</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 Immediate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The Toro Company Reports Second Quarter Fiscal 2020 Results</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Acquisitions and Residential Segment Growth Partially Offset COVID-19 Related Impacts</w:t>
      </w:r>
    </w:p>
    <w:p>
      <w:pPr>
        <w:spacing w:after="0" w:line="24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Net sales of $929.4 million, down 3.4% year-over-year, driven by COVID-19 impacts</w:t>
      </w:r>
    </w:p>
    <w:p>
      <w:pPr>
        <w:ind w:left="660" w:hanging="328"/>
        <w:spacing w:after="0"/>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Reported diluted EPS of $0.91, and *adjusted EPS of $0.92</w:t>
      </w:r>
    </w:p>
    <w:p>
      <w:pPr>
        <w:ind w:left="660" w:hanging="328"/>
        <w:spacing w:after="0"/>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Residential segment up 12.9% on mass retail strength and strong retail demand</w:t>
      </w:r>
    </w:p>
    <w:p>
      <w:pPr>
        <w:ind w:left="660" w:hanging="328"/>
        <w:spacing w:after="0"/>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Strong liquidity position of approximately $800 million</w:t>
      </w:r>
    </w:p>
    <w:p>
      <w:pPr>
        <w:spacing w:after="0" w:line="200" w:lineRule="exact"/>
        <w:rPr>
          <w:sz w:val="20"/>
          <w:szCs w:val="20"/>
          <w:color w:val="auto"/>
        </w:rPr>
      </w:pPr>
    </w:p>
    <w:p>
      <w:pPr>
        <w:spacing w:after="0" w:line="343" w:lineRule="exact"/>
        <w:rPr>
          <w:sz w:val="20"/>
          <w:szCs w:val="20"/>
          <w:color w:val="auto"/>
        </w:rPr>
      </w:pPr>
    </w:p>
    <w:p>
      <w:pPr>
        <w:ind w:right="160"/>
        <w:spacing w:after="0" w:line="271" w:lineRule="auto"/>
        <w:rPr>
          <w:sz w:val="20"/>
          <w:szCs w:val="20"/>
          <w:color w:val="auto"/>
        </w:rPr>
      </w:pPr>
      <w:r>
        <w:rPr>
          <w:rFonts w:ascii="Arial" w:cs="Arial" w:eastAsia="Arial" w:hAnsi="Arial"/>
          <w:sz w:val="20"/>
          <w:szCs w:val="20"/>
          <w:b w:val="1"/>
          <w:bCs w:val="1"/>
          <w:color w:val="auto"/>
        </w:rPr>
        <w:t>BLOOMINGTON, Minn.—(BUSINESS WIRE) —June 4, 2020—</w:t>
      </w:r>
      <w:r>
        <w:rPr>
          <w:rFonts w:ascii="Arial" w:cs="Arial" w:eastAsia="Arial" w:hAnsi="Arial"/>
          <w:sz w:val="20"/>
          <w:szCs w:val="20"/>
          <w:color w:val="auto"/>
        </w:rPr>
        <w:t>The Toro Company (NYSE: TTC) today reported results for its</w:t>
      </w:r>
      <w:r>
        <w:rPr>
          <w:rFonts w:ascii="Arial" w:cs="Arial" w:eastAsia="Arial" w:hAnsi="Arial"/>
          <w:sz w:val="20"/>
          <w:szCs w:val="20"/>
          <w:b w:val="1"/>
          <w:bCs w:val="1"/>
          <w:color w:val="auto"/>
        </w:rPr>
        <w:t xml:space="preserve"> </w:t>
      </w:r>
      <w:r>
        <w:rPr>
          <w:rFonts w:ascii="Arial" w:cs="Arial" w:eastAsia="Arial" w:hAnsi="Arial"/>
          <w:sz w:val="20"/>
          <w:szCs w:val="20"/>
          <w:color w:val="auto"/>
        </w:rPr>
        <w:t>second quarter ended May 1, 2020.</w:t>
      </w:r>
    </w:p>
    <w:p>
      <w:pPr>
        <w:spacing w:after="0" w:line="180"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“It has been inspiring to see The Toro Company’s values in action during this challenging time,” said Richard M. Olson, chairman and chief executive officer. “Everyone pulled together to maintain the team’s safety, supply our customers with essential products and services, and help our communities in the COVID-19 fight.”</w:t>
      </w:r>
    </w:p>
    <w:p>
      <w:pPr>
        <w:spacing w:after="0" w:line="165" w:lineRule="exact"/>
        <w:rPr>
          <w:sz w:val="20"/>
          <w:szCs w:val="20"/>
          <w:color w:val="auto"/>
        </w:rPr>
      </w:pPr>
    </w:p>
    <w:p>
      <w:pPr>
        <w:ind w:right="60"/>
        <w:spacing w:after="0" w:line="241" w:lineRule="auto"/>
        <w:rPr>
          <w:sz w:val="20"/>
          <w:szCs w:val="20"/>
          <w:color w:val="auto"/>
        </w:rPr>
      </w:pPr>
      <w:r>
        <w:rPr>
          <w:rFonts w:ascii="Arial" w:cs="Arial" w:eastAsia="Arial" w:hAnsi="Arial"/>
          <w:sz w:val="20"/>
          <w:szCs w:val="20"/>
          <w:color w:val="auto"/>
        </w:rPr>
        <w:t>“Retail demand in the second quarter started strong and continued favorably until mid-March when the full effects of the pandemic were realized in North America,” continued Olson. “The direct impact of government orders and the general weakening of customer confidence reduced demand in key professional markets. Residential segment sales were strong throughout the quarter driven by new products, an expanded channel, a strong start to spring and consumer behavior in favor of home and garden improvement during stay at home orders.”</w:t>
      </w:r>
    </w:p>
    <w:p>
      <w:pPr>
        <w:spacing w:after="0" w:line="276" w:lineRule="exact"/>
        <w:rPr>
          <w:sz w:val="20"/>
          <w:szCs w:val="20"/>
          <w:color w:val="auto"/>
        </w:rPr>
      </w:pPr>
    </w:p>
    <w:p>
      <w:pPr>
        <w:ind w:right="240"/>
        <w:spacing w:after="0" w:line="241" w:lineRule="auto"/>
        <w:rPr>
          <w:sz w:val="20"/>
          <w:szCs w:val="20"/>
          <w:color w:val="auto"/>
        </w:rPr>
      </w:pPr>
      <w:r>
        <w:rPr>
          <w:rFonts w:ascii="Arial" w:cs="Arial" w:eastAsia="Arial" w:hAnsi="Arial"/>
          <w:sz w:val="20"/>
          <w:szCs w:val="20"/>
          <w:color w:val="auto"/>
        </w:rPr>
        <w:t>“In May, the residential segment momentum continued—driven by the same factors, while the professional segment saw a significant step down in some markets as customers reduced capital budgets and deferred new purchases,” added Olson. “While we can’t fully determine the level of customer spending that will return in fiscal 2020, we are taking every opportunity to support our customers with products and parts along with financing and other tools.”</w:t>
      </w:r>
    </w:p>
    <w:p>
      <w:pPr>
        <w:sectPr>
          <w:pgSz w:w="11900" w:h="16838" w:orient="portrait"/>
          <w:cols w:equalWidth="0" w:num="1">
            <w:col w:w="11240"/>
          </w:cols>
          <w:pgMar w:left="320" w:top="1359" w:right="339" w:bottom="1440" w:gutter="0" w:footer="0" w:header="0"/>
        </w:sectPr>
      </w:pPr>
    </w:p>
    <w:bookmarkStart w:id="5" w:name="page6"/>
    <w:bookmarkEnd w:id="5"/>
    <w:p>
      <w:pPr>
        <w:ind w:left="40"/>
        <w:spacing w:after="0"/>
        <w:rPr>
          <w:sz w:val="20"/>
          <w:szCs w:val="20"/>
          <w:color w:val="auto"/>
        </w:rPr>
      </w:pPr>
      <w:r>
        <w:rPr>
          <w:rFonts w:ascii="Arial" w:cs="Arial" w:eastAsia="Arial" w:hAnsi="Arial"/>
          <w:sz w:val="17"/>
          <w:szCs w:val="17"/>
          <w:color w:val="auto"/>
        </w:rPr>
        <w:t>2 - The Toro Company Reports Second Quarter Fiscal 2020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SECOND-QUARTER AND YEAR-TO-DATE FISCAL 2020 FINANCIAL HIGHLIGHTS</w:t>
      </w:r>
    </w:p>
    <w:p>
      <w:pPr>
        <w:spacing w:after="0" w:line="132" w:lineRule="exact"/>
        <w:rPr>
          <w:sz w:val="20"/>
          <w:szCs w:val="20"/>
          <w:color w:val="auto"/>
        </w:rPr>
      </w:pPr>
    </w:p>
    <w:p>
      <w:pPr>
        <w:ind w:left="660" w:right="240" w:hanging="328"/>
        <w:spacing w:after="0" w:line="246" w:lineRule="auto"/>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Net sales of $929.4 million down 3.4% compared with $962.0 million in the second quarter of fiscal 2019; Year-to-date fiscal 2020 net sales were $1.70 billion, up 8.4% compared with $1.56 billion in the same prior year period.</w:t>
      </w:r>
    </w:p>
    <w:p>
      <w:pPr>
        <w:spacing w:after="0" w:line="217" w:lineRule="exact"/>
        <w:rPr>
          <w:rFonts w:ascii="Arial" w:cs="Arial" w:eastAsia="Arial" w:hAnsi="Arial"/>
          <w:sz w:val="20"/>
          <w:szCs w:val="20"/>
          <w:color w:val="auto"/>
        </w:rPr>
      </w:pPr>
    </w:p>
    <w:p>
      <w:pPr>
        <w:ind w:left="660" w:right="120" w:hanging="328"/>
        <w:spacing w:after="0" w:line="272" w:lineRule="auto"/>
        <w:tabs>
          <w:tab w:leader="none" w:pos="660" w:val="left"/>
        </w:tabs>
        <w:numPr>
          <w:ilvl w:val="0"/>
          <w:numId w:val="5"/>
        </w:numPr>
        <w:rPr>
          <w:rFonts w:ascii="Arial" w:cs="Arial" w:eastAsia="Arial" w:hAnsi="Arial"/>
          <w:sz w:val="19"/>
          <w:szCs w:val="19"/>
          <w:color w:val="auto"/>
        </w:rPr>
      </w:pPr>
      <w:r>
        <w:rPr>
          <w:rFonts w:ascii="Arial" w:cs="Arial" w:eastAsia="Arial" w:hAnsi="Arial"/>
          <w:sz w:val="19"/>
          <w:szCs w:val="19"/>
          <w:color w:val="auto"/>
        </w:rPr>
        <w:t>Net earnings of $98.4 million, down 14.8% compared with $115.6 million in the second quarter of fiscal 2019; *Adjusted net earnings of $100.2 million, down 20.5% compared with $126.0 million in the second quarter of fiscal 2019.</w:t>
      </w:r>
    </w:p>
    <w:p>
      <w:pPr>
        <w:spacing w:after="0" w:line="193" w:lineRule="exact"/>
        <w:rPr>
          <w:rFonts w:ascii="Arial" w:cs="Arial" w:eastAsia="Arial" w:hAnsi="Arial"/>
          <w:sz w:val="19"/>
          <w:szCs w:val="19"/>
          <w:color w:val="auto"/>
        </w:rPr>
      </w:pPr>
    </w:p>
    <w:p>
      <w:pPr>
        <w:ind w:left="660" w:right="60"/>
        <w:spacing w:after="0" w:line="243" w:lineRule="auto"/>
        <w:rPr>
          <w:rFonts w:ascii="Arial" w:cs="Arial" w:eastAsia="Arial" w:hAnsi="Arial"/>
          <w:sz w:val="19"/>
          <w:szCs w:val="19"/>
          <w:color w:val="auto"/>
        </w:rPr>
      </w:pPr>
      <w:r>
        <w:rPr>
          <w:rFonts w:ascii="Arial" w:cs="Arial" w:eastAsia="Arial" w:hAnsi="Arial"/>
          <w:sz w:val="20"/>
          <w:szCs w:val="20"/>
          <w:color w:val="auto"/>
        </w:rPr>
        <w:t>Year-to-date fiscal 2020 net earnings of $168.5 million, down 3.8% compared with $175.1 million in the same prior year period; *Adjusted net earnings of $169.8 million, down 7.0% compared with $182.7 million in the first six months of fiscal 2019.</w:t>
      </w:r>
    </w:p>
    <w:p>
      <w:pPr>
        <w:spacing w:after="0" w:line="219" w:lineRule="exact"/>
        <w:rPr>
          <w:rFonts w:ascii="Arial" w:cs="Arial" w:eastAsia="Arial" w:hAnsi="Arial"/>
          <w:sz w:val="19"/>
          <w:szCs w:val="19"/>
          <w:color w:val="auto"/>
        </w:rPr>
      </w:pPr>
    </w:p>
    <w:p>
      <w:pPr>
        <w:ind w:left="660" w:right="40" w:hanging="328"/>
        <w:spacing w:after="0" w:line="243" w:lineRule="auto"/>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Reported EPS of $0.91 per diluted share, down 15.0% compared with $1.07 per diluted share in the second quarter of fiscal 2019; *Adjusted EPS of $0.92 per diluted share, down 21.4% compared with $1.17 per diluted share in the second quarter of fiscal 2019.</w:t>
      </w:r>
    </w:p>
    <w:p>
      <w:pPr>
        <w:spacing w:after="0" w:line="219" w:lineRule="exact"/>
        <w:rPr>
          <w:sz w:val="20"/>
          <w:szCs w:val="20"/>
          <w:color w:val="auto"/>
        </w:rPr>
      </w:pPr>
    </w:p>
    <w:p>
      <w:pPr>
        <w:ind w:left="660" w:right="20"/>
        <w:spacing w:after="0" w:line="243" w:lineRule="auto"/>
        <w:rPr>
          <w:sz w:val="20"/>
          <w:szCs w:val="20"/>
          <w:color w:val="auto"/>
        </w:rPr>
      </w:pPr>
      <w:r>
        <w:rPr>
          <w:rFonts w:ascii="Arial" w:cs="Arial" w:eastAsia="Arial" w:hAnsi="Arial"/>
          <w:sz w:val="20"/>
          <w:szCs w:val="20"/>
          <w:color w:val="auto"/>
        </w:rPr>
        <w:t>Year-to-date fiscal 2020 reported EPS of $1.55 per diluted share, down 4.3% compared with $1.62 per diluted share in the same prior year period; *Adjusted EPS of $1.56 per diluted share, down 7.7% compared with $1.69 per diluted share in the first six months of fiscal 2019.</w:t>
      </w:r>
    </w:p>
    <w:p>
      <w:pPr>
        <w:spacing w:after="0" w:line="204"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Please see the tables provided for a reconciliation of adjusted non-GAAP net earnings and adjusted non-GAAP diluted earnings per share</w:t>
      </w:r>
      <w:r>
        <w:rPr>
          <w:rFonts w:ascii="Arial" w:cs="Arial" w:eastAsia="Arial" w:hAnsi="Arial"/>
          <w:sz w:val="18"/>
          <w:szCs w:val="18"/>
          <w:color w:val="auto"/>
        </w:rPr>
        <w:t xml:space="preserve"> </w:t>
      </w:r>
      <w:r>
        <w:rPr>
          <w:rFonts w:ascii="Arial" w:cs="Arial" w:eastAsia="Arial" w:hAnsi="Arial"/>
          <w:sz w:val="18"/>
          <w:szCs w:val="18"/>
          <w:i w:val="1"/>
          <w:iCs w:val="1"/>
          <w:color w:val="auto"/>
        </w:rPr>
        <w:t>to the comparable GAAP measures.</w:t>
      </w: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RESPONSE TO COVID-19</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People &amp; Plant Operations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The Toro Company implemented safeguards in its facilities to protect team members, including working from home directives, increased frequency of cleaning and disinfecting facilities, social distancing practices and other measures consistent with specific regulatory requirements and health authority guidance. Many governments classified the company’s operations as an essential business for support of critical underground infrastructure, growth of food and enablement of safe outdoor spaces. The company suspended operations temporarily at certain facilities during the past two months in response to government orders or lower customer demand. All of the company’s facilities are currently open with some operating at reduced capacity.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Balance Sheet and Liquidity</w:t>
      </w:r>
    </w:p>
    <w:p>
      <w:pPr>
        <w:spacing w:after="0" w:line="240" w:lineRule="exact"/>
        <w:rPr>
          <w:sz w:val="20"/>
          <w:szCs w:val="20"/>
          <w:color w:val="auto"/>
        </w:rPr>
      </w:pPr>
    </w:p>
    <w:p>
      <w:pPr>
        <w:ind w:right="160"/>
        <w:spacing w:after="0" w:line="241" w:lineRule="auto"/>
        <w:rPr>
          <w:sz w:val="20"/>
          <w:szCs w:val="20"/>
          <w:color w:val="auto"/>
        </w:rPr>
      </w:pPr>
      <w:r>
        <w:rPr>
          <w:rFonts w:ascii="Arial" w:cs="Arial" w:eastAsia="Arial" w:hAnsi="Arial"/>
          <w:sz w:val="20"/>
          <w:szCs w:val="20"/>
          <w:color w:val="0A0A0A"/>
        </w:rPr>
        <w:t xml:space="preserve">The Toro Company continues to have a strong balance sheet and capital position with no significant debt maturities until April 2022. The company believes it is in a solid financial position with sufficient liquidity to navigate the current business environment. As of May 1, 2020, the company had liquidity of approximately $800 million, including cash and cash equivalents of </w:t>
      </w:r>
      <w:r>
        <w:rPr>
          <w:rFonts w:ascii="Arial" w:cs="Arial" w:eastAsia="Arial" w:hAnsi="Arial"/>
          <w:sz w:val="20"/>
          <w:szCs w:val="20"/>
          <w:color w:val="000000"/>
        </w:rPr>
        <w:t>$200 million</w:t>
      </w:r>
      <w:r>
        <w:rPr>
          <w:rFonts w:ascii="Arial" w:cs="Arial" w:eastAsia="Arial" w:hAnsi="Arial"/>
          <w:sz w:val="20"/>
          <w:szCs w:val="20"/>
          <w:color w:val="0A0A0A"/>
        </w:rPr>
        <w:t xml:space="preserve"> and unutilized availability under its revolving credit facility of approximately $600 million.</w:t>
      </w:r>
    </w:p>
    <w:p>
      <w:pPr>
        <w:sectPr>
          <w:pgSz w:w="11900" w:h="16838" w:orient="portrait"/>
          <w:cols w:equalWidth="0" w:num="1">
            <w:col w:w="11200"/>
          </w:cols>
          <w:pgMar w:left="320" w:top="517" w:right="379" w:bottom="1440" w:gutter="0" w:footer="0" w:header="0"/>
          <w:type w:val="continuous"/>
        </w:sectPr>
      </w:pPr>
    </w:p>
    <w:bookmarkStart w:id="6" w:name="page7"/>
    <w:bookmarkEnd w:id="6"/>
    <w:p>
      <w:pPr>
        <w:ind w:left="40"/>
        <w:spacing w:after="0"/>
        <w:rPr>
          <w:sz w:val="20"/>
          <w:szCs w:val="20"/>
          <w:color w:val="auto"/>
        </w:rPr>
      </w:pPr>
      <w:r>
        <w:rPr>
          <w:rFonts w:ascii="Arial" w:cs="Arial" w:eastAsia="Arial" w:hAnsi="Arial"/>
          <w:sz w:val="17"/>
          <w:szCs w:val="17"/>
          <w:color w:val="auto"/>
        </w:rPr>
        <w:t>3 - The Toro Company Reports Second Quarter Fiscal 2020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517" w:right="419" w:bottom="1440" w:gutter="0" w:footer="0" w:header="0"/>
        </w:sectPr>
      </w:pP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Prioritization</w:t>
      </w:r>
    </w:p>
    <w:p>
      <w:pPr>
        <w:spacing w:after="0" w:line="186" w:lineRule="exact"/>
        <w:rPr>
          <w:sz w:val="20"/>
          <w:szCs w:val="20"/>
          <w:color w:val="auto"/>
        </w:rPr>
      </w:pPr>
    </w:p>
    <w:p>
      <w:pPr>
        <w:ind w:right="240"/>
        <w:spacing w:after="0" w:line="243" w:lineRule="auto"/>
        <w:rPr>
          <w:sz w:val="20"/>
          <w:szCs w:val="20"/>
          <w:color w:val="auto"/>
        </w:rPr>
      </w:pPr>
      <w:r>
        <w:rPr>
          <w:rFonts w:ascii="Arial" w:cs="Arial" w:eastAsia="Arial" w:hAnsi="Arial"/>
          <w:sz w:val="20"/>
          <w:szCs w:val="20"/>
          <w:color w:val="0A0A0A"/>
        </w:rPr>
        <w:t xml:space="preserve">The company took additional measures in the quarter to further increase financial flexibility and liquidity, including reducing discretionary spending and capital expenditures. For the remainder of fiscal 2020 the company </w:t>
      </w:r>
      <w:r>
        <w:rPr>
          <w:rFonts w:ascii="Arial" w:cs="Arial" w:eastAsia="Arial" w:hAnsi="Arial"/>
          <w:sz w:val="20"/>
          <w:szCs w:val="20"/>
          <w:color w:val="000000"/>
        </w:rPr>
        <w:t>reduced annual base salaries</w:t>
      </w:r>
      <w:r>
        <w:rPr>
          <w:rFonts w:ascii="Arial" w:cs="Arial" w:eastAsia="Arial" w:hAnsi="Arial"/>
          <w:sz w:val="20"/>
          <w:szCs w:val="20"/>
          <w:color w:val="0A0A0A"/>
        </w:rPr>
        <w:t xml:space="preserve"> </w:t>
      </w:r>
      <w:r>
        <w:rPr>
          <w:rFonts w:ascii="Arial" w:cs="Arial" w:eastAsia="Arial" w:hAnsi="Arial"/>
          <w:sz w:val="20"/>
          <w:szCs w:val="20"/>
          <w:color w:val="000000"/>
        </w:rPr>
        <w:t>across the company and eliminated merit-based salary increases and discretionary retirement plan contributions.</w:t>
      </w:r>
    </w:p>
    <w:p>
      <w:pPr>
        <w:spacing w:after="0" w:line="273" w:lineRule="exact"/>
        <w:rPr>
          <w:sz w:val="20"/>
          <w:szCs w:val="20"/>
          <w:color w:val="auto"/>
        </w:rPr>
      </w:pPr>
    </w:p>
    <w:p>
      <w:pPr>
        <w:ind w:right="380"/>
        <w:spacing w:after="0" w:line="243" w:lineRule="auto"/>
        <w:rPr>
          <w:sz w:val="20"/>
          <w:szCs w:val="20"/>
          <w:color w:val="auto"/>
        </w:rPr>
      </w:pPr>
      <w:r>
        <w:rPr>
          <w:rFonts w:ascii="Arial" w:cs="Arial" w:eastAsia="Arial" w:hAnsi="Arial"/>
          <w:sz w:val="20"/>
          <w:szCs w:val="20"/>
          <w:color w:val="auto"/>
        </w:rPr>
        <w:t>The company will continue to strategically invest in its business for the long-term, including new product development and innovation. It expects to continue to prioritize debt repayment to maintain leverage targets, curtail share repurchases for the year, and consider strategically compelling acquisitions.</w:t>
      </w:r>
    </w:p>
    <w:p>
      <w:pPr>
        <w:spacing w:after="0" w:line="273"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On May 19th, the company’s Board of Directors declared a regular quarterly cash dividend of $0.25 per share and the company anticipates its strong financial position will continue to support the dividend.</w:t>
      </w: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OUTLOOK</w:t>
      </w:r>
    </w:p>
    <w:p>
      <w:pPr>
        <w:spacing w:after="0" w:line="159"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On March 30, 2020 the company withdrew its guidance given the uncertainties involved with the COVID-19 pandemic. The Toro Company will not be providing detailed financial quarterly or full-year guidance until visibility into market conditions has improved.</w:t>
      </w:r>
    </w:p>
    <w:p>
      <w:pPr>
        <w:spacing w:after="0" w:line="125" w:lineRule="exact"/>
        <w:rPr>
          <w:sz w:val="20"/>
          <w:szCs w:val="20"/>
          <w:color w:val="auto"/>
        </w:rPr>
      </w:pPr>
    </w:p>
    <w:p>
      <w:pPr>
        <w:ind w:right="20"/>
        <w:spacing w:after="0"/>
        <w:rPr>
          <w:sz w:val="20"/>
          <w:szCs w:val="20"/>
          <w:color w:val="auto"/>
        </w:rPr>
      </w:pPr>
      <w:r>
        <w:rPr>
          <w:rFonts w:ascii="Arial" w:cs="Arial" w:eastAsia="Arial" w:hAnsi="Arial"/>
          <w:sz w:val="20"/>
          <w:szCs w:val="20"/>
          <w:color w:val="auto"/>
        </w:rPr>
        <w:t xml:space="preserve">The company believes current market trends </w:t>
      </w:r>
      <w:r>
        <w:rPr>
          <w:rFonts w:ascii="Arial" w:cs="Arial" w:eastAsia="Arial" w:hAnsi="Arial"/>
          <w:sz w:val="20"/>
          <w:szCs w:val="20"/>
          <w:color w:val="0A0A0A"/>
        </w:rPr>
        <w:t>will continue throughout the fiscal year, including customer budget constraints and</w:t>
      </w:r>
      <w:r>
        <w:rPr>
          <w:rFonts w:ascii="Arial" w:cs="Arial" w:eastAsia="Arial" w:hAnsi="Arial"/>
          <w:sz w:val="20"/>
          <w:szCs w:val="20"/>
          <w:color w:val="auto"/>
        </w:rPr>
        <w:t xml:space="preserve"> </w:t>
      </w:r>
      <w:r>
        <w:rPr>
          <w:rFonts w:ascii="Arial" w:cs="Arial" w:eastAsia="Arial" w:hAnsi="Arial"/>
          <w:sz w:val="20"/>
          <w:szCs w:val="20"/>
          <w:color w:val="0A0A0A"/>
        </w:rPr>
        <w:t>cash preservation and a preference for repairs and deferrals over new equipment purchases in the professional segment, as well as higher demand in the residential segment. At this point, based on current information regarding the global economic outlook, the company expects the most pronounced year-over-year sales and EPS percentage declines in the third quarter of fiscal 2020. The company also expects negative year-over-year fourth quarter sales and EPS growth. Factors that could impact these expectations and assumptions include:</w:t>
      </w:r>
    </w:p>
    <w:p>
      <w:pPr>
        <w:spacing w:after="0" w:line="173" w:lineRule="exact"/>
        <w:rPr>
          <w:sz w:val="20"/>
          <w:szCs w:val="20"/>
          <w:color w:val="auto"/>
        </w:rPr>
      </w:pPr>
    </w:p>
    <w:p>
      <w:pPr>
        <w:ind w:left="660" w:right="220" w:hanging="328"/>
        <w:spacing w:after="0" w:line="23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20"/>
          <w:szCs w:val="20"/>
          <w:color w:val="auto"/>
        </w:rPr>
        <w:t>The company’s ability to continue operations and/or adjust our production schedules due to governmental actions that have been, and continue to be, taken in response to the COVID-19 pandemic</w:t>
      </w:r>
      <w:r>
        <w:rPr>
          <w:rFonts w:ascii="Arial" w:cs="Arial" w:eastAsia="Arial" w:hAnsi="Arial"/>
          <w:sz w:val="20"/>
          <w:szCs w:val="20"/>
          <w:color w:val="0A0A0A"/>
        </w:rPr>
        <w:t>,</w:t>
      </w:r>
    </w:p>
    <w:p>
      <w:pPr>
        <w:ind w:left="660" w:right="260" w:hanging="328"/>
        <w:spacing w:after="0" w:line="23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20"/>
          <w:szCs w:val="20"/>
          <w:color w:val="auto"/>
        </w:rPr>
        <w:t>Supplier risk and the company’s ability to obtain commodities, components, parts and accessories in a timely manner and at anticipated costs,</w:t>
      </w:r>
    </w:p>
    <w:p>
      <w:pPr>
        <w:ind w:left="660" w:right="140" w:hanging="328"/>
        <w:spacing w:after="0" w:line="23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20"/>
          <w:szCs w:val="20"/>
          <w:color w:val="auto"/>
        </w:rPr>
        <w:t>Prolonged periods of economic stress which may affect customer liquidity and could impede customer buying patterns, and</w:t>
      </w:r>
    </w:p>
    <w:p>
      <w:pPr>
        <w:ind w:left="660" w:hanging="328"/>
        <w:spacing w:after="0" w:line="272"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9"/>
          <w:szCs w:val="19"/>
          <w:color w:val="auto"/>
        </w:rPr>
        <w:t>Other risks and uncertainties described in the company’s most recent annual report on Form 10-K, subsequent quarterly reports on Form 10-Q or current reports on Form 8-K, and other filings with the Securities and Exchange Commission.</w:t>
      </w:r>
    </w:p>
    <w:p>
      <w:pPr>
        <w:spacing w:after="0" w:line="193" w:lineRule="exact"/>
        <w:rPr>
          <w:sz w:val="20"/>
          <w:szCs w:val="20"/>
          <w:color w:val="auto"/>
        </w:rPr>
      </w:pPr>
    </w:p>
    <w:p>
      <w:pPr>
        <w:ind w:right="340"/>
        <w:spacing w:after="0"/>
        <w:rPr>
          <w:sz w:val="20"/>
          <w:szCs w:val="20"/>
          <w:color w:val="auto"/>
        </w:rPr>
      </w:pPr>
      <w:r>
        <w:rPr>
          <w:rFonts w:ascii="Arial" w:cs="Arial" w:eastAsia="Arial" w:hAnsi="Arial"/>
          <w:sz w:val="20"/>
          <w:szCs w:val="20"/>
          <w:color w:val="0A0A0A"/>
        </w:rPr>
        <w:t xml:space="preserve">“We anticipate an easing of the COVID-19 pressures as we head into fiscal 2021, and are </w:t>
      </w:r>
      <w:r>
        <w:rPr>
          <w:rFonts w:ascii="Arial" w:cs="Arial" w:eastAsia="Arial" w:hAnsi="Arial"/>
          <w:sz w:val="20"/>
          <w:szCs w:val="20"/>
          <w:color w:val="000000"/>
        </w:rPr>
        <w:t>optimistic about our strength as a</w:t>
      </w:r>
      <w:r>
        <w:rPr>
          <w:rFonts w:ascii="Arial" w:cs="Arial" w:eastAsia="Arial" w:hAnsi="Arial"/>
          <w:sz w:val="20"/>
          <w:szCs w:val="20"/>
          <w:color w:val="0A0A0A"/>
        </w:rPr>
        <w:t xml:space="preserve"> </w:t>
      </w:r>
      <w:r>
        <w:rPr>
          <w:rFonts w:ascii="Arial" w:cs="Arial" w:eastAsia="Arial" w:hAnsi="Arial"/>
          <w:sz w:val="20"/>
          <w:szCs w:val="20"/>
          <w:color w:val="000000"/>
        </w:rPr>
        <w:t>company and our ability to drive long-term growth through innovation and superior customer service. Our portfolio reflects customer and product diversity, scale, and a foundation of essential global operations. We will continue to concentrate on controlling what we can control, while being prepared to respond to those that we cannot, and focusing on our key strategic priorities of accelerating profitable growth, driving productivity and operational excellence, and empowering our people,” concluded Olson.</w:t>
      </w:r>
    </w:p>
    <w:p>
      <w:pPr>
        <w:sectPr>
          <w:pgSz w:w="11900" w:h="16838" w:orient="portrait"/>
          <w:cols w:equalWidth="0" w:num="1">
            <w:col w:w="11160"/>
          </w:cols>
          <w:pgMar w:left="320" w:top="517" w:right="419" w:bottom="1440" w:gutter="0" w:footer="0" w:header="0"/>
          <w:type w:val="continuous"/>
        </w:sectPr>
      </w:pPr>
    </w:p>
    <w:bookmarkStart w:id="7" w:name="page8"/>
    <w:bookmarkEnd w:id="7"/>
    <w:p>
      <w:pPr>
        <w:ind w:left="40"/>
        <w:spacing w:after="0"/>
        <w:rPr>
          <w:sz w:val="20"/>
          <w:szCs w:val="20"/>
          <w:color w:val="auto"/>
        </w:rPr>
      </w:pPr>
      <w:r>
        <w:rPr>
          <w:rFonts w:ascii="Arial" w:cs="Arial" w:eastAsia="Arial" w:hAnsi="Arial"/>
          <w:sz w:val="17"/>
          <w:szCs w:val="17"/>
          <w:color w:val="auto"/>
        </w:rPr>
        <w:t>4 - The Toro Company Reports Second Quarter Fiscal 2020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517" w:right="39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SEGMENT RESULTS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Professional</w:t>
      </w:r>
    </w:p>
    <w:p>
      <w:pPr>
        <w:spacing w:after="0" w:line="240" w:lineRule="exact"/>
        <w:rPr>
          <w:sz w:val="20"/>
          <w:szCs w:val="20"/>
          <w:color w:val="auto"/>
        </w:rPr>
      </w:pPr>
    </w:p>
    <w:p>
      <w:pPr>
        <w:ind w:left="660" w:right="80" w:hanging="328"/>
        <w:spacing w:after="0" w:line="241" w:lineRule="auto"/>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Professional segment net sales for the second quarter were $661.1 million, down 8.6% compared with $723.5 million in the same period last year with the decrease primarily due to reduced retail demand as a result of COVID-19 related impacts. The net sales decrease was partially offset by incremental sales from the Charles Machine Works and Venture Products acquisitions.</w:t>
      </w:r>
    </w:p>
    <w:p>
      <w:pPr>
        <w:spacing w:after="0" w:line="331" w:lineRule="exact"/>
        <w:rPr>
          <w:rFonts w:ascii="Arial" w:cs="Arial" w:eastAsia="Arial" w:hAnsi="Arial"/>
          <w:sz w:val="20"/>
          <w:szCs w:val="20"/>
          <w:color w:val="auto"/>
        </w:rPr>
      </w:pPr>
    </w:p>
    <w:p>
      <w:pPr>
        <w:ind w:left="660" w:right="140"/>
        <w:spacing w:after="0" w:line="262" w:lineRule="auto"/>
        <w:rPr>
          <w:rFonts w:ascii="Arial" w:cs="Arial" w:eastAsia="Arial" w:hAnsi="Arial"/>
          <w:sz w:val="20"/>
          <w:szCs w:val="20"/>
          <w:color w:val="auto"/>
        </w:rPr>
      </w:pPr>
      <w:r>
        <w:rPr>
          <w:rFonts w:ascii="Arial" w:cs="Arial" w:eastAsia="Arial" w:hAnsi="Arial"/>
          <w:sz w:val="19"/>
          <w:szCs w:val="19"/>
          <w:color w:val="auto"/>
        </w:rPr>
        <w:t>For the first six months of fiscal 2020, professional segment net sales were $1.26 billion, up 6.6% compared with $1.18 billion in the same period last year. The net sales increase was primarily driven by incremental sales from the Charles Machine Works and Venture Products acquisitions, partially offset by reduced retail demand as a result of COVID-19.</w:t>
      </w:r>
    </w:p>
    <w:p>
      <w:pPr>
        <w:spacing w:after="0" w:line="202" w:lineRule="exact"/>
        <w:rPr>
          <w:rFonts w:ascii="Arial" w:cs="Arial" w:eastAsia="Arial" w:hAnsi="Arial"/>
          <w:sz w:val="20"/>
          <w:szCs w:val="20"/>
          <w:color w:val="auto"/>
        </w:rPr>
      </w:pPr>
    </w:p>
    <w:p>
      <w:pPr>
        <w:ind w:left="660" w:right="40" w:hanging="328"/>
        <w:spacing w:after="0"/>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Professional segment earnings for the second quarter were $106.3 million, down 29.2% compared with $150.1 million in the same period last year, and when expressed as a percentage of net sales, decreased 460 basis points to 16.1% from 20.7%. This decrease was primarily due to unfavorable manufacturing variance, higher marketing, engineering and administrative costs as a result of the acquisitions of Charles Machine Works and Venture Products, higher warranty expense and unfavorable product mix. This was partially offset by favorable net price realization, productivity and synergy gains, lower commodity and tariff costs and decreased incentive compensation expense.</w:t>
      </w:r>
    </w:p>
    <w:p>
      <w:pPr>
        <w:spacing w:after="0" w:line="226"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For the first six months of fiscal 2020, professional segment earnings were $208.7 million, down 12.3% compared with $238.1 million in the same period last year, and when expressed as a percentage of net sales, decreased 360 basis points to 16.6% from 20.2%. This decrease was primarily due to unfavorable manufacturing variance, higher marketing, engineering and administrative costs as a result of the acquisitions of Charles Machine Works and Venture Products and unfavorable product mix. This was partially offset by productivity and synergy gains, favorable net price realization and lower commodity and tariff costs.</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Residential</w:t>
      </w:r>
    </w:p>
    <w:p>
      <w:pPr>
        <w:spacing w:after="0" w:line="159" w:lineRule="exact"/>
        <w:rPr>
          <w:sz w:val="20"/>
          <w:szCs w:val="20"/>
          <w:color w:val="auto"/>
        </w:rPr>
      </w:pPr>
    </w:p>
    <w:p>
      <w:pPr>
        <w:ind w:left="660" w:right="40" w:hanging="328"/>
        <w:spacing w:after="0" w:line="239" w:lineRule="auto"/>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color w:val="auto"/>
        </w:rPr>
        <w:t>Residential segment net sales for the second quarter were $262.0 million, up 12.9% compared with $232.1 million in the same period last year. For the first six months of fiscal 2020, residential segment net sales were $427.8 million, up</w:t>
      </w:r>
    </w:p>
    <w:p>
      <w:pPr>
        <w:ind w:left="660" w:right="80"/>
        <w:spacing w:after="0" w:line="243" w:lineRule="auto"/>
        <w:rPr>
          <w:rFonts w:ascii="Arial" w:cs="Arial" w:eastAsia="Arial" w:hAnsi="Arial"/>
          <w:sz w:val="20"/>
          <w:szCs w:val="20"/>
          <w:color w:val="auto"/>
        </w:rPr>
      </w:pPr>
      <w:r>
        <w:rPr>
          <w:rFonts w:ascii="Arial" w:cs="Arial" w:eastAsia="Arial" w:hAnsi="Arial"/>
          <w:sz w:val="20"/>
          <w:szCs w:val="20"/>
          <w:color w:val="auto"/>
        </w:rPr>
        <w:t>13.4% compared with $377.3 million in the same period last year. For both periods, the net sales increase was primarily due to incremental shipments of zero turn riding and walk power mowers to the company’s expanded mass retail channel and strong retail demand.</w:t>
      </w:r>
    </w:p>
    <w:p>
      <w:pPr>
        <w:spacing w:after="0" w:line="219" w:lineRule="exact"/>
        <w:rPr>
          <w:rFonts w:ascii="Arial" w:cs="Arial" w:eastAsia="Arial" w:hAnsi="Arial"/>
          <w:sz w:val="20"/>
          <w:szCs w:val="20"/>
          <w:color w:val="auto"/>
        </w:rPr>
      </w:pPr>
    </w:p>
    <w:p>
      <w:pPr>
        <w:ind w:left="660" w:right="280" w:hanging="328"/>
        <w:spacing w:after="0" w:line="252" w:lineRule="auto"/>
        <w:tabs>
          <w:tab w:leader="none" w:pos="660" w:val="left"/>
        </w:tabs>
        <w:numPr>
          <w:ilvl w:val="0"/>
          <w:numId w:val="8"/>
        </w:numPr>
        <w:rPr>
          <w:rFonts w:ascii="Arial" w:cs="Arial" w:eastAsia="Arial" w:hAnsi="Arial"/>
          <w:sz w:val="19"/>
          <w:szCs w:val="19"/>
          <w:color w:val="auto"/>
        </w:rPr>
      </w:pPr>
      <w:r>
        <w:rPr>
          <w:rFonts w:ascii="Arial" w:cs="Arial" w:eastAsia="Arial" w:hAnsi="Arial"/>
          <w:sz w:val="19"/>
          <w:szCs w:val="19"/>
          <w:color w:val="auto"/>
        </w:rPr>
        <w:t>Residential segment earnings for the second quarter were $37.1 million, up 68.5% compared with $22.0 million in the same period last year, and when expressed as a percentage of net sales, increased 470 basis points to 14.2% from</w:t>
      </w:r>
    </w:p>
    <w:p>
      <w:pPr>
        <w:ind w:left="660"/>
        <w:spacing w:after="0" w:line="241" w:lineRule="auto"/>
        <w:rPr>
          <w:rFonts w:ascii="Arial" w:cs="Arial" w:eastAsia="Arial" w:hAnsi="Arial"/>
          <w:sz w:val="19"/>
          <w:szCs w:val="19"/>
          <w:color w:val="auto"/>
        </w:rPr>
      </w:pPr>
      <w:r>
        <w:rPr>
          <w:rFonts w:ascii="Arial" w:cs="Arial" w:eastAsia="Arial" w:hAnsi="Arial"/>
          <w:sz w:val="20"/>
          <w:szCs w:val="20"/>
          <w:color w:val="auto"/>
        </w:rPr>
        <w:t>9.5%. For the first six months of fiscal 2020, residential segment earnings were $58.7 million, up 67.2% compared with $35.1 million in the same period last year, and when expressed as a percentage of net sales, increased 440 basis points to 13.7% from 9.3%. For both periods, this increase was primarily due to productivity and synergy gains, lower commodity and tariff costs, reduction in freight costs and SG&amp;A leverage. This increase was partially offset by unfavorable manufacturing variance and higher warranty expense.</w:t>
      </w:r>
    </w:p>
    <w:p>
      <w:pPr>
        <w:sectPr>
          <w:pgSz w:w="11900" w:h="16838" w:orient="portrait"/>
          <w:cols w:equalWidth="0" w:num="1">
            <w:col w:w="11180"/>
          </w:cols>
          <w:pgMar w:left="320" w:top="517" w:right="399" w:bottom="1440" w:gutter="0" w:footer="0" w:header="0"/>
          <w:type w:val="continuous"/>
        </w:sectPr>
      </w:pPr>
    </w:p>
    <w:bookmarkStart w:id="8" w:name="page9"/>
    <w:bookmarkEnd w:id="8"/>
    <w:p>
      <w:pPr>
        <w:ind w:left="40"/>
        <w:spacing w:after="0"/>
        <w:rPr>
          <w:sz w:val="20"/>
          <w:szCs w:val="20"/>
          <w:color w:val="auto"/>
        </w:rPr>
      </w:pPr>
      <w:r>
        <w:rPr>
          <w:rFonts w:ascii="Arial" w:cs="Arial" w:eastAsia="Arial" w:hAnsi="Arial"/>
          <w:sz w:val="17"/>
          <w:szCs w:val="17"/>
          <w:color w:val="auto"/>
        </w:rPr>
        <w:t>5 - The Toro Company Reports Second Quarter Fiscal 2020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OPERATING RESULTS</w:t>
      </w:r>
    </w:p>
    <w:p>
      <w:pPr>
        <w:spacing w:after="0" w:line="240" w:lineRule="exact"/>
        <w:rPr>
          <w:sz w:val="20"/>
          <w:szCs w:val="20"/>
          <w:color w:val="auto"/>
        </w:rPr>
      </w:pPr>
    </w:p>
    <w:p>
      <w:pPr>
        <w:ind w:right="80"/>
        <w:spacing w:after="0"/>
        <w:rPr>
          <w:sz w:val="20"/>
          <w:szCs w:val="20"/>
          <w:color w:val="auto"/>
        </w:rPr>
      </w:pPr>
      <w:r>
        <w:rPr>
          <w:rFonts w:ascii="Arial" w:cs="Arial" w:eastAsia="Arial" w:hAnsi="Arial"/>
          <w:sz w:val="20"/>
          <w:szCs w:val="20"/>
          <w:color w:val="auto"/>
        </w:rPr>
        <w:t>Gross margin for the second quarter was 33.0%, down 40 basis points compared with 33.4% for the same prior year period.The decrease in gross margin was primarily driven by unfavorable manufacturing variance and unfavorable product mix due to higher sales of residential segment products. This decrease was partially offset by productivity and synergy gains, favorable net price realization within our professional segment and lower commodity and tariff costs. *Adjusted gross margin for the second quarter was 33.4%, down 100 basis points compared with 34.4% for the same prior year period. For the first six months of fiscal 2020, gross margin was 35.1%, up 80 basis points compared with 34.3% for the same prior year period. The increase in gross margin was primarily driven by productivity and synergy gains, favorable net price realization within our professional segment and lower commodity and tariff costs. This increase was partially offset by unfavorable manufacturing variance and unfavorable product mix due to higher sales of residential segment products. *Adjusted gross margin for the first six months was 35.3%, up 40 basis points compared with 34.9% for the same prior year period.</w:t>
      </w:r>
    </w:p>
    <w:p>
      <w:pPr>
        <w:spacing w:after="0" w:line="103" w:lineRule="exact"/>
        <w:rPr>
          <w:sz w:val="20"/>
          <w:szCs w:val="20"/>
          <w:color w:val="auto"/>
        </w:rPr>
      </w:pPr>
    </w:p>
    <w:p>
      <w:pPr>
        <w:ind w:right="60"/>
        <w:spacing w:after="0"/>
        <w:rPr>
          <w:sz w:val="20"/>
          <w:szCs w:val="20"/>
          <w:color w:val="auto"/>
        </w:rPr>
      </w:pPr>
      <w:r>
        <w:rPr>
          <w:rFonts w:ascii="Arial" w:cs="Arial" w:eastAsia="Arial" w:hAnsi="Arial"/>
          <w:sz w:val="20"/>
          <w:szCs w:val="20"/>
          <w:color w:val="auto"/>
        </w:rPr>
        <w:t>Selling, general and administrative (SG&amp;A) expense as a percentage of sales for the second quarter increased 40 basis points to 19.5% as compared with 19.1% in the prior year period. For the first six months of fiscal 2020, SG&amp;A expense as a percentage of sales was 22.3%, up 130 basis points compared with 21.0% in the prior year period. For both periods, SG&amp;A expense as a percentage of sales increased primarily due to incremental marketing and engineering costs as a result of the professional segment acquisitions and higher warranty expense, partially offset by decreased incentive compensation costs and lower transaction and integration costs.</w:t>
      </w:r>
    </w:p>
    <w:p>
      <w:pPr>
        <w:spacing w:after="0" w:line="173"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Operating earnings as a percentage of net sales decreased 80 basis points to 13.5% for the second quarter. *Adjusted operating earnings as a percentage of net sales decreased 240 basis points to 14.0%. For the first six months of fiscal 2020, operating earnings as a percentage of net sales were 12.8% compared with 13.3% in the year-ago period. *Adjusted operating earnings as a percentage of net sales for the first six months of fiscal 2020 were 13.1% compared with 14.7% in the year-ago period.</w:t>
      </w:r>
    </w:p>
    <w:p>
      <w:pPr>
        <w:spacing w:after="0" w:line="114"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Interest expense increased $2.0 million and $5.4 million for the second quarter and year-to-date periods of fiscal 2020 compared to the year-ago periods. These increases were due to higher debt outstanding related to professional segment acquisitions.</w:t>
      </w:r>
    </w:p>
    <w:p>
      <w:pPr>
        <w:spacing w:after="0" w:line="139"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The effective tax rate for the second quarter was 18.9% compared with 15.8% for the second quarter of fiscal 2019, driven by a lower tax benefit related to the excess tax deduction for share-based compensation. The *adjusted effective tax rate for the second quarter was 20.0% compared with 19.9% for the second quarter of fiscal 2019. For the first six months of fiscal 2020, the effective tax rate was 18.8% compared with 15.5% for the year-ago period. The *adjusted effective tax rate for the first six-month period of fiscal 2020 was 20.4% versus 20.2% in the prior-year period.</w:t>
      </w:r>
    </w:p>
    <w:p>
      <w:pPr>
        <w:spacing w:after="0" w:line="168" w:lineRule="exact"/>
        <w:rPr>
          <w:sz w:val="20"/>
          <w:szCs w:val="20"/>
          <w:color w:val="auto"/>
        </w:rPr>
      </w:pPr>
    </w:p>
    <w:p>
      <w:pPr>
        <w:ind w:right="60"/>
        <w:spacing w:after="0" w:line="255" w:lineRule="auto"/>
        <w:rPr>
          <w:sz w:val="20"/>
          <w:szCs w:val="20"/>
          <w:color w:val="auto"/>
        </w:rPr>
      </w:pPr>
      <w:r>
        <w:rPr>
          <w:rFonts w:ascii="Arial" w:cs="Arial" w:eastAsia="Arial" w:hAnsi="Arial"/>
          <w:sz w:val="19"/>
          <w:szCs w:val="19"/>
          <w:color w:val="auto"/>
        </w:rPr>
        <w:t>Working capital at the end of the second quarter was up compared to prior year, primarily driven by higher inventories and lower accounts payable. Inventory was up driven by higher finished goods in our professional segment due to COVID-19 related sales reductions, increased raw materials and work in process inventories as a result of production downtime, and incremental inventories from Venture Products. Accounts receivable were down as a result of lower professional segment sales driven by reduced demand due to COVID-19, partially offset by incremental residential segment sales to expanded mass retail channel and additional receivables from Venture Products. Accounts payable were down as a result of decreased purchases of commodities, components, parts and accessories which was partially offset by incremental Venture Products payables.</w:t>
      </w:r>
    </w:p>
    <w:p>
      <w:pPr>
        <w:spacing w:after="0" w:line="142"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Please see the tables provided for a reconciliation of adjusted non-GAAP gross margin, adjusted non-GAAP operating earnings and</w:t>
      </w:r>
      <w:r>
        <w:rPr>
          <w:rFonts w:ascii="Arial" w:cs="Arial" w:eastAsia="Arial" w:hAnsi="Arial"/>
          <w:sz w:val="18"/>
          <w:szCs w:val="18"/>
          <w:color w:val="auto"/>
        </w:rPr>
        <w:t xml:space="preserve"> </w:t>
      </w:r>
      <w:r>
        <w:rPr>
          <w:rFonts w:ascii="Arial" w:cs="Arial" w:eastAsia="Arial" w:hAnsi="Arial"/>
          <w:sz w:val="18"/>
          <w:szCs w:val="18"/>
          <w:i w:val="1"/>
          <w:iCs w:val="1"/>
          <w:color w:val="auto"/>
        </w:rPr>
        <w:t>adjusted non-GAAP effective tax rate to the comparable GAAP measures.</w:t>
      </w:r>
    </w:p>
    <w:p>
      <w:pPr>
        <w:sectPr>
          <w:pgSz w:w="11900" w:h="16838" w:orient="portrait"/>
          <w:cols w:equalWidth="0" w:num="1">
            <w:col w:w="11240"/>
          </w:cols>
          <w:pgMar w:left="320" w:top="517" w:right="339" w:bottom="1440" w:gutter="0" w:footer="0" w:header="0"/>
          <w:type w:val="continuous"/>
        </w:sectPr>
      </w:pPr>
    </w:p>
    <w:bookmarkStart w:id="9" w:name="page10"/>
    <w:bookmarkEnd w:id="9"/>
    <w:p>
      <w:pPr>
        <w:ind w:left="40"/>
        <w:spacing w:after="0"/>
        <w:rPr>
          <w:sz w:val="20"/>
          <w:szCs w:val="20"/>
          <w:color w:val="auto"/>
        </w:rPr>
      </w:pPr>
      <w:r>
        <w:rPr>
          <w:rFonts w:ascii="Arial" w:cs="Arial" w:eastAsia="Arial" w:hAnsi="Arial"/>
          <w:sz w:val="17"/>
          <w:szCs w:val="17"/>
          <w:color w:val="auto"/>
        </w:rPr>
        <w:t>6 - The Toro Company Reports Second Quarter Fiscal 2020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LIVE CONFERENCE CALL</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June 4, 2020 at 10:00 a.m. CDT</w:t>
      </w:r>
    </w:p>
    <w:p>
      <w:pPr>
        <w:spacing w:after="0"/>
        <w:rPr>
          <w:sz w:val="20"/>
          <w:szCs w:val="20"/>
          <w:color w:val="auto"/>
        </w:rPr>
      </w:pPr>
      <w:r>
        <w:rPr>
          <w:rFonts w:ascii="Arial" w:cs="Arial" w:eastAsia="Arial" w:hAnsi="Arial"/>
          <w:sz w:val="20"/>
          <w:szCs w:val="20"/>
          <w:u w:val="single" w:color="auto"/>
          <w:color w:val="0000FF"/>
        </w:rPr>
        <w:t>www.thetorocompany.com/invest</w:t>
      </w:r>
    </w:p>
    <w:p>
      <w:pPr>
        <w:spacing w:after="0" w:line="135" w:lineRule="exact"/>
        <w:rPr>
          <w:sz w:val="20"/>
          <w:szCs w:val="20"/>
          <w:color w:val="auto"/>
        </w:rPr>
      </w:pPr>
    </w:p>
    <w:p>
      <w:pPr>
        <w:ind w:right="220"/>
        <w:spacing w:after="0" w:line="241" w:lineRule="auto"/>
        <w:rPr>
          <w:sz w:val="20"/>
          <w:szCs w:val="20"/>
          <w:color w:val="auto"/>
        </w:rPr>
      </w:pPr>
      <w:r>
        <w:rPr>
          <w:rFonts w:ascii="Arial" w:cs="Arial" w:eastAsia="Arial" w:hAnsi="Arial"/>
          <w:sz w:val="20"/>
          <w:szCs w:val="20"/>
          <w:color w:val="auto"/>
        </w:rPr>
        <w:t xml:space="preserve">The Toro Company will conduct its earnings call and webcast for investors beginning at approximately 10:00 a.m. CST on June 4, 2020. The webcast will be available at </w:t>
      </w:r>
      <w:r>
        <w:rPr>
          <w:rFonts w:ascii="Arial" w:cs="Arial" w:eastAsia="Arial" w:hAnsi="Arial"/>
          <w:sz w:val="20"/>
          <w:szCs w:val="20"/>
          <w:u w:val="single" w:color="auto"/>
          <w:color w:val="auto"/>
        </w:rPr>
        <w:t>www.thetorocompany.com/invest</w:t>
      </w:r>
      <w:r>
        <w:rPr>
          <w:rFonts w:ascii="Arial" w:cs="Arial" w:eastAsia="Arial" w:hAnsi="Arial"/>
          <w:sz w:val="20"/>
          <w:szCs w:val="20"/>
          <w:color w:val="auto"/>
        </w:rPr>
        <w:t>. Webcast participants will need to complete a brief registration form and should allocate extra time before the webcast begins to register and, if necessary, install audio software.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Toro Company</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The Toro Company (NYSE: TTC) is a leading worldwide provider of innovative solutions for the outdoor environment including turf and landscape maintenance, snow and ice management, underground utility construction, rental and specialty construction, and irrigation and outdoor lighting solutions. With sales of $3.1 billion in fiscal 2019, The Toro Company’s global presence extends to more than 125 countries through a family of brands that includes Toro, Ditch Witch, Exmark, BOSS Snowplow, Ventrac, American Augers, Subsite Electronics, HammerHead, Trencor, Unique Lighting Systems, Irritrol, Hayter, Pope, Lawn-Boy and Radius HDD. Through constant innovation and caring relationships built on trust and integrity, The Toro Company and its family of brands have built a legacy of excellence by helping customers care for golf courses, sports fields, construction sites, public green spaces, commercial and residential properties and agricultural operations. For more information, visit </w:t>
      </w:r>
      <w:r>
        <w:rPr>
          <w:rFonts w:ascii="Arial" w:cs="Arial" w:eastAsia="Arial" w:hAnsi="Arial"/>
          <w:sz w:val="20"/>
          <w:szCs w:val="20"/>
          <w:u w:val="single" w:color="auto"/>
          <w:color w:val="0000FF"/>
        </w:rPr>
        <w:t>www.thetorocompany.com</w:t>
      </w:r>
      <w:r>
        <w:rPr>
          <w:rFonts w:ascii="Arial" w:cs="Arial" w:eastAsia="Arial" w:hAnsi="Arial"/>
          <w:sz w:val="20"/>
          <w:szCs w:val="20"/>
          <w:color w:val="000000"/>
        </w:rPr>
        <w:t>.</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Information</w:t>
      </w:r>
    </w:p>
    <w:p>
      <w:pPr>
        <w:spacing w:after="0" w:line="159" w:lineRule="exact"/>
        <w:rPr>
          <w:sz w:val="20"/>
          <w:szCs w:val="20"/>
          <w:color w:val="auto"/>
        </w:rPr>
      </w:pPr>
    </w:p>
    <w:p>
      <w:pPr>
        <w:ind w:right="80"/>
        <w:spacing w:after="0"/>
        <w:rPr>
          <w:sz w:val="20"/>
          <w:szCs w:val="20"/>
          <w:color w:val="auto"/>
        </w:rPr>
      </w:pPr>
      <w:r>
        <w:rPr>
          <w:rFonts w:ascii="Arial" w:cs="Arial" w:eastAsia="Arial" w:hAnsi="Arial"/>
          <w:sz w:val="20"/>
          <w:szCs w:val="20"/>
          <w:color w:val="auto"/>
        </w:rPr>
        <w:t>This press release and our related earnings call references certain non-GAAP financial measures, which are not calculated or presented in accordance with U.S. GAAP, as information supplemental and in addition to the most directly comparable financial measures calculated and presented in accordance with U.S. GAAP. The non-GAAP financial measures included within this press release and our related earnings call consist of gross profit, gross margin, operating earnings, operating earnings before income taxes, net earnings, net earnings per diluted share, and the effective tax rate, each as adjusted, as measures of our operating performance.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The Toro Company uses these non-GAAP financial measures in making operating decisions because we believe these non-GAAP financial measures provide meaningful supplemental information regarding core operational performance and provide us with a better understanding of how to allocate resources to both ongoing and prospective business initiatives. Additionally, these non-GAAP financial measures facilitate our internal comparisons to both our historical operating results and our competitors' operating results by factoring out potential differences caused by charges not related to our regular ongoing business, including, without limitation, non-cash charges, certain large and unpredictable charges, acquisitions and dispositions, legal settlements, and tax positions. Further, we believe that these non-GAAP financial measures, when considered in conjunction with the financial measures prepared in accordance with U.S. GAAP, provide investors with useful supplemental financial information to better understand our core operational performance.</w:t>
      </w:r>
    </w:p>
    <w:p>
      <w:pPr>
        <w:spacing w:after="0" w:line="171" w:lineRule="exact"/>
        <w:rPr>
          <w:sz w:val="20"/>
          <w:szCs w:val="20"/>
          <w:color w:val="auto"/>
        </w:rPr>
      </w:pPr>
    </w:p>
    <w:p>
      <w:pPr>
        <w:ind w:right="80"/>
        <w:spacing w:after="0" w:line="241" w:lineRule="auto"/>
        <w:rPr>
          <w:sz w:val="20"/>
          <w:szCs w:val="20"/>
          <w:color w:val="auto"/>
        </w:rPr>
      </w:pPr>
      <w:r>
        <w:rPr>
          <w:rFonts w:ascii="Arial" w:cs="Arial" w:eastAsia="Arial" w:hAnsi="Arial"/>
          <w:sz w:val="20"/>
          <w:szCs w:val="20"/>
          <w:color w:val="auto"/>
        </w:rPr>
        <w:t>Reconciliations of historical non-GAAP financial measures to the most comparable U.S. GAAP financial measures are included in the financial tables contained in this press release. These non-GAAP financial measures, however, should not be considered superior to, as a substitute for, or as an alternative to, and should be considered in conjunction with, the U.S. GAAP financial measures included within this press release and our related earnings call. These non-GAAP financial measures may differ from similar measures used by other companies.</w:t>
      </w:r>
    </w:p>
    <w:p>
      <w:pPr>
        <w:sectPr>
          <w:pgSz w:w="11900" w:h="16838" w:orient="portrait"/>
          <w:cols w:equalWidth="0" w:num="1">
            <w:col w:w="11200"/>
          </w:cols>
          <w:pgMar w:left="320" w:top="517" w:right="379" w:bottom="1440" w:gutter="0" w:footer="0" w:header="0"/>
          <w:type w:val="continuous"/>
        </w:sectPr>
      </w:pPr>
    </w:p>
    <w:bookmarkStart w:id="10" w:name="page11"/>
    <w:bookmarkEnd w:id="10"/>
    <w:p>
      <w:pPr>
        <w:ind w:left="40"/>
        <w:spacing w:after="0"/>
        <w:rPr>
          <w:sz w:val="20"/>
          <w:szCs w:val="20"/>
          <w:color w:val="auto"/>
        </w:rPr>
      </w:pPr>
      <w:r>
        <w:rPr>
          <w:rFonts w:ascii="Arial" w:cs="Arial" w:eastAsia="Arial" w:hAnsi="Arial"/>
          <w:sz w:val="17"/>
          <w:szCs w:val="17"/>
          <w:color w:val="auto"/>
        </w:rPr>
        <w:t>7 - The Toro Company Reports Second Quarter Fiscal 2020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17" w:right="399" w:bottom="1440" w:gutter="0" w:footer="0" w:header="0"/>
        </w:sectPr>
      </w:pPr>
    </w:p>
    <w:p>
      <w:pPr>
        <w:spacing w:after="0" w:line="382" w:lineRule="exact"/>
        <w:rPr>
          <w:sz w:val="20"/>
          <w:szCs w:val="20"/>
          <w:color w:val="auto"/>
        </w:rPr>
      </w:pPr>
    </w:p>
    <w:p>
      <w:pPr>
        <w:ind w:right="140"/>
        <w:spacing w:after="0" w:line="241" w:lineRule="auto"/>
        <w:rPr>
          <w:sz w:val="20"/>
          <w:szCs w:val="20"/>
          <w:color w:val="auto"/>
        </w:rPr>
      </w:pPr>
      <w:r>
        <w:rPr>
          <w:rFonts w:ascii="Arial" w:cs="Arial" w:eastAsia="Arial" w:hAnsi="Arial"/>
          <w:sz w:val="20"/>
          <w:szCs w:val="20"/>
          <w:color w:val="auto"/>
        </w:rPr>
        <w:t>The Toro Company cannot provide quantitative reconciliations of forward-looking non-GAAP effective tax rate guidance to projected U.S. GAAP effective tax rate guidance without unreasonable effort because the combined effect and timing of recognition of potential charges or gains is inherently uncertain and difficult to predict. In addition, since any adjustments could have a substantial effect on U.S. GAAP measures of financial performance, such quantitative reconciliations would imply a degree of precision and certainty that could be confusing to investors.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99" w:lineRule="exact"/>
        <w:rPr>
          <w:sz w:val="20"/>
          <w:szCs w:val="20"/>
          <w:color w:val="auto"/>
        </w:rPr>
      </w:pPr>
    </w:p>
    <w:p>
      <w:pPr>
        <w:spacing w:after="0" w:line="239" w:lineRule="auto"/>
        <w:rPr>
          <w:sz w:val="20"/>
          <w:szCs w:val="20"/>
          <w:color w:val="auto"/>
        </w:rPr>
      </w:pPr>
      <w:r>
        <w:rPr>
          <w:rFonts w:ascii="Arial" w:cs="Arial" w:eastAsia="Arial" w:hAnsi="Arial"/>
          <w:sz w:val="20"/>
          <w:szCs w:val="20"/>
          <w:color w:val="auto"/>
        </w:rPr>
        <w:t>This news release contains forward-looking statements, which are being made pursuant to the safe harbor provisions of the Private Securities Litigation Reform Act of 1995. These forward-looking statements are based on management’s current assumptions and expectations of future events, and often can be identified by words such as “expect,” “strive,” “looking ahead,” “outlook,” “guidance,” “forecast,” “goal,” “optimistic,” “anticipate,” “continue,” “plan,” “estimate,” “project,” “believe,” “should,” “could,” “will,” “would,” “possible,” “may,” “likely,” “intend,” “can,” “seek,” “potential,” “pro forma,” or the negative thereof or similar expressions. Forward-looking statements involve risks and uncertainties that could cause actual events and results to differ materially from those projected or implied. Particular risks and uncertainties that may affect the company’s operating results or financial position include: COVID-19 related factors, risks and challenges, including among others, the duration, scope and severity of COVID-19, its effect on the demand for the company’s products and services, the ability of dealers, retailers, and other channel partners that sell the company’s products to remain open, availability of employees and their ability to conduct work away from normal working locations and/or under revised protocols, and the ability to receive commodities, components, parts, and accessories on a timely basis through its supply chain and at anticipated costs, and the ability of the company to continue its production operations; adverse worldwide economic conditions, including weakened consumer confidence; disruption at or in proximity to its facilities or in its manufacturing or other operations, or those in its distribution channel customers, mass retailers or home centers where its products are sold, or suppliers; fluctuations in the cost and availability of commodities, components, parts, and accessories, including steel, engines, hydraulics and resins; the effect of abnormal weather patterns; the effect of natural disasters, social unrest, and global pandemics, including COVID-19; the level of growth or contraction in its key markets; customer, government and municipal revenue, budget, spending levels and cash conservation efforts; loss of any substantial customer; inventory adjustments or changes in purchasing patterns by customers; the company’s ability to develop and achieve market acceptance for new products; increased competition; the risks attendant to international relations, operations and markets, including political, economic and/or social instability and conflict, tax and trade policies, trade regulation and/or commercial industry trade activity; foreign currency exchange rate fluctuations; financial viability of and/or relationships with the company’s distribution channel partners; risks associated with acquisitions, including those related to the recent acquisitions of Charles Machine Works and Venture Products, Inc.; impairment of goodwill or other intangible assets; delays or failures in implementing, and unanticipated charges, as a result of, restructuring activities; management of alliances or joint ventures, including Red Iron Acceptance, LLC; impact of laws, regulations and standards, including those relating to COVID-19, consumer product safety, accounting, taxation, trade and tariffs, healthcare, and environmental, health and safety matters; unforeseen product quality problems; loss of or changes in executive management or key employees; the occurrence of litigation or claims, including those involving intellectual property or product liability matters; and other risks and uncertainties described in the company’s most recent annual report on Form 10-K, subsequent quarterly reports on Form 10-Q or current reports on Form 8-K, and other filings with the Securities and Exchange Commission. The company makes no commitment to revise or update any forward-looking statements in order to reflect events or circumstances occurring or existing after the date any forward-looking statement is made.</w:t>
      </w: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(Financial tables follow)</w:t>
      </w:r>
    </w:p>
    <w:p>
      <w:pPr>
        <w:sectPr>
          <w:pgSz w:w="11900" w:h="16838" w:orient="portrait"/>
          <w:cols w:equalWidth="0" w:num="1">
            <w:col w:w="11180"/>
          </w:cols>
          <w:pgMar w:left="320" w:top="517" w:right="399" w:bottom="1440" w:gutter="0" w:footer="0" w:header="0"/>
          <w:type w:val="continuous"/>
        </w:sectPr>
      </w:pPr>
    </w:p>
    <w:bookmarkStart w:id="11" w:name="page12"/>
    <w:bookmarkEnd w:id="11"/>
    <w:p>
      <w:pPr>
        <w:ind w:left="40"/>
        <w:spacing w:after="0"/>
        <w:rPr>
          <w:sz w:val="20"/>
          <w:szCs w:val="20"/>
          <w:color w:val="auto"/>
        </w:rPr>
      </w:pPr>
      <w:r>
        <w:rPr>
          <w:rFonts w:ascii="Arial" w:cs="Arial" w:eastAsia="Arial" w:hAnsi="Arial"/>
          <w:sz w:val="18"/>
          <w:szCs w:val="18"/>
          <w:color w:val="auto"/>
        </w:rPr>
        <w:t>8 - The Toro Company Reports Second Quarter Fiscal 2020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8" w:lineRule="exact"/>
        <w:rPr>
          <w:sz w:val="20"/>
          <w:szCs w:val="20"/>
          <w:color w:val="auto"/>
        </w:rPr>
      </w:pPr>
    </w:p>
    <w:p>
      <w:pPr>
        <w:ind w:left="3600"/>
        <w:spacing w:after="0"/>
        <w:rPr>
          <w:sz w:val="20"/>
          <w:szCs w:val="20"/>
          <w:color w:val="auto"/>
        </w:rPr>
      </w:pPr>
      <w:r>
        <w:rPr>
          <w:rFonts w:ascii="Arial" w:cs="Arial" w:eastAsia="Arial" w:hAnsi="Arial"/>
          <w:sz w:val="20"/>
          <w:szCs w:val="20"/>
          <w:b w:val="1"/>
          <w:bCs w:val="1"/>
          <w:color w:val="auto"/>
        </w:rPr>
        <w:t>THE TORO COMPANY AND SUBSIDIARIES</w:t>
      </w:r>
    </w:p>
    <w:p>
      <w:pPr>
        <w:spacing w:after="0" w:line="54" w:lineRule="exact"/>
        <w:rPr>
          <w:sz w:val="20"/>
          <w:szCs w:val="20"/>
          <w:color w:val="auto"/>
        </w:rPr>
      </w:pPr>
    </w:p>
    <w:p>
      <w:pPr>
        <w:ind w:left="3040"/>
        <w:spacing w:after="0"/>
        <w:rPr>
          <w:sz w:val="20"/>
          <w:szCs w:val="20"/>
          <w:color w:val="auto"/>
        </w:rPr>
      </w:pPr>
      <w:r>
        <w:rPr>
          <w:rFonts w:ascii="Arial" w:cs="Arial" w:eastAsia="Arial" w:hAnsi="Arial"/>
          <w:sz w:val="20"/>
          <w:szCs w:val="20"/>
          <w:b w:val="1"/>
          <w:bCs w:val="1"/>
          <w:color w:val="auto"/>
        </w:rPr>
        <w:t>Condensed Consolidated Statements of Earnings (Unaudited)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(Dollars and shares in thousands, except per-share data)</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60" w:type="dxa"/>
            <w:vAlign w:val="bottom"/>
            <w:gridSpan w:val="3"/>
          </w:tcPr>
          <w:p>
            <w:pPr>
              <w:jc w:val="right"/>
              <w:ind w:right="735"/>
              <w:spacing w:after="0"/>
              <w:rPr>
                <w:sz w:val="20"/>
                <w:szCs w:val="20"/>
                <w:color w:val="auto"/>
              </w:rPr>
            </w:pPr>
            <w:r>
              <w:rPr>
                <w:rFonts w:ascii="Arial" w:cs="Arial" w:eastAsia="Arial" w:hAnsi="Arial"/>
                <w:sz w:val="17"/>
                <w:szCs w:val="17"/>
                <w:b w:val="1"/>
                <w:bCs w:val="1"/>
                <w:color w:val="auto"/>
              </w:rPr>
              <w:t>Three Months Ended</w:t>
            </w:r>
          </w:p>
        </w:tc>
        <w:tc>
          <w:tcPr>
            <w:tcW w:w="260" w:type="dxa"/>
            <w:vAlign w:val="bottom"/>
          </w:tcPr>
          <w:p>
            <w:pPr>
              <w:spacing w:after="0"/>
              <w:rPr>
                <w:sz w:val="19"/>
                <w:szCs w:val="19"/>
                <w:color w:val="auto"/>
              </w:rPr>
            </w:pPr>
          </w:p>
        </w:tc>
        <w:tc>
          <w:tcPr>
            <w:tcW w:w="2920" w:type="dxa"/>
            <w:vAlign w:val="bottom"/>
            <w:gridSpan w:val="3"/>
          </w:tcPr>
          <w:p>
            <w:pPr>
              <w:jc w:val="right"/>
              <w:ind w:right="795"/>
              <w:spacing w:after="0"/>
              <w:rPr>
                <w:sz w:val="20"/>
                <w:szCs w:val="20"/>
                <w:color w:val="auto"/>
              </w:rPr>
            </w:pPr>
            <w:r>
              <w:rPr>
                <w:rFonts w:ascii="Arial" w:cs="Arial" w:eastAsia="Arial" w:hAnsi="Arial"/>
                <w:sz w:val="17"/>
                <w:szCs w:val="17"/>
                <w:b w:val="1"/>
                <w:bCs w:val="1"/>
                <w:color w:val="auto"/>
              </w:rPr>
              <w:t>Six Months Ended</w:t>
            </w:r>
          </w:p>
        </w:tc>
      </w:tr>
      <w:tr>
        <w:trPr>
          <w:trHeight w:val="31"/>
        </w:trPr>
        <w:tc>
          <w:tcPr>
            <w:tcW w:w="4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3"/>
        </w:trPr>
        <w:tc>
          <w:tcPr>
            <w:tcW w:w="4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jc w:val="right"/>
              <w:ind w:right="275"/>
              <w:spacing w:after="0"/>
              <w:rPr>
                <w:sz w:val="20"/>
                <w:szCs w:val="20"/>
                <w:color w:val="auto"/>
              </w:rPr>
            </w:pPr>
            <w:r>
              <w:rPr>
                <w:rFonts w:ascii="Arial" w:cs="Arial" w:eastAsia="Arial" w:hAnsi="Arial"/>
                <w:sz w:val="17"/>
                <w:szCs w:val="17"/>
                <w:b w:val="1"/>
                <w:bCs w:val="1"/>
                <w:color w:val="auto"/>
              </w:rPr>
              <w:t>May 1, 2020</w:t>
            </w:r>
          </w:p>
        </w:tc>
        <w:tc>
          <w:tcPr>
            <w:tcW w:w="280" w:type="dxa"/>
            <w:vAlign w:val="bottom"/>
          </w:tcPr>
          <w:p>
            <w:pPr>
              <w:spacing w:after="0"/>
              <w:rPr>
                <w:sz w:val="20"/>
                <w:szCs w:val="20"/>
                <w:color w:val="auto"/>
              </w:rPr>
            </w:pPr>
          </w:p>
        </w:tc>
        <w:tc>
          <w:tcPr>
            <w:tcW w:w="1340" w:type="dxa"/>
            <w:vAlign w:val="bottom"/>
          </w:tcPr>
          <w:p>
            <w:pPr>
              <w:jc w:val="right"/>
              <w:ind w:right="275"/>
              <w:spacing w:after="0"/>
              <w:rPr>
                <w:sz w:val="20"/>
                <w:szCs w:val="20"/>
                <w:color w:val="auto"/>
              </w:rPr>
            </w:pPr>
            <w:r>
              <w:rPr>
                <w:rFonts w:ascii="Arial" w:cs="Arial" w:eastAsia="Arial" w:hAnsi="Arial"/>
                <w:sz w:val="17"/>
                <w:szCs w:val="17"/>
                <w:b w:val="1"/>
                <w:bCs w:val="1"/>
                <w:color w:val="auto"/>
              </w:rPr>
              <w:t>May 3, 2019</w:t>
            </w:r>
          </w:p>
        </w:tc>
        <w:tc>
          <w:tcPr>
            <w:tcW w:w="260" w:type="dxa"/>
            <w:vAlign w:val="bottom"/>
          </w:tcPr>
          <w:p>
            <w:pPr>
              <w:spacing w:after="0"/>
              <w:rPr>
                <w:sz w:val="20"/>
                <w:szCs w:val="20"/>
                <w:color w:val="auto"/>
              </w:rPr>
            </w:pPr>
          </w:p>
        </w:tc>
        <w:tc>
          <w:tcPr>
            <w:tcW w:w="1360" w:type="dxa"/>
            <w:vAlign w:val="bottom"/>
          </w:tcPr>
          <w:p>
            <w:pPr>
              <w:jc w:val="right"/>
              <w:ind w:right="295"/>
              <w:spacing w:after="0"/>
              <w:rPr>
                <w:sz w:val="20"/>
                <w:szCs w:val="20"/>
                <w:color w:val="auto"/>
              </w:rPr>
            </w:pPr>
            <w:r>
              <w:rPr>
                <w:rFonts w:ascii="Arial" w:cs="Arial" w:eastAsia="Arial" w:hAnsi="Arial"/>
                <w:sz w:val="17"/>
                <w:szCs w:val="17"/>
                <w:b w:val="1"/>
                <w:bCs w:val="1"/>
                <w:color w:val="auto"/>
              </w:rPr>
              <w:t>May 1, 2020</w:t>
            </w:r>
          </w:p>
        </w:tc>
        <w:tc>
          <w:tcPr>
            <w:tcW w:w="260" w:type="dxa"/>
            <w:vAlign w:val="bottom"/>
          </w:tcPr>
          <w:p>
            <w:pPr>
              <w:spacing w:after="0"/>
              <w:rPr>
                <w:sz w:val="20"/>
                <w:szCs w:val="20"/>
                <w:color w:val="auto"/>
              </w:rPr>
            </w:pPr>
          </w:p>
        </w:tc>
        <w:tc>
          <w:tcPr>
            <w:tcW w:w="1300" w:type="dxa"/>
            <w:vAlign w:val="bottom"/>
          </w:tcPr>
          <w:p>
            <w:pPr>
              <w:jc w:val="right"/>
              <w:ind w:right="235"/>
              <w:spacing w:after="0"/>
              <w:rPr>
                <w:sz w:val="20"/>
                <w:szCs w:val="20"/>
                <w:color w:val="auto"/>
              </w:rPr>
            </w:pPr>
            <w:r>
              <w:rPr>
                <w:rFonts w:ascii="Arial" w:cs="Arial" w:eastAsia="Arial" w:hAnsi="Arial"/>
                <w:sz w:val="17"/>
                <w:szCs w:val="17"/>
                <w:b w:val="1"/>
                <w:bCs w:val="1"/>
                <w:color w:val="auto"/>
              </w:rPr>
              <w:t>May 3, 2019</w:t>
            </w:r>
          </w:p>
        </w:tc>
      </w:tr>
      <w:tr>
        <w:trPr>
          <w:trHeight w:val="31"/>
        </w:trPr>
        <w:tc>
          <w:tcPr>
            <w:tcW w:w="4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sales</w:t>
            </w:r>
          </w:p>
        </w:tc>
        <w:tc>
          <w:tcPr>
            <w:tcW w:w="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929,398</w:t>
            </w:r>
          </w:p>
        </w:tc>
        <w:tc>
          <w:tcPr>
            <w:tcW w:w="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962,036</w:t>
            </w:r>
          </w:p>
        </w:tc>
        <w:tc>
          <w:tcPr>
            <w:tcW w:w="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1,696,881</w:t>
            </w:r>
          </w:p>
        </w:tc>
        <w:tc>
          <w:tcPr>
            <w:tcW w:w="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1,564,992</w:t>
            </w:r>
          </w:p>
        </w:tc>
      </w:tr>
      <w:tr>
        <w:trPr>
          <w:trHeight w:val="239"/>
        </w:trPr>
        <w:tc>
          <w:tcPr>
            <w:tcW w:w="4740" w:type="dxa"/>
            <w:vAlign w:val="bottom"/>
          </w:tcPr>
          <w:p>
            <w:pPr>
              <w:ind w:left="40"/>
              <w:spacing w:after="0"/>
              <w:rPr>
                <w:sz w:val="20"/>
                <w:szCs w:val="20"/>
                <w:color w:val="auto"/>
              </w:rPr>
            </w:pPr>
            <w:r>
              <w:rPr>
                <w:rFonts w:ascii="Arial" w:cs="Arial" w:eastAsia="Arial" w:hAnsi="Arial"/>
                <w:sz w:val="17"/>
                <w:szCs w:val="17"/>
                <w:color w:val="auto"/>
              </w:rPr>
              <w:t>Cost of sales</w:t>
            </w:r>
          </w:p>
        </w:tc>
        <w:tc>
          <w:tcPr>
            <w:tcW w:w="360" w:type="dxa"/>
            <w:vAlign w:val="bottom"/>
          </w:tcPr>
          <w:p>
            <w:pPr>
              <w:spacing w:after="0"/>
              <w:rPr>
                <w:sz w:val="20"/>
                <w:szCs w:val="20"/>
                <w:color w:val="auto"/>
              </w:rPr>
            </w:pPr>
          </w:p>
        </w:tc>
        <w:tc>
          <w:tcPr>
            <w:tcW w:w="1340" w:type="dxa"/>
            <w:vAlign w:val="bottom"/>
          </w:tcPr>
          <w:p>
            <w:pPr>
              <w:jc w:val="right"/>
              <w:ind w:right="135"/>
              <w:spacing w:after="0"/>
              <w:rPr>
                <w:sz w:val="20"/>
                <w:szCs w:val="20"/>
                <w:color w:val="auto"/>
              </w:rPr>
            </w:pPr>
            <w:r>
              <w:rPr>
                <w:rFonts w:ascii="Arial" w:cs="Arial" w:eastAsia="Arial" w:hAnsi="Arial"/>
                <w:sz w:val="17"/>
                <w:szCs w:val="17"/>
                <w:color w:val="auto"/>
              </w:rPr>
              <w:t>622,681</w:t>
            </w:r>
          </w:p>
        </w:tc>
        <w:tc>
          <w:tcPr>
            <w:tcW w:w="280" w:type="dxa"/>
            <w:vAlign w:val="bottom"/>
          </w:tcPr>
          <w:p>
            <w:pPr>
              <w:spacing w:after="0"/>
              <w:rPr>
                <w:sz w:val="20"/>
                <w:szCs w:val="20"/>
                <w:color w:val="auto"/>
              </w:rPr>
            </w:pPr>
          </w:p>
        </w:tc>
        <w:tc>
          <w:tcPr>
            <w:tcW w:w="1340" w:type="dxa"/>
            <w:vAlign w:val="bottom"/>
          </w:tcPr>
          <w:p>
            <w:pPr>
              <w:jc w:val="right"/>
              <w:ind w:right="155"/>
              <w:spacing w:after="0"/>
              <w:rPr>
                <w:sz w:val="20"/>
                <w:szCs w:val="20"/>
                <w:color w:val="auto"/>
              </w:rPr>
            </w:pPr>
            <w:r>
              <w:rPr>
                <w:rFonts w:ascii="Arial" w:cs="Arial" w:eastAsia="Arial" w:hAnsi="Arial"/>
                <w:sz w:val="17"/>
                <w:szCs w:val="17"/>
                <w:color w:val="auto"/>
              </w:rPr>
              <w:t>640,738</w:t>
            </w:r>
          </w:p>
        </w:tc>
        <w:tc>
          <w:tcPr>
            <w:tcW w:w="260" w:type="dxa"/>
            <w:vAlign w:val="bottom"/>
          </w:tcPr>
          <w:p>
            <w:pPr>
              <w:spacing w:after="0"/>
              <w:rPr>
                <w:sz w:val="20"/>
                <w:szCs w:val="20"/>
                <w:color w:val="auto"/>
              </w:rPr>
            </w:pPr>
          </w:p>
        </w:tc>
        <w:tc>
          <w:tcPr>
            <w:tcW w:w="1360" w:type="dxa"/>
            <w:vAlign w:val="bottom"/>
          </w:tcPr>
          <w:p>
            <w:pPr>
              <w:jc w:val="right"/>
              <w:ind w:right="155"/>
              <w:spacing w:after="0"/>
              <w:rPr>
                <w:sz w:val="20"/>
                <w:szCs w:val="20"/>
                <w:color w:val="auto"/>
              </w:rPr>
            </w:pPr>
            <w:r>
              <w:rPr>
                <w:rFonts w:ascii="Arial" w:cs="Arial" w:eastAsia="Arial" w:hAnsi="Arial"/>
                <w:sz w:val="17"/>
                <w:szCs w:val="17"/>
                <w:color w:val="auto"/>
              </w:rPr>
              <w:t>1,102,076</w:t>
            </w:r>
          </w:p>
        </w:tc>
        <w:tc>
          <w:tcPr>
            <w:tcW w:w="260" w:type="dxa"/>
            <w:vAlign w:val="bottom"/>
          </w:tcPr>
          <w:p>
            <w:pPr>
              <w:spacing w:after="0"/>
              <w:rPr>
                <w:sz w:val="20"/>
                <w:szCs w:val="20"/>
                <w:color w:val="auto"/>
              </w:rPr>
            </w:pPr>
          </w:p>
        </w:tc>
        <w:tc>
          <w:tcPr>
            <w:tcW w:w="1300" w:type="dxa"/>
            <w:vAlign w:val="bottom"/>
          </w:tcPr>
          <w:p>
            <w:pPr>
              <w:jc w:val="right"/>
              <w:ind w:right="95"/>
              <w:spacing w:after="0"/>
              <w:rPr>
                <w:sz w:val="20"/>
                <w:szCs w:val="20"/>
                <w:color w:val="auto"/>
              </w:rPr>
            </w:pPr>
            <w:r>
              <w:rPr>
                <w:rFonts w:ascii="Arial" w:cs="Arial" w:eastAsia="Arial" w:hAnsi="Arial"/>
                <w:sz w:val="17"/>
                <w:szCs w:val="17"/>
                <w:color w:val="auto"/>
              </w:rPr>
              <w:t>1,028,077</w:t>
            </w:r>
          </w:p>
        </w:tc>
      </w:tr>
      <w:tr>
        <w:trPr>
          <w:trHeight w:val="31"/>
        </w:trPr>
        <w:tc>
          <w:tcPr>
            <w:tcW w:w="4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Gross profit</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306,717</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321,298</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594,805</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536,915</w:t>
            </w:r>
          </w:p>
        </w:tc>
      </w:tr>
      <w:tr>
        <w:trPr>
          <w:trHeight w:val="239"/>
        </w:trPr>
        <w:tc>
          <w:tcPr>
            <w:tcW w:w="4740" w:type="dxa"/>
            <w:vAlign w:val="bottom"/>
          </w:tcPr>
          <w:p>
            <w:pPr>
              <w:ind w:left="180"/>
              <w:spacing w:after="0"/>
              <w:rPr>
                <w:sz w:val="20"/>
                <w:szCs w:val="20"/>
                <w:color w:val="auto"/>
              </w:rPr>
            </w:pPr>
            <w:r>
              <w:rPr>
                <w:rFonts w:ascii="Arial" w:cs="Arial" w:eastAsia="Arial" w:hAnsi="Arial"/>
                <w:sz w:val="17"/>
                <w:szCs w:val="17"/>
                <w:color w:val="auto"/>
              </w:rPr>
              <w:t>Gross margin</w:t>
            </w:r>
          </w:p>
        </w:tc>
        <w:tc>
          <w:tcPr>
            <w:tcW w:w="3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33.0%</w:t>
            </w:r>
          </w:p>
        </w:tc>
        <w:tc>
          <w:tcPr>
            <w:tcW w:w="28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33.4%</w:t>
            </w:r>
          </w:p>
        </w:tc>
        <w:tc>
          <w:tcPr>
            <w:tcW w:w="26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35.1%</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34.3%</w:t>
            </w:r>
          </w:p>
        </w:tc>
      </w:tr>
      <w:tr>
        <w:trPr>
          <w:trHeight w:val="31"/>
        </w:trPr>
        <w:tc>
          <w:tcPr>
            <w:tcW w:w="4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Selling, general and administrative expense</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180,922</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183,573</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377,881</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329,136</w:t>
            </w:r>
          </w:p>
        </w:tc>
      </w:tr>
      <w:tr>
        <w:trPr>
          <w:trHeight w:val="233"/>
        </w:trPr>
        <w:tc>
          <w:tcPr>
            <w:tcW w:w="4740" w:type="dxa"/>
            <w:vAlign w:val="bottom"/>
            <w:tcBorders>
              <w:top w:val="single" w:sz="8" w:color="auto"/>
            </w:tcBorders>
          </w:tcPr>
          <w:p>
            <w:pPr>
              <w:ind w:left="180"/>
              <w:spacing w:after="0"/>
              <w:rPr>
                <w:sz w:val="20"/>
                <w:szCs w:val="20"/>
                <w:color w:val="auto"/>
              </w:rPr>
            </w:pPr>
            <w:r>
              <w:rPr>
                <w:rFonts w:ascii="Arial" w:cs="Arial" w:eastAsia="Arial" w:hAnsi="Arial"/>
                <w:sz w:val="17"/>
                <w:szCs w:val="17"/>
                <w:color w:val="auto"/>
              </w:rPr>
              <w:t>Operating earnings</w:t>
            </w:r>
          </w:p>
        </w:tc>
        <w:tc>
          <w:tcPr>
            <w:tcW w:w="3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35"/>
              <w:spacing w:after="0"/>
              <w:rPr>
                <w:sz w:val="20"/>
                <w:szCs w:val="20"/>
                <w:color w:val="auto"/>
              </w:rPr>
            </w:pPr>
            <w:r>
              <w:rPr>
                <w:rFonts w:ascii="Arial" w:cs="Arial" w:eastAsia="Arial" w:hAnsi="Arial"/>
                <w:sz w:val="17"/>
                <w:szCs w:val="17"/>
                <w:color w:val="auto"/>
              </w:rPr>
              <w:t>125,795</w:t>
            </w:r>
          </w:p>
        </w:tc>
        <w:tc>
          <w:tcPr>
            <w:tcW w:w="2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55"/>
              <w:spacing w:after="0"/>
              <w:rPr>
                <w:sz w:val="20"/>
                <w:szCs w:val="20"/>
                <w:color w:val="auto"/>
              </w:rPr>
            </w:pPr>
            <w:r>
              <w:rPr>
                <w:rFonts w:ascii="Arial" w:cs="Arial" w:eastAsia="Arial" w:hAnsi="Arial"/>
                <w:sz w:val="17"/>
                <w:szCs w:val="17"/>
                <w:color w:val="auto"/>
              </w:rPr>
              <w:t>137,725</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55"/>
              <w:spacing w:after="0"/>
              <w:rPr>
                <w:sz w:val="20"/>
                <w:szCs w:val="20"/>
                <w:color w:val="auto"/>
              </w:rPr>
            </w:pPr>
            <w:r>
              <w:rPr>
                <w:rFonts w:ascii="Arial" w:cs="Arial" w:eastAsia="Arial" w:hAnsi="Arial"/>
                <w:sz w:val="17"/>
                <w:szCs w:val="17"/>
                <w:color w:val="auto"/>
              </w:rPr>
              <w:t>216,924</w:t>
            </w: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95"/>
              <w:spacing w:after="0"/>
              <w:rPr>
                <w:sz w:val="20"/>
                <w:szCs w:val="20"/>
                <w:color w:val="auto"/>
              </w:rPr>
            </w:pPr>
            <w:r>
              <w:rPr>
                <w:rFonts w:ascii="Arial" w:cs="Arial" w:eastAsia="Arial" w:hAnsi="Arial"/>
                <w:sz w:val="17"/>
                <w:szCs w:val="17"/>
                <w:color w:val="auto"/>
              </w:rPr>
              <w:t>207,779</w:t>
            </w:r>
          </w:p>
        </w:tc>
      </w:tr>
      <w:tr>
        <w:trPr>
          <w:trHeight w:val="31"/>
        </w:trPr>
        <w:tc>
          <w:tcPr>
            <w:tcW w:w="4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(8,659)</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(6,694)</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(16,815)</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(11,436)</w:t>
            </w:r>
          </w:p>
        </w:tc>
      </w:tr>
      <w:tr>
        <w:trPr>
          <w:trHeight w:val="239"/>
        </w:trPr>
        <w:tc>
          <w:tcPr>
            <w:tcW w:w="4740" w:type="dxa"/>
            <w:vAlign w:val="bottom"/>
          </w:tcPr>
          <w:p>
            <w:pPr>
              <w:ind w:left="40"/>
              <w:spacing w:after="0"/>
              <w:rPr>
                <w:sz w:val="20"/>
                <w:szCs w:val="20"/>
                <w:color w:val="auto"/>
              </w:rPr>
            </w:pPr>
            <w:r>
              <w:rPr>
                <w:rFonts w:ascii="Arial" w:cs="Arial" w:eastAsia="Arial" w:hAnsi="Arial"/>
                <w:sz w:val="17"/>
                <w:szCs w:val="17"/>
                <w:color w:val="auto"/>
              </w:rPr>
              <w:t>Other income, net</w:t>
            </w:r>
          </w:p>
        </w:tc>
        <w:tc>
          <w:tcPr>
            <w:tcW w:w="360" w:type="dxa"/>
            <w:vAlign w:val="bottom"/>
          </w:tcPr>
          <w:p>
            <w:pPr>
              <w:spacing w:after="0"/>
              <w:rPr>
                <w:sz w:val="20"/>
                <w:szCs w:val="20"/>
                <w:color w:val="auto"/>
              </w:rPr>
            </w:pPr>
          </w:p>
        </w:tc>
        <w:tc>
          <w:tcPr>
            <w:tcW w:w="1340" w:type="dxa"/>
            <w:vAlign w:val="bottom"/>
          </w:tcPr>
          <w:p>
            <w:pPr>
              <w:jc w:val="right"/>
              <w:ind w:right="135"/>
              <w:spacing w:after="0"/>
              <w:rPr>
                <w:sz w:val="20"/>
                <w:szCs w:val="20"/>
                <w:color w:val="auto"/>
              </w:rPr>
            </w:pPr>
            <w:r>
              <w:rPr>
                <w:rFonts w:ascii="Arial" w:cs="Arial" w:eastAsia="Arial" w:hAnsi="Arial"/>
                <w:sz w:val="17"/>
                <w:szCs w:val="17"/>
                <w:color w:val="auto"/>
              </w:rPr>
              <w:t>4,235</w:t>
            </w:r>
          </w:p>
        </w:tc>
        <w:tc>
          <w:tcPr>
            <w:tcW w:w="280" w:type="dxa"/>
            <w:vAlign w:val="bottom"/>
          </w:tcPr>
          <w:p>
            <w:pPr>
              <w:spacing w:after="0"/>
              <w:rPr>
                <w:sz w:val="20"/>
                <w:szCs w:val="20"/>
                <w:color w:val="auto"/>
              </w:rPr>
            </w:pPr>
          </w:p>
        </w:tc>
        <w:tc>
          <w:tcPr>
            <w:tcW w:w="1340" w:type="dxa"/>
            <w:vAlign w:val="bottom"/>
          </w:tcPr>
          <w:p>
            <w:pPr>
              <w:jc w:val="right"/>
              <w:ind w:right="155"/>
              <w:spacing w:after="0"/>
              <w:rPr>
                <w:sz w:val="20"/>
                <w:szCs w:val="20"/>
                <w:color w:val="auto"/>
              </w:rPr>
            </w:pPr>
            <w:r>
              <w:rPr>
                <w:rFonts w:ascii="Arial" w:cs="Arial" w:eastAsia="Arial" w:hAnsi="Arial"/>
                <w:sz w:val="17"/>
                <w:szCs w:val="17"/>
                <w:color w:val="auto"/>
              </w:rPr>
              <w:t>6,149</w:t>
            </w:r>
          </w:p>
        </w:tc>
        <w:tc>
          <w:tcPr>
            <w:tcW w:w="260" w:type="dxa"/>
            <w:vAlign w:val="bottom"/>
          </w:tcPr>
          <w:p>
            <w:pPr>
              <w:spacing w:after="0"/>
              <w:rPr>
                <w:sz w:val="20"/>
                <w:szCs w:val="20"/>
                <w:color w:val="auto"/>
              </w:rPr>
            </w:pPr>
          </w:p>
        </w:tc>
        <w:tc>
          <w:tcPr>
            <w:tcW w:w="1360" w:type="dxa"/>
            <w:vAlign w:val="bottom"/>
          </w:tcPr>
          <w:p>
            <w:pPr>
              <w:jc w:val="right"/>
              <w:ind w:right="155"/>
              <w:spacing w:after="0"/>
              <w:rPr>
                <w:sz w:val="20"/>
                <w:szCs w:val="20"/>
                <w:color w:val="auto"/>
              </w:rPr>
            </w:pPr>
            <w:r>
              <w:rPr>
                <w:rFonts w:ascii="Arial" w:cs="Arial" w:eastAsia="Arial" w:hAnsi="Arial"/>
                <w:sz w:val="17"/>
                <w:szCs w:val="17"/>
                <w:color w:val="auto"/>
              </w:rPr>
              <w:t>7,401</w:t>
            </w:r>
          </w:p>
        </w:tc>
        <w:tc>
          <w:tcPr>
            <w:tcW w:w="260" w:type="dxa"/>
            <w:vAlign w:val="bottom"/>
          </w:tcPr>
          <w:p>
            <w:pPr>
              <w:spacing w:after="0"/>
              <w:rPr>
                <w:sz w:val="20"/>
                <w:szCs w:val="20"/>
                <w:color w:val="auto"/>
              </w:rPr>
            </w:pPr>
          </w:p>
        </w:tc>
        <w:tc>
          <w:tcPr>
            <w:tcW w:w="1300" w:type="dxa"/>
            <w:vAlign w:val="bottom"/>
          </w:tcPr>
          <w:p>
            <w:pPr>
              <w:jc w:val="right"/>
              <w:ind w:right="95"/>
              <w:spacing w:after="0"/>
              <w:rPr>
                <w:sz w:val="20"/>
                <w:szCs w:val="20"/>
                <w:color w:val="auto"/>
              </w:rPr>
            </w:pPr>
            <w:r>
              <w:rPr>
                <w:rFonts w:ascii="Arial" w:cs="Arial" w:eastAsia="Arial" w:hAnsi="Arial"/>
                <w:sz w:val="17"/>
                <w:szCs w:val="17"/>
                <w:color w:val="auto"/>
              </w:rPr>
              <w:t>10,857</w:t>
            </w:r>
          </w:p>
        </w:tc>
      </w:tr>
      <w:tr>
        <w:trPr>
          <w:trHeight w:val="31"/>
        </w:trPr>
        <w:tc>
          <w:tcPr>
            <w:tcW w:w="4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4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Earnings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121,371</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137,180</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207,510</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207,200</w:t>
            </w:r>
          </w:p>
        </w:tc>
      </w:tr>
      <w:tr>
        <w:trPr>
          <w:trHeight w:val="280"/>
        </w:trPr>
        <w:tc>
          <w:tcPr>
            <w:tcW w:w="4740" w:type="dxa"/>
            <w:vAlign w:val="bottom"/>
          </w:tcPr>
          <w:p>
            <w:pPr>
              <w:ind w:left="40"/>
              <w:spacing w:after="0"/>
              <w:rPr>
                <w:sz w:val="20"/>
                <w:szCs w:val="20"/>
                <w:color w:val="auto"/>
              </w:rPr>
            </w:pPr>
            <w:r>
              <w:rPr>
                <w:rFonts w:ascii="Arial" w:cs="Arial" w:eastAsia="Arial" w:hAnsi="Arial"/>
                <w:sz w:val="17"/>
                <w:szCs w:val="17"/>
                <w:color w:val="auto"/>
              </w:rPr>
              <w:t>Provision for income taxes</w:t>
            </w:r>
          </w:p>
        </w:tc>
        <w:tc>
          <w:tcPr>
            <w:tcW w:w="360" w:type="dxa"/>
            <w:vAlign w:val="bottom"/>
          </w:tcPr>
          <w:p>
            <w:pPr>
              <w:spacing w:after="0"/>
              <w:rPr>
                <w:sz w:val="24"/>
                <w:szCs w:val="24"/>
                <w:color w:val="auto"/>
              </w:rPr>
            </w:pPr>
          </w:p>
        </w:tc>
        <w:tc>
          <w:tcPr>
            <w:tcW w:w="1340" w:type="dxa"/>
            <w:vAlign w:val="bottom"/>
          </w:tcPr>
          <w:p>
            <w:pPr>
              <w:jc w:val="right"/>
              <w:ind w:right="135"/>
              <w:spacing w:after="0"/>
              <w:rPr>
                <w:sz w:val="20"/>
                <w:szCs w:val="20"/>
                <w:color w:val="auto"/>
              </w:rPr>
            </w:pPr>
            <w:r>
              <w:rPr>
                <w:rFonts w:ascii="Arial" w:cs="Arial" w:eastAsia="Arial" w:hAnsi="Arial"/>
                <w:sz w:val="17"/>
                <w:szCs w:val="17"/>
                <w:color w:val="auto"/>
              </w:rPr>
              <w:t>22,925</w:t>
            </w:r>
          </w:p>
        </w:tc>
        <w:tc>
          <w:tcPr>
            <w:tcW w:w="280" w:type="dxa"/>
            <w:vAlign w:val="bottom"/>
          </w:tcPr>
          <w:p>
            <w:pPr>
              <w:spacing w:after="0"/>
              <w:rPr>
                <w:sz w:val="24"/>
                <w:szCs w:val="24"/>
                <w:color w:val="auto"/>
              </w:rPr>
            </w:pPr>
          </w:p>
        </w:tc>
        <w:tc>
          <w:tcPr>
            <w:tcW w:w="1340" w:type="dxa"/>
            <w:vAlign w:val="bottom"/>
          </w:tcPr>
          <w:p>
            <w:pPr>
              <w:jc w:val="right"/>
              <w:ind w:right="155"/>
              <w:spacing w:after="0"/>
              <w:rPr>
                <w:sz w:val="20"/>
                <w:szCs w:val="20"/>
                <w:color w:val="auto"/>
              </w:rPr>
            </w:pPr>
            <w:r>
              <w:rPr>
                <w:rFonts w:ascii="Arial" w:cs="Arial" w:eastAsia="Arial" w:hAnsi="Arial"/>
                <w:sz w:val="17"/>
                <w:szCs w:val="17"/>
                <w:color w:val="auto"/>
              </w:rPr>
              <w:t>21,610</w:t>
            </w:r>
          </w:p>
        </w:tc>
        <w:tc>
          <w:tcPr>
            <w:tcW w:w="260" w:type="dxa"/>
            <w:vAlign w:val="bottom"/>
          </w:tcPr>
          <w:p>
            <w:pPr>
              <w:spacing w:after="0"/>
              <w:rPr>
                <w:sz w:val="24"/>
                <w:szCs w:val="24"/>
                <w:color w:val="auto"/>
              </w:rPr>
            </w:pPr>
          </w:p>
        </w:tc>
        <w:tc>
          <w:tcPr>
            <w:tcW w:w="1360" w:type="dxa"/>
            <w:vAlign w:val="bottom"/>
          </w:tcPr>
          <w:p>
            <w:pPr>
              <w:jc w:val="right"/>
              <w:ind w:right="155"/>
              <w:spacing w:after="0"/>
              <w:rPr>
                <w:sz w:val="20"/>
                <w:szCs w:val="20"/>
                <w:color w:val="auto"/>
              </w:rPr>
            </w:pPr>
            <w:r>
              <w:rPr>
                <w:rFonts w:ascii="Arial" w:cs="Arial" w:eastAsia="Arial" w:hAnsi="Arial"/>
                <w:sz w:val="17"/>
                <w:szCs w:val="17"/>
                <w:color w:val="auto"/>
              </w:rPr>
              <w:t>38,973</w:t>
            </w:r>
          </w:p>
        </w:tc>
        <w:tc>
          <w:tcPr>
            <w:tcW w:w="260" w:type="dxa"/>
            <w:vAlign w:val="bottom"/>
          </w:tcPr>
          <w:p>
            <w:pPr>
              <w:spacing w:after="0"/>
              <w:rPr>
                <w:sz w:val="24"/>
                <w:szCs w:val="24"/>
                <w:color w:val="auto"/>
              </w:rPr>
            </w:pPr>
          </w:p>
        </w:tc>
        <w:tc>
          <w:tcPr>
            <w:tcW w:w="1300" w:type="dxa"/>
            <w:vAlign w:val="bottom"/>
          </w:tcPr>
          <w:p>
            <w:pPr>
              <w:jc w:val="right"/>
              <w:ind w:right="95"/>
              <w:spacing w:after="0"/>
              <w:rPr>
                <w:sz w:val="20"/>
                <w:szCs w:val="20"/>
                <w:color w:val="auto"/>
              </w:rPr>
            </w:pPr>
            <w:r>
              <w:rPr>
                <w:rFonts w:ascii="Arial" w:cs="Arial" w:eastAsia="Arial" w:hAnsi="Arial"/>
                <w:sz w:val="17"/>
                <w:szCs w:val="17"/>
                <w:color w:val="auto"/>
              </w:rPr>
              <w:t>32,090</w:t>
            </w:r>
          </w:p>
        </w:tc>
      </w:tr>
      <w:tr>
        <w:trPr>
          <w:trHeight w:val="31"/>
        </w:trPr>
        <w:tc>
          <w:tcPr>
            <w:tcW w:w="4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8"/>
        </w:trPr>
        <w:tc>
          <w:tcPr>
            <w:tcW w:w="4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Net earnings</w:t>
            </w:r>
          </w:p>
        </w:tc>
        <w:tc>
          <w:tcPr>
            <w:tcW w:w="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98,446</w:t>
            </w:r>
          </w:p>
        </w:tc>
        <w:tc>
          <w:tcPr>
            <w:tcW w:w="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115,570</w:t>
            </w:r>
          </w:p>
        </w:tc>
        <w:tc>
          <w:tcPr>
            <w:tcW w:w="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168,537</w:t>
            </w:r>
          </w:p>
        </w:tc>
        <w:tc>
          <w:tcPr>
            <w:tcW w:w="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175,110</w:t>
            </w:r>
          </w:p>
        </w:tc>
      </w:tr>
      <w:tr>
        <w:trPr>
          <w:trHeight w:val="20"/>
        </w:trPr>
        <w:tc>
          <w:tcPr>
            <w:tcW w:w="4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47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268"/>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Basic net earnings per share of common stock</w:t>
            </w:r>
          </w:p>
        </w:tc>
        <w:tc>
          <w:tcPr>
            <w:tcW w:w="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0.92</w:t>
            </w:r>
          </w:p>
        </w:tc>
        <w:tc>
          <w:tcPr>
            <w:tcW w:w="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1.08</w:t>
            </w:r>
          </w:p>
        </w:tc>
        <w:tc>
          <w:tcPr>
            <w:tcW w:w="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1.57</w:t>
            </w:r>
          </w:p>
        </w:tc>
        <w:tc>
          <w:tcPr>
            <w:tcW w:w="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1.64</w:t>
            </w:r>
          </w:p>
        </w:tc>
      </w:tr>
      <w:tr>
        <w:trPr>
          <w:trHeight w:val="291"/>
        </w:trPr>
        <w:tc>
          <w:tcPr>
            <w:tcW w:w="474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r>
      <w:tr>
        <w:trPr>
          <w:trHeight w:val="268"/>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Diluted net earnings per share of common stock</w:t>
            </w:r>
          </w:p>
        </w:tc>
        <w:tc>
          <w:tcPr>
            <w:tcW w:w="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0.91</w:t>
            </w:r>
          </w:p>
        </w:tc>
        <w:tc>
          <w:tcPr>
            <w:tcW w:w="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1.07</w:t>
            </w:r>
          </w:p>
        </w:tc>
        <w:tc>
          <w:tcPr>
            <w:tcW w:w="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1.55</w:t>
            </w:r>
          </w:p>
        </w:tc>
        <w:tc>
          <w:tcPr>
            <w:tcW w:w="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1.62</w:t>
            </w:r>
          </w:p>
        </w:tc>
      </w:tr>
      <w:tr>
        <w:trPr>
          <w:trHeight w:val="290"/>
        </w:trPr>
        <w:tc>
          <w:tcPr>
            <w:tcW w:w="47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12"/>
        </w:trPr>
        <w:tc>
          <w:tcPr>
            <w:tcW w:w="4740" w:type="dxa"/>
            <w:vAlign w:val="bottom"/>
            <w:shd w:val="clear" w:color="auto" w:fill="CCEEFF"/>
          </w:tcPr>
          <w:p>
            <w:pPr>
              <w:ind w:left="40"/>
              <w:spacing w:after="0"/>
              <w:rPr>
                <w:sz w:val="20"/>
                <w:szCs w:val="20"/>
                <w:color w:val="auto"/>
              </w:rPr>
            </w:pPr>
            <w:r>
              <w:rPr>
                <w:rFonts w:ascii="Arial" w:cs="Arial" w:eastAsia="Arial" w:hAnsi="Arial"/>
                <w:sz w:val="17"/>
                <w:szCs w:val="17"/>
                <w:color w:val="auto"/>
                <w:w w:val="93"/>
              </w:rPr>
              <w:t>Weighted-average number of shares of common stock outstanding</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7"/>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 Basic</w:t>
            </w:r>
          </w:p>
        </w:tc>
        <w:tc>
          <w:tcPr>
            <w:tcW w:w="3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107,552</w:t>
            </w:r>
          </w:p>
        </w:tc>
        <w:tc>
          <w:tcPr>
            <w:tcW w:w="2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106,679</w:t>
            </w:r>
          </w:p>
        </w:tc>
        <w:tc>
          <w:tcPr>
            <w:tcW w:w="26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107,487</w:t>
            </w:r>
          </w:p>
        </w:tc>
        <w:tc>
          <w:tcPr>
            <w:tcW w:w="2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106,466</w:t>
            </w:r>
          </w:p>
        </w:tc>
      </w:tr>
      <w:tr>
        <w:trPr>
          <w:trHeight w:val="297"/>
        </w:trPr>
        <w:tc>
          <w:tcPr>
            <w:tcW w:w="4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2"/>
        </w:trPr>
        <w:tc>
          <w:tcPr>
            <w:tcW w:w="4740" w:type="dxa"/>
            <w:vAlign w:val="bottom"/>
            <w:shd w:val="clear" w:color="auto" w:fill="CCEEFF"/>
          </w:tcPr>
          <w:p>
            <w:pPr>
              <w:ind w:left="40"/>
              <w:spacing w:after="0"/>
              <w:rPr>
                <w:sz w:val="20"/>
                <w:szCs w:val="20"/>
                <w:color w:val="auto"/>
              </w:rPr>
            </w:pPr>
            <w:r>
              <w:rPr>
                <w:rFonts w:ascii="Arial" w:cs="Arial" w:eastAsia="Arial" w:hAnsi="Arial"/>
                <w:sz w:val="17"/>
                <w:szCs w:val="17"/>
                <w:color w:val="auto"/>
                <w:w w:val="93"/>
              </w:rPr>
              <w:t>Weighted-average number of shares of common stock outstanding</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7"/>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 Diluted</w:t>
            </w:r>
          </w:p>
        </w:tc>
        <w:tc>
          <w:tcPr>
            <w:tcW w:w="3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108,500</w:t>
            </w:r>
          </w:p>
        </w:tc>
        <w:tc>
          <w:tcPr>
            <w:tcW w:w="2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108,007</w:t>
            </w:r>
          </w:p>
        </w:tc>
        <w:tc>
          <w:tcPr>
            <w:tcW w:w="26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108,581</w:t>
            </w:r>
          </w:p>
        </w:tc>
        <w:tc>
          <w:tcPr>
            <w:tcW w:w="2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107,909</w:t>
            </w:r>
          </w:p>
        </w:tc>
      </w:tr>
      <w:tr>
        <w:trPr>
          <w:trHeight w:val="20"/>
        </w:trPr>
        <w:tc>
          <w:tcPr>
            <w:tcW w:w="47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Segment Data (Unaudited)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(Dollars in thousands)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4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880" w:type="dxa"/>
            <w:vAlign w:val="bottom"/>
            <w:gridSpan w:val="3"/>
          </w:tcPr>
          <w:p>
            <w:pPr>
              <w:jc w:val="right"/>
              <w:ind w:right="695"/>
              <w:spacing w:after="0"/>
              <w:rPr>
                <w:sz w:val="20"/>
                <w:szCs w:val="20"/>
                <w:color w:val="auto"/>
              </w:rPr>
            </w:pPr>
            <w:r>
              <w:rPr>
                <w:rFonts w:ascii="Arial" w:cs="Arial" w:eastAsia="Arial" w:hAnsi="Arial"/>
                <w:sz w:val="17"/>
                <w:szCs w:val="17"/>
                <w:b w:val="1"/>
                <w:bCs w:val="1"/>
                <w:color w:val="auto"/>
              </w:rPr>
              <w:t>Three Months Ended</w:t>
            </w:r>
          </w:p>
        </w:tc>
        <w:tc>
          <w:tcPr>
            <w:tcW w:w="260" w:type="dxa"/>
            <w:vAlign w:val="bottom"/>
          </w:tcPr>
          <w:p>
            <w:pPr>
              <w:spacing w:after="0"/>
              <w:rPr>
                <w:sz w:val="19"/>
                <w:szCs w:val="19"/>
                <w:color w:val="auto"/>
              </w:rPr>
            </w:pPr>
          </w:p>
        </w:tc>
        <w:tc>
          <w:tcPr>
            <w:tcW w:w="2820" w:type="dxa"/>
            <w:vAlign w:val="bottom"/>
            <w:gridSpan w:val="3"/>
          </w:tcPr>
          <w:p>
            <w:pPr>
              <w:jc w:val="right"/>
              <w:ind w:right="735"/>
              <w:spacing w:after="0"/>
              <w:rPr>
                <w:sz w:val="20"/>
                <w:szCs w:val="20"/>
                <w:color w:val="auto"/>
              </w:rPr>
            </w:pPr>
            <w:r>
              <w:rPr>
                <w:rFonts w:ascii="Arial" w:cs="Arial" w:eastAsia="Arial" w:hAnsi="Arial"/>
                <w:sz w:val="17"/>
                <w:szCs w:val="17"/>
                <w:b w:val="1"/>
                <w:bCs w:val="1"/>
                <w:color w:val="auto"/>
              </w:rPr>
              <w:t>Six Months Ended</w:t>
            </w:r>
          </w:p>
        </w:tc>
      </w:tr>
      <w:tr>
        <w:trPr>
          <w:trHeight w:val="31"/>
        </w:trPr>
        <w:tc>
          <w:tcPr>
            <w:tcW w:w="24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3"/>
        </w:trPr>
        <w:tc>
          <w:tcPr>
            <w:tcW w:w="2460" w:type="dxa"/>
            <w:vAlign w:val="bottom"/>
          </w:tcPr>
          <w:p>
            <w:pPr>
              <w:ind w:left="40"/>
              <w:spacing w:after="0"/>
              <w:rPr>
                <w:sz w:val="20"/>
                <w:szCs w:val="20"/>
                <w:color w:val="auto"/>
              </w:rPr>
            </w:pPr>
            <w:r>
              <w:rPr>
                <w:rFonts w:ascii="Arial" w:cs="Arial" w:eastAsia="Arial" w:hAnsi="Arial"/>
                <w:sz w:val="17"/>
                <w:szCs w:val="17"/>
                <w:b w:val="1"/>
                <w:bCs w:val="1"/>
                <w:color w:val="auto"/>
              </w:rPr>
              <w:t>Segment Net Sales</w:t>
            </w:r>
          </w:p>
        </w:tc>
        <w:tc>
          <w:tcPr>
            <w:tcW w:w="2820" w:type="dxa"/>
            <w:vAlign w:val="bottom"/>
          </w:tcPr>
          <w:p>
            <w:pPr>
              <w:spacing w:after="0"/>
              <w:rPr>
                <w:sz w:val="20"/>
                <w:szCs w:val="20"/>
                <w:color w:val="auto"/>
              </w:rPr>
            </w:pPr>
          </w:p>
        </w:tc>
        <w:tc>
          <w:tcPr>
            <w:tcW w:w="1300" w:type="dxa"/>
            <w:vAlign w:val="bottom"/>
          </w:tcPr>
          <w:p>
            <w:pPr>
              <w:jc w:val="right"/>
              <w:ind w:right="235"/>
              <w:spacing w:after="0"/>
              <w:rPr>
                <w:sz w:val="20"/>
                <w:szCs w:val="20"/>
                <w:color w:val="auto"/>
              </w:rPr>
            </w:pPr>
            <w:r>
              <w:rPr>
                <w:rFonts w:ascii="Arial" w:cs="Arial" w:eastAsia="Arial" w:hAnsi="Arial"/>
                <w:sz w:val="17"/>
                <w:szCs w:val="17"/>
                <w:b w:val="1"/>
                <w:bCs w:val="1"/>
                <w:color w:val="auto"/>
              </w:rPr>
              <w:t>May 1, 2020</w:t>
            </w:r>
          </w:p>
        </w:tc>
        <w:tc>
          <w:tcPr>
            <w:tcW w:w="260" w:type="dxa"/>
            <w:vAlign w:val="bottom"/>
          </w:tcPr>
          <w:p>
            <w:pPr>
              <w:spacing w:after="0"/>
              <w:rPr>
                <w:sz w:val="20"/>
                <w:szCs w:val="20"/>
                <w:color w:val="auto"/>
              </w:rPr>
            </w:pPr>
          </w:p>
        </w:tc>
        <w:tc>
          <w:tcPr>
            <w:tcW w:w="1320" w:type="dxa"/>
            <w:vAlign w:val="bottom"/>
          </w:tcPr>
          <w:p>
            <w:pPr>
              <w:jc w:val="right"/>
              <w:ind w:right="255"/>
              <w:spacing w:after="0"/>
              <w:rPr>
                <w:sz w:val="20"/>
                <w:szCs w:val="20"/>
                <w:color w:val="auto"/>
              </w:rPr>
            </w:pPr>
            <w:r>
              <w:rPr>
                <w:rFonts w:ascii="Arial" w:cs="Arial" w:eastAsia="Arial" w:hAnsi="Arial"/>
                <w:sz w:val="17"/>
                <w:szCs w:val="17"/>
                <w:b w:val="1"/>
                <w:bCs w:val="1"/>
                <w:color w:val="auto"/>
              </w:rPr>
              <w:t>May 3, 2019</w:t>
            </w:r>
          </w:p>
        </w:tc>
        <w:tc>
          <w:tcPr>
            <w:tcW w:w="260" w:type="dxa"/>
            <w:vAlign w:val="bottom"/>
          </w:tcPr>
          <w:p>
            <w:pPr>
              <w:spacing w:after="0"/>
              <w:rPr>
                <w:sz w:val="20"/>
                <w:szCs w:val="20"/>
                <w:color w:val="auto"/>
              </w:rPr>
            </w:pPr>
          </w:p>
        </w:tc>
        <w:tc>
          <w:tcPr>
            <w:tcW w:w="1300" w:type="dxa"/>
            <w:vAlign w:val="bottom"/>
          </w:tcPr>
          <w:p>
            <w:pPr>
              <w:jc w:val="right"/>
              <w:ind w:right="255"/>
              <w:spacing w:after="0"/>
              <w:rPr>
                <w:sz w:val="20"/>
                <w:szCs w:val="20"/>
                <w:color w:val="auto"/>
              </w:rPr>
            </w:pPr>
            <w:r>
              <w:rPr>
                <w:rFonts w:ascii="Arial" w:cs="Arial" w:eastAsia="Arial" w:hAnsi="Arial"/>
                <w:sz w:val="17"/>
                <w:szCs w:val="17"/>
                <w:b w:val="1"/>
                <w:bCs w:val="1"/>
                <w:color w:val="auto"/>
                <w:w w:val="99"/>
              </w:rPr>
              <w:t>May 1, 2020</w:t>
            </w:r>
          </w:p>
        </w:tc>
        <w:tc>
          <w:tcPr>
            <w:tcW w:w="260" w:type="dxa"/>
            <w:vAlign w:val="bottom"/>
          </w:tcPr>
          <w:p>
            <w:pPr>
              <w:spacing w:after="0"/>
              <w:rPr>
                <w:sz w:val="20"/>
                <w:szCs w:val="20"/>
                <w:color w:val="auto"/>
              </w:rPr>
            </w:pPr>
          </w:p>
        </w:tc>
        <w:tc>
          <w:tcPr>
            <w:tcW w:w="1260" w:type="dxa"/>
            <w:vAlign w:val="bottom"/>
          </w:tcPr>
          <w:p>
            <w:pPr>
              <w:jc w:val="right"/>
              <w:ind w:right="195"/>
              <w:spacing w:after="0"/>
              <w:rPr>
                <w:sz w:val="20"/>
                <w:szCs w:val="20"/>
                <w:color w:val="auto"/>
              </w:rPr>
            </w:pPr>
            <w:r>
              <w:rPr>
                <w:rFonts w:ascii="Arial" w:cs="Arial" w:eastAsia="Arial" w:hAnsi="Arial"/>
                <w:sz w:val="17"/>
                <w:szCs w:val="17"/>
                <w:b w:val="1"/>
                <w:bCs w:val="1"/>
                <w:color w:val="auto"/>
              </w:rPr>
              <w:t>May 3, 2019</w:t>
            </w:r>
          </w:p>
        </w:tc>
      </w:tr>
      <w:tr>
        <w:trPr>
          <w:trHeight w:val="31"/>
        </w:trPr>
        <w:tc>
          <w:tcPr>
            <w:tcW w:w="24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Professional</w:t>
            </w:r>
          </w:p>
        </w:tc>
        <w:tc>
          <w:tcPr>
            <w:tcW w:w="2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661,087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723,506</w:t>
            </w:r>
          </w:p>
        </w:tc>
        <w:tc>
          <w:tcPr>
            <w:tcW w:w="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1,255,808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1,178,512</w:t>
            </w:r>
          </w:p>
        </w:tc>
      </w:tr>
      <w:tr>
        <w:trPr>
          <w:trHeight w:val="239"/>
        </w:trPr>
        <w:tc>
          <w:tcPr>
            <w:tcW w:w="2460" w:type="dxa"/>
            <w:vAlign w:val="bottom"/>
          </w:tcPr>
          <w:p>
            <w:pPr>
              <w:ind w:left="40"/>
              <w:spacing w:after="0"/>
              <w:rPr>
                <w:sz w:val="20"/>
                <w:szCs w:val="20"/>
                <w:color w:val="auto"/>
              </w:rPr>
            </w:pPr>
            <w:r>
              <w:rPr>
                <w:rFonts w:ascii="Arial" w:cs="Arial" w:eastAsia="Arial" w:hAnsi="Arial"/>
                <w:sz w:val="17"/>
                <w:szCs w:val="17"/>
                <w:color w:val="auto"/>
              </w:rPr>
              <w:t>Residential</w:t>
            </w:r>
          </w:p>
        </w:tc>
        <w:tc>
          <w:tcPr>
            <w:tcW w:w="2820" w:type="dxa"/>
            <w:vAlign w:val="bottom"/>
          </w:tcPr>
          <w:p>
            <w:pPr>
              <w:spacing w:after="0"/>
              <w:rPr>
                <w:sz w:val="20"/>
                <w:szCs w:val="20"/>
                <w:color w:val="auto"/>
              </w:rPr>
            </w:pPr>
          </w:p>
        </w:tc>
        <w:tc>
          <w:tcPr>
            <w:tcW w:w="1300" w:type="dxa"/>
            <w:vAlign w:val="bottom"/>
          </w:tcPr>
          <w:p>
            <w:pPr>
              <w:jc w:val="right"/>
              <w:ind w:right="55"/>
              <w:spacing w:after="0"/>
              <w:rPr>
                <w:sz w:val="20"/>
                <w:szCs w:val="20"/>
                <w:color w:val="auto"/>
              </w:rPr>
            </w:pPr>
            <w:r>
              <w:rPr>
                <w:rFonts w:ascii="Arial" w:cs="Arial" w:eastAsia="Arial" w:hAnsi="Arial"/>
                <w:sz w:val="17"/>
                <w:szCs w:val="17"/>
                <w:color w:val="auto"/>
              </w:rPr>
              <w:t>261,998</w:t>
            </w:r>
          </w:p>
        </w:tc>
        <w:tc>
          <w:tcPr>
            <w:tcW w:w="260" w:type="dxa"/>
            <w:vAlign w:val="bottom"/>
          </w:tcPr>
          <w:p>
            <w:pPr>
              <w:spacing w:after="0"/>
              <w:rPr>
                <w:sz w:val="20"/>
                <w:szCs w:val="20"/>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232,147</w:t>
            </w:r>
          </w:p>
        </w:tc>
        <w:tc>
          <w:tcPr>
            <w:tcW w:w="260" w:type="dxa"/>
            <w:vAlign w:val="bottom"/>
          </w:tcPr>
          <w:p>
            <w:pPr>
              <w:spacing w:after="0"/>
              <w:rPr>
                <w:sz w:val="20"/>
                <w:szCs w:val="20"/>
                <w:color w:val="auto"/>
              </w:rPr>
            </w:pPr>
          </w:p>
        </w:tc>
        <w:tc>
          <w:tcPr>
            <w:tcW w:w="1300" w:type="dxa"/>
            <w:vAlign w:val="bottom"/>
          </w:tcPr>
          <w:p>
            <w:pPr>
              <w:jc w:val="right"/>
              <w:ind w:right="75"/>
              <w:spacing w:after="0"/>
              <w:rPr>
                <w:sz w:val="20"/>
                <w:szCs w:val="20"/>
                <w:color w:val="auto"/>
              </w:rPr>
            </w:pPr>
            <w:r>
              <w:rPr>
                <w:rFonts w:ascii="Arial" w:cs="Arial" w:eastAsia="Arial" w:hAnsi="Arial"/>
                <w:sz w:val="17"/>
                <w:szCs w:val="17"/>
                <w:color w:val="auto"/>
              </w:rPr>
              <w:t>427,846</w:t>
            </w:r>
          </w:p>
        </w:tc>
        <w:tc>
          <w:tcPr>
            <w:tcW w:w="26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377,305</w:t>
            </w:r>
          </w:p>
        </w:tc>
      </w:tr>
      <w:tr>
        <w:trPr>
          <w:trHeight w:val="31"/>
        </w:trPr>
        <w:tc>
          <w:tcPr>
            <w:tcW w:w="24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w:t>
            </w:r>
          </w:p>
        </w:tc>
        <w:tc>
          <w:tcPr>
            <w:tcW w:w="28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6,313</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6,383</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13,227</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9,175</w:t>
            </w:r>
          </w:p>
        </w:tc>
      </w:tr>
      <w:tr>
        <w:trPr>
          <w:trHeight w:val="233"/>
        </w:trPr>
        <w:tc>
          <w:tcPr>
            <w:tcW w:w="2460" w:type="dxa"/>
            <w:vAlign w:val="bottom"/>
            <w:tcBorders>
              <w:top w:val="single" w:sz="8" w:color="auto"/>
            </w:tcBorders>
          </w:tcPr>
          <w:p>
            <w:pPr>
              <w:ind w:left="180"/>
              <w:spacing w:after="0"/>
              <w:rPr>
                <w:sz w:val="20"/>
                <w:szCs w:val="20"/>
                <w:color w:val="auto"/>
              </w:rPr>
            </w:pPr>
            <w:r>
              <w:rPr>
                <w:rFonts w:ascii="Arial" w:cs="Arial" w:eastAsia="Arial" w:hAnsi="Arial"/>
                <w:sz w:val="17"/>
                <w:szCs w:val="17"/>
                <w:color w:val="auto"/>
              </w:rPr>
              <w:t>Total net sales*</w:t>
            </w:r>
          </w:p>
        </w:tc>
        <w:tc>
          <w:tcPr>
            <w:tcW w:w="2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929,398</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962,036</w:t>
            </w:r>
          </w:p>
        </w:tc>
        <w:tc>
          <w:tcPr>
            <w:tcW w:w="2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1,696,881</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1,564,992</w:t>
            </w:r>
          </w:p>
        </w:tc>
      </w:tr>
      <w:tr>
        <w:trPr>
          <w:trHeight w:val="31"/>
        </w:trPr>
        <w:tc>
          <w:tcPr>
            <w:tcW w:w="24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246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305"/>
        </w:trPr>
        <w:tc>
          <w:tcPr>
            <w:tcW w:w="24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68"/>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w w:val="91"/>
                <w:shd w:val="clear" w:color="auto" w:fill="CCEEFF"/>
              </w:rPr>
              <w:t>*Includes international net sales of:</w:t>
            </w:r>
          </w:p>
        </w:tc>
        <w:tc>
          <w:tcPr>
            <w:tcW w:w="2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182,044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219,077</w:t>
            </w:r>
          </w:p>
        </w:tc>
        <w:tc>
          <w:tcPr>
            <w:tcW w:w="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357,987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360,622</w:t>
            </w:r>
          </w:p>
        </w:tc>
      </w:tr>
      <w:tr>
        <w:trPr>
          <w:trHeight w:val="368"/>
        </w:trPr>
        <w:tc>
          <w:tcPr>
            <w:tcW w:w="2460" w:type="dxa"/>
            <w:vAlign w:val="bottom"/>
            <w:tcBorders>
              <w:top w:val="single" w:sz="8" w:color="auto"/>
            </w:tcBorders>
          </w:tcPr>
          <w:p>
            <w:pPr>
              <w:spacing w:after="0"/>
              <w:rPr>
                <w:sz w:val="24"/>
                <w:szCs w:val="24"/>
                <w:color w:val="auto"/>
              </w:rPr>
            </w:pPr>
          </w:p>
        </w:tc>
        <w:tc>
          <w:tcPr>
            <w:tcW w:w="2820" w:type="dxa"/>
            <w:vAlign w:val="bottom"/>
            <w:tcBorders>
              <w:top w:val="single" w:sz="8" w:color="auto"/>
            </w:tcBorders>
          </w:tcPr>
          <w:p>
            <w:pPr>
              <w:spacing w:after="0"/>
              <w:rPr>
                <w:sz w:val="24"/>
                <w:szCs w:val="24"/>
                <w:color w:val="auto"/>
              </w:rPr>
            </w:pPr>
          </w:p>
        </w:tc>
        <w:tc>
          <w:tcPr>
            <w:tcW w:w="2880" w:type="dxa"/>
            <w:vAlign w:val="bottom"/>
            <w:tcBorders>
              <w:top w:val="single" w:sz="8" w:color="auto"/>
            </w:tcBorders>
            <w:gridSpan w:val="3"/>
          </w:tcPr>
          <w:p>
            <w:pPr>
              <w:jc w:val="right"/>
              <w:ind w:right="695"/>
              <w:spacing w:after="0"/>
              <w:rPr>
                <w:sz w:val="20"/>
                <w:szCs w:val="20"/>
                <w:color w:val="auto"/>
              </w:rPr>
            </w:pPr>
            <w:r>
              <w:rPr>
                <w:rFonts w:ascii="Arial" w:cs="Arial" w:eastAsia="Arial" w:hAnsi="Arial"/>
                <w:sz w:val="17"/>
                <w:szCs w:val="17"/>
                <w:b w:val="1"/>
                <w:bCs w:val="1"/>
                <w:color w:val="auto"/>
              </w:rPr>
              <w:t>Three Months Ended</w:t>
            </w:r>
          </w:p>
        </w:tc>
        <w:tc>
          <w:tcPr>
            <w:tcW w:w="260" w:type="dxa"/>
            <w:vAlign w:val="bottom"/>
            <w:tcBorders>
              <w:top w:val="single" w:sz="8" w:color="auto"/>
            </w:tcBorders>
          </w:tcPr>
          <w:p>
            <w:pPr>
              <w:spacing w:after="0"/>
              <w:rPr>
                <w:sz w:val="24"/>
                <w:szCs w:val="24"/>
                <w:color w:val="auto"/>
              </w:rPr>
            </w:pPr>
          </w:p>
        </w:tc>
        <w:tc>
          <w:tcPr>
            <w:tcW w:w="2820" w:type="dxa"/>
            <w:vAlign w:val="bottom"/>
            <w:tcBorders>
              <w:top w:val="single" w:sz="8" w:color="auto"/>
            </w:tcBorders>
            <w:gridSpan w:val="3"/>
          </w:tcPr>
          <w:p>
            <w:pPr>
              <w:jc w:val="right"/>
              <w:ind w:right="735"/>
              <w:spacing w:after="0"/>
              <w:rPr>
                <w:sz w:val="20"/>
                <w:szCs w:val="20"/>
                <w:color w:val="auto"/>
              </w:rPr>
            </w:pPr>
            <w:r>
              <w:rPr>
                <w:rFonts w:ascii="Arial" w:cs="Arial" w:eastAsia="Arial" w:hAnsi="Arial"/>
                <w:sz w:val="17"/>
                <w:szCs w:val="17"/>
                <w:b w:val="1"/>
                <w:bCs w:val="1"/>
                <w:color w:val="auto"/>
              </w:rPr>
              <w:t>Six Months Ended</w:t>
            </w:r>
          </w:p>
        </w:tc>
      </w:tr>
      <w:tr>
        <w:trPr>
          <w:trHeight w:val="31"/>
        </w:trPr>
        <w:tc>
          <w:tcPr>
            <w:tcW w:w="24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3"/>
        </w:trPr>
        <w:tc>
          <w:tcPr>
            <w:tcW w:w="2460" w:type="dxa"/>
            <w:vAlign w:val="bottom"/>
          </w:tcPr>
          <w:p>
            <w:pPr>
              <w:ind w:left="40"/>
              <w:spacing w:after="0"/>
              <w:rPr>
                <w:sz w:val="20"/>
                <w:szCs w:val="20"/>
                <w:color w:val="auto"/>
              </w:rPr>
            </w:pPr>
            <w:r>
              <w:rPr>
                <w:rFonts w:ascii="Arial" w:cs="Arial" w:eastAsia="Arial" w:hAnsi="Arial"/>
                <w:sz w:val="17"/>
                <w:szCs w:val="17"/>
                <w:b w:val="1"/>
                <w:bCs w:val="1"/>
                <w:color w:val="auto"/>
              </w:rPr>
              <w:t>Segment Earnings (Loss)</w:t>
            </w:r>
          </w:p>
        </w:tc>
        <w:tc>
          <w:tcPr>
            <w:tcW w:w="2820" w:type="dxa"/>
            <w:vAlign w:val="bottom"/>
          </w:tcPr>
          <w:p>
            <w:pPr>
              <w:spacing w:after="0"/>
              <w:rPr>
                <w:sz w:val="20"/>
                <w:szCs w:val="20"/>
                <w:color w:val="auto"/>
              </w:rPr>
            </w:pPr>
          </w:p>
        </w:tc>
        <w:tc>
          <w:tcPr>
            <w:tcW w:w="1300" w:type="dxa"/>
            <w:vAlign w:val="bottom"/>
          </w:tcPr>
          <w:p>
            <w:pPr>
              <w:jc w:val="right"/>
              <w:ind w:right="235"/>
              <w:spacing w:after="0"/>
              <w:rPr>
                <w:sz w:val="20"/>
                <w:szCs w:val="20"/>
                <w:color w:val="auto"/>
              </w:rPr>
            </w:pPr>
            <w:r>
              <w:rPr>
                <w:rFonts w:ascii="Arial" w:cs="Arial" w:eastAsia="Arial" w:hAnsi="Arial"/>
                <w:sz w:val="17"/>
                <w:szCs w:val="17"/>
                <w:b w:val="1"/>
                <w:bCs w:val="1"/>
                <w:color w:val="auto"/>
              </w:rPr>
              <w:t>May 1, 2020</w:t>
            </w:r>
          </w:p>
        </w:tc>
        <w:tc>
          <w:tcPr>
            <w:tcW w:w="260" w:type="dxa"/>
            <w:vAlign w:val="bottom"/>
          </w:tcPr>
          <w:p>
            <w:pPr>
              <w:spacing w:after="0"/>
              <w:rPr>
                <w:sz w:val="20"/>
                <w:szCs w:val="20"/>
                <w:color w:val="auto"/>
              </w:rPr>
            </w:pPr>
          </w:p>
        </w:tc>
        <w:tc>
          <w:tcPr>
            <w:tcW w:w="1320" w:type="dxa"/>
            <w:vAlign w:val="bottom"/>
          </w:tcPr>
          <w:p>
            <w:pPr>
              <w:jc w:val="right"/>
              <w:ind w:right="255"/>
              <w:spacing w:after="0"/>
              <w:rPr>
                <w:sz w:val="20"/>
                <w:szCs w:val="20"/>
                <w:color w:val="auto"/>
              </w:rPr>
            </w:pPr>
            <w:r>
              <w:rPr>
                <w:rFonts w:ascii="Arial" w:cs="Arial" w:eastAsia="Arial" w:hAnsi="Arial"/>
                <w:sz w:val="17"/>
                <w:szCs w:val="17"/>
                <w:b w:val="1"/>
                <w:bCs w:val="1"/>
                <w:color w:val="auto"/>
              </w:rPr>
              <w:t>May 3, 2019</w:t>
            </w:r>
          </w:p>
        </w:tc>
        <w:tc>
          <w:tcPr>
            <w:tcW w:w="260" w:type="dxa"/>
            <w:vAlign w:val="bottom"/>
          </w:tcPr>
          <w:p>
            <w:pPr>
              <w:spacing w:after="0"/>
              <w:rPr>
                <w:sz w:val="20"/>
                <w:szCs w:val="20"/>
                <w:color w:val="auto"/>
              </w:rPr>
            </w:pPr>
          </w:p>
        </w:tc>
        <w:tc>
          <w:tcPr>
            <w:tcW w:w="1300" w:type="dxa"/>
            <w:vAlign w:val="bottom"/>
          </w:tcPr>
          <w:p>
            <w:pPr>
              <w:jc w:val="right"/>
              <w:ind w:right="255"/>
              <w:spacing w:after="0"/>
              <w:rPr>
                <w:sz w:val="20"/>
                <w:szCs w:val="20"/>
                <w:color w:val="auto"/>
              </w:rPr>
            </w:pPr>
            <w:r>
              <w:rPr>
                <w:rFonts w:ascii="Arial" w:cs="Arial" w:eastAsia="Arial" w:hAnsi="Arial"/>
                <w:sz w:val="17"/>
                <w:szCs w:val="17"/>
                <w:b w:val="1"/>
                <w:bCs w:val="1"/>
                <w:color w:val="auto"/>
                <w:w w:val="99"/>
              </w:rPr>
              <w:t>May 1, 2020</w:t>
            </w:r>
          </w:p>
        </w:tc>
        <w:tc>
          <w:tcPr>
            <w:tcW w:w="260" w:type="dxa"/>
            <w:vAlign w:val="bottom"/>
          </w:tcPr>
          <w:p>
            <w:pPr>
              <w:spacing w:after="0"/>
              <w:rPr>
                <w:sz w:val="20"/>
                <w:szCs w:val="20"/>
                <w:color w:val="auto"/>
              </w:rPr>
            </w:pPr>
          </w:p>
        </w:tc>
        <w:tc>
          <w:tcPr>
            <w:tcW w:w="1260" w:type="dxa"/>
            <w:vAlign w:val="bottom"/>
          </w:tcPr>
          <w:p>
            <w:pPr>
              <w:jc w:val="right"/>
              <w:ind w:right="195"/>
              <w:spacing w:after="0"/>
              <w:rPr>
                <w:sz w:val="20"/>
                <w:szCs w:val="20"/>
                <w:color w:val="auto"/>
              </w:rPr>
            </w:pPr>
            <w:r>
              <w:rPr>
                <w:rFonts w:ascii="Arial" w:cs="Arial" w:eastAsia="Arial" w:hAnsi="Arial"/>
                <w:sz w:val="17"/>
                <w:szCs w:val="17"/>
                <w:b w:val="1"/>
                <w:bCs w:val="1"/>
                <w:color w:val="auto"/>
              </w:rPr>
              <w:t>May 3, 2019</w:t>
            </w:r>
          </w:p>
        </w:tc>
      </w:tr>
      <w:tr>
        <w:trPr>
          <w:trHeight w:val="31"/>
        </w:trPr>
        <w:tc>
          <w:tcPr>
            <w:tcW w:w="24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Professional</w:t>
            </w:r>
          </w:p>
        </w:tc>
        <w:tc>
          <w:tcPr>
            <w:tcW w:w="2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106,259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150,119</w:t>
            </w:r>
          </w:p>
        </w:tc>
        <w:tc>
          <w:tcPr>
            <w:tcW w:w="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208,733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238,097</w:t>
            </w:r>
          </w:p>
        </w:tc>
      </w:tr>
      <w:tr>
        <w:trPr>
          <w:trHeight w:val="239"/>
        </w:trPr>
        <w:tc>
          <w:tcPr>
            <w:tcW w:w="2460" w:type="dxa"/>
            <w:vAlign w:val="bottom"/>
          </w:tcPr>
          <w:p>
            <w:pPr>
              <w:ind w:left="40"/>
              <w:spacing w:after="0"/>
              <w:rPr>
                <w:sz w:val="20"/>
                <w:szCs w:val="20"/>
                <w:color w:val="auto"/>
              </w:rPr>
            </w:pPr>
            <w:r>
              <w:rPr>
                <w:rFonts w:ascii="Arial" w:cs="Arial" w:eastAsia="Arial" w:hAnsi="Arial"/>
                <w:sz w:val="17"/>
                <w:szCs w:val="17"/>
                <w:color w:val="auto"/>
              </w:rPr>
              <w:t>Residential</w:t>
            </w:r>
          </w:p>
        </w:tc>
        <w:tc>
          <w:tcPr>
            <w:tcW w:w="2820" w:type="dxa"/>
            <w:vAlign w:val="bottom"/>
          </w:tcPr>
          <w:p>
            <w:pPr>
              <w:spacing w:after="0"/>
              <w:rPr>
                <w:sz w:val="20"/>
                <w:szCs w:val="20"/>
                <w:color w:val="auto"/>
              </w:rPr>
            </w:pPr>
          </w:p>
        </w:tc>
        <w:tc>
          <w:tcPr>
            <w:tcW w:w="1300" w:type="dxa"/>
            <w:vAlign w:val="bottom"/>
          </w:tcPr>
          <w:p>
            <w:pPr>
              <w:jc w:val="right"/>
              <w:ind w:right="55"/>
              <w:spacing w:after="0"/>
              <w:rPr>
                <w:sz w:val="20"/>
                <w:szCs w:val="20"/>
                <w:color w:val="auto"/>
              </w:rPr>
            </w:pPr>
            <w:r>
              <w:rPr>
                <w:rFonts w:ascii="Arial" w:cs="Arial" w:eastAsia="Arial" w:hAnsi="Arial"/>
                <w:sz w:val="17"/>
                <w:szCs w:val="17"/>
                <w:color w:val="auto"/>
              </w:rPr>
              <w:t>37,122</w:t>
            </w:r>
          </w:p>
        </w:tc>
        <w:tc>
          <w:tcPr>
            <w:tcW w:w="260" w:type="dxa"/>
            <w:vAlign w:val="bottom"/>
          </w:tcPr>
          <w:p>
            <w:pPr>
              <w:spacing w:after="0"/>
              <w:rPr>
                <w:sz w:val="20"/>
                <w:szCs w:val="20"/>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22,030</w:t>
            </w:r>
          </w:p>
        </w:tc>
        <w:tc>
          <w:tcPr>
            <w:tcW w:w="260" w:type="dxa"/>
            <w:vAlign w:val="bottom"/>
          </w:tcPr>
          <w:p>
            <w:pPr>
              <w:spacing w:after="0"/>
              <w:rPr>
                <w:sz w:val="20"/>
                <w:szCs w:val="20"/>
                <w:color w:val="auto"/>
              </w:rPr>
            </w:pPr>
          </w:p>
        </w:tc>
        <w:tc>
          <w:tcPr>
            <w:tcW w:w="1300" w:type="dxa"/>
            <w:vAlign w:val="bottom"/>
          </w:tcPr>
          <w:p>
            <w:pPr>
              <w:jc w:val="right"/>
              <w:ind w:right="75"/>
              <w:spacing w:after="0"/>
              <w:rPr>
                <w:sz w:val="20"/>
                <w:szCs w:val="20"/>
                <w:color w:val="auto"/>
              </w:rPr>
            </w:pPr>
            <w:r>
              <w:rPr>
                <w:rFonts w:ascii="Arial" w:cs="Arial" w:eastAsia="Arial" w:hAnsi="Arial"/>
                <w:sz w:val="17"/>
                <w:szCs w:val="17"/>
                <w:color w:val="auto"/>
              </w:rPr>
              <w:t>58,688</w:t>
            </w:r>
          </w:p>
        </w:tc>
        <w:tc>
          <w:tcPr>
            <w:tcW w:w="26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35,102</w:t>
            </w:r>
          </w:p>
        </w:tc>
      </w:tr>
      <w:tr>
        <w:trPr>
          <w:trHeight w:val="31"/>
        </w:trPr>
        <w:tc>
          <w:tcPr>
            <w:tcW w:w="24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w:t>
            </w:r>
          </w:p>
        </w:tc>
        <w:tc>
          <w:tcPr>
            <w:tcW w:w="28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(22,010)</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(34,969)</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(59,911)</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(65,999)</w:t>
            </w:r>
          </w:p>
        </w:tc>
      </w:tr>
      <w:tr>
        <w:trPr>
          <w:trHeight w:val="233"/>
        </w:trPr>
        <w:tc>
          <w:tcPr>
            <w:tcW w:w="2460" w:type="dxa"/>
            <w:vAlign w:val="bottom"/>
            <w:tcBorders>
              <w:top w:val="single" w:sz="8" w:color="auto"/>
            </w:tcBorders>
          </w:tcPr>
          <w:p>
            <w:pPr>
              <w:ind w:left="180"/>
              <w:spacing w:after="0"/>
              <w:rPr>
                <w:sz w:val="20"/>
                <w:szCs w:val="20"/>
                <w:color w:val="auto"/>
              </w:rPr>
            </w:pPr>
            <w:r>
              <w:rPr>
                <w:rFonts w:ascii="Arial" w:cs="Arial" w:eastAsia="Arial" w:hAnsi="Arial"/>
                <w:sz w:val="17"/>
                <w:szCs w:val="17"/>
                <w:color w:val="auto"/>
              </w:rPr>
              <w:t>Total segment earnings</w:t>
            </w:r>
          </w:p>
        </w:tc>
        <w:tc>
          <w:tcPr>
            <w:tcW w:w="2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121,371</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137,180</w:t>
            </w:r>
          </w:p>
        </w:tc>
        <w:tc>
          <w:tcPr>
            <w:tcW w:w="2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207,510</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207,200</w:t>
            </w:r>
          </w:p>
        </w:tc>
      </w:tr>
      <w:tr>
        <w:trPr>
          <w:trHeight w:val="31"/>
        </w:trPr>
        <w:tc>
          <w:tcPr>
            <w:tcW w:w="24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246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517" w:right="339" w:bottom="1440" w:gutter="0" w:footer="0" w:header="0"/>
        </w:sectPr>
      </w:pPr>
    </w:p>
    <w:bookmarkStart w:id="12" w:name="page13"/>
    <w:bookmarkEnd w:id="12"/>
    <w:p>
      <w:pPr>
        <w:ind w:left="40"/>
        <w:spacing w:after="0"/>
        <w:rPr>
          <w:sz w:val="20"/>
          <w:szCs w:val="20"/>
          <w:color w:val="auto"/>
        </w:rPr>
      </w:pPr>
      <w:r>
        <w:rPr>
          <w:rFonts w:ascii="Arial" w:cs="Arial" w:eastAsia="Arial" w:hAnsi="Arial"/>
          <w:sz w:val="18"/>
          <w:szCs w:val="18"/>
          <w:color w:val="auto"/>
        </w:rPr>
        <w:t>9 - The Toro Company Reports Second Quarter Fiscal 2020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8" w:lineRule="exact"/>
        <w:rPr>
          <w:sz w:val="20"/>
          <w:szCs w:val="20"/>
          <w:color w:val="auto"/>
        </w:rPr>
      </w:pPr>
    </w:p>
    <w:p>
      <w:pPr>
        <w:ind w:left="3600"/>
        <w:spacing w:after="0"/>
        <w:rPr>
          <w:sz w:val="20"/>
          <w:szCs w:val="20"/>
          <w:color w:val="auto"/>
        </w:rPr>
      </w:pPr>
      <w:r>
        <w:rPr>
          <w:rFonts w:ascii="Arial" w:cs="Arial" w:eastAsia="Arial" w:hAnsi="Arial"/>
          <w:sz w:val="20"/>
          <w:szCs w:val="20"/>
          <w:b w:val="1"/>
          <w:bCs w:val="1"/>
          <w:color w:val="auto"/>
        </w:rPr>
        <w:t>THE TORO COMPANY AND SUBSIDIARIES</w:t>
      </w:r>
    </w:p>
    <w:p>
      <w:pPr>
        <w:spacing w:after="0" w:line="54" w:lineRule="exact"/>
        <w:rPr>
          <w:sz w:val="20"/>
          <w:szCs w:val="20"/>
          <w:color w:val="auto"/>
        </w:rPr>
      </w:pPr>
    </w:p>
    <w:p>
      <w:pPr>
        <w:ind w:left="3380"/>
        <w:spacing w:after="0"/>
        <w:rPr>
          <w:sz w:val="20"/>
          <w:szCs w:val="20"/>
          <w:color w:val="auto"/>
        </w:rPr>
      </w:pPr>
      <w:r>
        <w:rPr>
          <w:rFonts w:ascii="Arial" w:cs="Arial" w:eastAsia="Arial" w:hAnsi="Arial"/>
          <w:sz w:val="20"/>
          <w:szCs w:val="20"/>
          <w:b w:val="1"/>
          <w:bCs w:val="1"/>
          <w:color w:val="auto"/>
        </w:rPr>
        <w:t>Condensed Consolidated Balance Sheets (Unaudited)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115"/>
              <w:spacing w:after="0"/>
              <w:rPr>
                <w:sz w:val="20"/>
                <w:szCs w:val="20"/>
                <w:color w:val="auto"/>
              </w:rPr>
            </w:pPr>
            <w:r>
              <w:rPr>
                <w:rFonts w:ascii="Arial" w:cs="Arial" w:eastAsia="Arial" w:hAnsi="Arial"/>
                <w:sz w:val="17"/>
                <w:szCs w:val="17"/>
                <w:b w:val="1"/>
                <w:bCs w:val="1"/>
                <w:color w:val="auto"/>
                <w:w w:val="91"/>
              </w:rPr>
              <w:t>October 31,</w:t>
            </w:r>
          </w:p>
        </w:tc>
      </w:tr>
      <w:tr>
        <w:trPr>
          <w:trHeight w:val="220"/>
        </w:trPr>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135"/>
              <w:spacing w:after="0"/>
              <w:rPr>
                <w:sz w:val="20"/>
                <w:szCs w:val="20"/>
                <w:color w:val="auto"/>
              </w:rPr>
            </w:pPr>
            <w:r>
              <w:rPr>
                <w:rFonts w:ascii="Arial" w:cs="Arial" w:eastAsia="Arial" w:hAnsi="Arial"/>
                <w:sz w:val="17"/>
                <w:szCs w:val="17"/>
                <w:b w:val="1"/>
                <w:bCs w:val="1"/>
                <w:color w:val="auto"/>
                <w:w w:val="95"/>
              </w:rPr>
              <w:t>May 1, 2020</w:t>
            </w:r>
          </w:p>
        </w:tc>
        <w:tc>
          <w:tcPr>
            <w:tcW w:w="220" w:type="dxa"/>
            <w:vAlign w:val="bottom"/>
          </w:tcPr>
          <w:p>
            <w:pPr>
              <w:spacing w:after="0"/>
              <w:rPr>
                <w:sz w:val="19"/>
                <w:szCs w:val="19"/>
                <w:color w:val="auto"/>
              </w:rPr>
            </w:pPr>
          </w:p>
        </w:tc>
        <w:tc>
          <w:tcPr>
            <w:tcW w:w="1120" w:type="dxa"/>
            <w:vAlign w:val="bottom"/>
          </w:tcPr>
          <w:p>
            <w:pPr>
              <w:jc w:val="right"/>
              <w:ind w:right="115"/>
              <w:spacing w:after="0"/>
              <w:rPr>
                <w:sz w:val="20"/>
                <w:szCs w:val="20"/>
                <w:color w:val="auto"/>
              </w:rPr>
            </w:pPr>
            <w:r>
              <w:rPr>
                <w:rFonts w:ascii="Arial" w:cs="Arial" w:eastAsia="Arial" w:hAnsi="Arial"/>
                <w:sz w:val="17"/>
                <w:szCs w:val="17"/>
                <w:b w:val="1"/>
                <w:bCs w:val="1"/>
                <w:color w:val="auto"/>
                <w:w w:val="95"/>
              </w:rPr>
              <w:t>May 3, 2019</w:t>
            </w:r>
          </w:p>
        </w:tc>
        <w:tc>
          <w:tcPr>
            <w:tcW w:w="220" w:type="dxa"/>
            <w:vAlign w:val="bottom"/>
          </w:tcPr>
          <w:p>
            <w:pPr>
              <w:spacing w:after="0"/>
              <w:rPr>
                <w:sz w:val="19"/>
                <w:szCs w:val="19"/>
                <w:color w:val="auto"/>
              </w:rPr>
            </w:pPr>
          </w:p>
        </w:tc>
        <w:tc>
          <w:tcPr>
            <w:tcW w:w="1080" w:type="dxa"/>
            <w:vAlign w:val="bottom"/>
          </w:tcPr>
          <w:p>
            <w:pPr>
              <w:jc w:val="right"/>
              <w:ind w:right="355"/>
              <w:spacing w:after="0"/>
              <w:rPr>
                <w:sz w:val="20"/>
                <w:szCs w:val="20"/>
                <w:color w:val="auto"/>
              </w:rPr>
            </w:pPr>
            <w:r>
              <w:rPr>
                <w:rFonts w:ascii="Arial" w:cs="Arial" w:eastAsia="Arial" w:hAnsi="Arial"/>
                <w:sz w:val="17"/>
                <w:szCs w:val="17"/>
                <w:b w:val="1"/>
                <w:bCs w:val="1"/>
                <w:color w:val="auto"/>
              </w:rPr>
              <w:t>2019</w:t>
            </w:r>
          </w:p>
        </w:tc>
      </w:tr>
      <w:tr>
        <w:trPr>
          <w:trHeight w:val="31"/>
        </w:trPr>
        <w:tc>
          <w:tcPr>
            <w:tcW w:w="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89"/>
              </w:rPr>
              <w:t>ASSETS</w:t>
            </w:r>
          </w:p>
        </w:tc>
        <w:tc>
          <w:tcPr>
            <w:tcW w:w="6600" w:type="dxa"/>
            <w:vAlign w:val="bottom"/>
            <w:tcBorders>
              <w:bottom w:val="single" w:sz="8" w:color="CCEEFF"/>
            </w:tcBorders>
            <w:gridSpan w:val="2"/>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9"/>
        </w:trPr>
        <w:tc>
          <w:tcPr>
            <w:tcW w:w="40" w:type="dxa"/>
            <w:vAlign w:val="bottom"/>
          </w:tcPr>
          <w:p>
            <w:pPr>
              <w:spacing w:after="0"/>
              <w:rPr>
                <w:sz w:val="20"/>
                <w:szCs w:val="20"/>
                <w:color w:val="auto"/>
              </w:rPr>
            </w:pPr>
          </w:p>
        </w:tc>
        <w:tc>
          <w:tcPr>
            <w:tcW w:w="7220" w:type="dxa"/>
            <w:vAlign w:val="bottom"/>
            <w:gridSpan w:val="3"/>
          </w:tcPr>
          <w:p>
            <w:pPr>
              <w:spacing w:after="0"/>
              <w:rPr>
                <w:sz w:val="20"/>
                <w:szCs w:val="20"/>
                <w:color w:val="auto"/>
              </w:rPr>
            </w:pPr>
            <w:r>
              <w:rPr>
                <w:rFonts w:ascii="Arial" w:cs="Arial" w:eastAsia="Arial" w:hAnsi="Arial"/>
                <w:sz w:val="17"/>
                <w:szCs w:val="17"/>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55"/>
              <w:spacing w:after="0"/>
              <w:rPr>
                <w:sz w:val="20"/>
                <w:szCs w:val="20"/>
                <w:color w:val="auto"/>
              </w:rPr>
            </w:pPr>
            <w:r>
              <w:rPr>
                <w:rFonts w:ascii="Arial" w:cs="Arial" w:eastAsia="Arial" w:hAnsi="Arial"/>
                <w:sz w:val="17"/>
                <w:szCs w:val="17"/>
                <w:color w:val="auto"/>
              </w:rPr>
              <w:t>200,004</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5"/>
              <w:spacing w:after="0"/>
              <w:rPr>
                <w:sz w:val="20"/>
                <w:szCs w:val="20"/>
                <w:color w:val="auto"/>
              </w:rPr>
            </w:pPr>
            <w:r>
              <w:rPr>
                <w:rFonts w:ascii="Arial" w:cs="Arial" w:eastAsia="Arial" w:hAnsi="Arial"/>
                <w:sz w:val="17"/>
                <w:szCs w:val="17"/>
                <w:color w:val="auto"/>
              </w:rPr>
              <w:t>180,078</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151,828</w:t>
            </w:r>
          </w:p>
        </w:tc>
      </w:tr>
      <w:tr>
        <w:trPr>
          <w:trHeight w:val="31"/>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2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Receivables, net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400,444</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428,567</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268,768</w:t>
            </w:r>
          </w:p>
        </w:tc>
      </w:tr>
      <w:tr>
        <w:trPr>
          <w:trHeight w:val="239"/>
        </w:trPr>
        <w:tc>
          <w:tcPr>
            <w:tcW w:w="40" w:type="dxa"/>
            <w:vAlign w:val="bottom"/>
          </w:tcPr>
          <w:p>
            <w:pPr>
              <w:spacing w:after="0"/>
              <w:rPr>
                <w:sz w:val="20"/>
                <w:szCs w:val="20"/>
                <w:color w:val="auto"/>
              </w:rPr>
            </w:pPr>
          </w:p>
        </w:tc>
        <w:tc>
          <w:tcPr>
            <w:tcW w:w="7220" w:type="dxa"/>
            <w:vAlign w:val="bottom"/>
            <w:gridSpan w:val="3"/>
          </w:tcPr>
          <w:p>
            <w:pPr>
              <w:spacing w:after="0"/>
              <w:rPr>
                <w:sz w:val="20"/>
                <w:szCs w:val="20"/>
                <w:color w:val="auto"/>
              </w:rPr>
            </w:pPr>
            <w:r>
              <w:rPr>
                <w:rFonts w:ascii="Arial" w:cs="Arial" w:eastAsia="Arial" w:hAnsi="Arial"/>
                <w:sz w:val="17"/>
                <w:szCs w:val="17"/>
                <w:color w:val="auto"/>
              </w:rPr>
              <w:t>Inventories, net</w:t>
            </w:r>
          </w:p>
        </w:tc>
        <w:tc>
          <w:tcPr>
            <w:tcW w:w="200" w:type="dxa"/>
            <w:vAlign w:val="bottom"/>
          </w:tcPr>
          <w:p>
            <w:pPr>
              <w:spacing w:after="0"/>
              <w:rPr>
                <w:sz w:val="20"/>
                <w:szCs w:val="20"/>
                <w:color w:val="auto"/>
              </w:rPr>
            </w:pPr>
          </w:p>
        </w:tc>
        <w:tc>
          <w:tcPr>
            <w:tcW w:w="1140" w:type="dxa"/>
            <w:vAlign w:val="bottom"/>
          </w:tcPr>
          <w:p>
            <w:pPr>
              <w:jc w:val="right"/>
              <w:ind w:right="55"/>
              <w:spacing w:after="0"/>
              <w:rPr>
                <w:sz w:val="20"/>
                <w:szCs w:val="20"/>
                <w:color w:val="auto"/>
              </w:rPr>
            </w:pPr>
            <w:r>
              <w:rPr>
                <w:rFonts w:ascii="Arial" w:cs="Arial" w:eastAsia="Arial" w:hAnsi="Arial"/>
                <w:sz w:val="17"/>
                <w:szCs w:val="17"/>
                <w:color w:val="auto"/>
              </w:rPr>
              <w:t>714,167</w:t>
            </w:r>
          </w:p>
        </w:tc>
        <w:tc>
          <w:tcPr>
            <w:tcW w:w="220" w:type="dxa"/>
            <w:vAlign w:val="bottom"/>
          </w:tcPr>
          <w:p>
            <w:pPr>
              <w:spacing w:after="0"/>
              <w:rPr>
                <w:sz w:val="20"/>
                <w:szCs w:val="20"/>
                <w:color w:val="auto"/>
              </w:rPr>
            </w:pPr>
          </w:p>
        </w:tc>
        <w:tc>
          <w:tcPr>
            <w:tcW w:w="1120" w:type="dxa"/>
            <w:vAlign w:val="bottom"/>
          </w:tcPr>
          <w:p>
            <w:pPr>
              <w:jc w:val="right"/>
              <w:ind w:right="55"/>
              <w:spacing w:after="0"/>
              <w:rPr>
                <w:sz w:val="20"/>
                <w:szCs w:val="20"/>
                <w:color w:val="auto"/>
              </w:rPr>
            </w:pPr>
            <w:r>
              <w:rPr>
                <w:rFonts w:ascii="Arial" w:cs="Arial" w:eastAsia="Arial" w:hAnsi="Arial"/>
                <w:sz w:val="17"/>
                <w:szCs w:val="17"/>
                <w:color w:val="auto"/>
              </w:rPr>
              <w:t>611,331</w:t>
            </w:r>
          </w:p>
        </w:tc>
        <w:tc>
          <w:tcPr>
            <w:tcW w:w="22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651,663</w:t>
            </w:r>
          </w:p>
        </w:tc>
      </w:tr>
      <w:tr>
        <w:trPr>
          <w:trHeight w:val="31"/>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72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Prepaid expenses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59,938</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50,298</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50,632</w:t>
            </w:r>
          </w:p>
        </w:tc>
      </w:tr>
      <w:tr>
        <w:trPr>
          <w:trHeight w:val="233"/>
        </w:trPr>
        <w:tc>
          <w:tcPr>
            <w:tcW w:w="40" w:type="dxa"/>
            <w:vAlign w:val="bottom"/>
            <w:tcBorders>
              <w:top w:val="single" w:sz="8" w:color="auto"/>
            </w:tcBorders>
          </w:tcPr>
          <w:p>
            <w:pPr>
              <w:spacing w:after="0"/>
              <w:rPr>
                <w:sz w:val="20"/>
                <w:szCs w:val="20"/>
                <w:color w:val="auto"/>
              </w:rPr>
            </w:pPr>
          </w:p>
        </w:tc>
        <w:tc>
          <w:tcPr>
            <w:tcW w:w="7220" w:type="dxa"/>
            <w:vAlign w:val="bottom"/>
            <w:tcBorders>
              <w:top w:val="single" w:sz="8" w:color="auto"/>
            </w:tcBorders>
            <w:gridSpan w:val="3"/>
          </w:tcPr>
          <w:p>
            <w:pPr>
              <w:ind w:left="140"/>
              <w:spacing w:after="0"/>
              <w:rPr>
                <w:sz w:val="20"/>
                <w:szCs w:val="20"/>
                <w:color w:val="auto"/>
              </w:rPr>
            </w:pPr>
            <w:r>
              <w:rPr>
                <w:rFonts w:ascii="Arial" w:cs="Arial" w:eastAsia="Arial" w:hAnsi="Arial"/>
                <w:sz w:val="17"/>
                <w:szCs w:val="17"/>
                <w:color w:val="auto"/>
              </w:rPr>
              <w:t>Total current assets</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1,374,553</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1,270,274</w:t>
            </w: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1,122,891</w:t>
            </w:r>
          </w:p>
        </w:tc>
      </w:tr>
      <w:tr>
        <w:trPr>
          <w:trHeight w:val="31"/>
        </w:trPr>
        <w:tc>
          <w:tcPr>
            <w:tcW w:w="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318"/>
        </w:trPr>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880" w:type="dxa"/>
            <w:vAlign w:val="bottom"/>
            <w:shd w:val="clear" w:color="auto" w:fill="CCEEFF"/>
          </w:tcPr>
          <w:p>
            <w:pPr>
              <w:spacing w:after="0"/>
              <w:rPr>
                <w:sz w:val="24"/>
                <w:szCs w:val="24"/>
                <w:color w:val="auto"/>
              </w:rPr>
            </w:pPr>
          </w:p>
        </w:tc>
        <w:tc>
          <w:tcPr>
            <w:tcW w:w="37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39"/>
        </w:trPr>
        <w:tc>
          <w:tcPr>
            <w:tcW w:w="40" w:type="dxa"/>
            <w:vAlign w:val="bottom"/>
          </w:tcPr>
          <w:p>
            <w:pPr>
              <w:spacing w:after="0"/>
              <w:rPr>
                <w:sz w:val="20"/>
                <w:szCs w:val="20"/>
                <w:color w:val="auto"/>
              </w:rPr>
            </w:pPr>
          </w:p>
        </w:tc>
        <w:tc>
          <w:tcPr>
            <w:tcW w:w="7220" w:type="dxa"/>
            <w:vAlign w:val="bottom"/>
            <w:gridSpan w:val="3"/>
          </w:tcPr>
          <w:p>
            <w:pPr>
              <w:spacing w:after="0"/>
              <w:rPr>
                <w:sz w:val="20"/>
                <w:szCs w:val="20"/>
                <w:color w:val="auto"/>
              </w:rPr>
            </w:pPr>
            <w:r>
              <w:rPr>
                <w:rFonts w:ascii="Arial" w:cs="Arial" w:eastAsia="Arial" w:hAnsi="Arial"/>
                <w:sz w:val="17"/>
                <w:szCs w:val="17"/>
                <w:color w:val="auto"/>
              </w:rPr>
              <w:t>Property, plant, and equipment, net</w:t>
            </w:r>
          </w:p>
        </w:tc>
        <w:tc>
          <w:tcPr>
            <w:tcW w:w="200" w:type="dxa"/>
            <w:vAlign w:val="bottom"/>
          </w:tcPr>
          <w:p>
            <w:pPr>
              <w:spacing w:after="0"/>
              <w:rPr>
                <w:sz w:val="20"/>
                <w:szCs w:val="20"/>
                <w:color w:val="auto"/>
              </w:rPr>
            </w:pPr>
          </w:p>
        </w:tc>
        <w:tc>
          <w:tcPr>
            <w:tcW w:w="1140" w:type="dxa"/>
            <w:vAlign w:val="bottom"/>
          </w:tcPr>
          <w:p>
            <w:pPr>
              <w:jc w:val="right"/>
              <w:ind w:right="55"/>
              <w:spacing w:after="0"/>
              <w:rPr>
                <w:sz w:val="20"/>
                <w:szCs w:val="20"/>
                <w:color w:val="auto"/>
              </w:rPr>
            </w:pPr>
            <w:r>
              <w:rPr>
                <w:rFonts w:ascii="Arial" w:cs="Arial" w:eastAsia="Arial" w:hAnsi="Arial"/>
                <w:sz w:val="17"/>
                <w:szCs w:val="17"/>
                <w:color w:val="auto"/>
              </w:rPr>
              <w:t>453,761</w:t>
            </w:r>
          </w:p>
        </w:tc>
        <w:tc>
          <w:tcPr>
            <w:tcW w:w="220" w:type="dxa"/>
            <w:vAlign w:val="bottom"/>
          </w:tcPr>
          <w:p>
            <w:pPr>
              <w:spacing w:after="0"/>
              <w:rPr>
                <w:sz w:val="20"/>
                <w:szCs w:val="20"/>
                <w:color w:val="auto"/>
              </w:rPr>
            </w:pPr>
          </w:p>
        </w:tc>
        <w:tc>
          <w:tcPr>
            <w:tcW w:w="1120" w:type="dxa"/>
            <w:vAlign w:val="bottom"/>
          </w:tcPr>
          <w:p>
            <w:pPr>
              <w:jc w:val="right"/>
              <w:ind w:right="55"/>
              <w:spacing w:after="0"/>
              <w:rPr>
                <w:sz w:val="20"/>
                <w:szCs w:val="20"/>
                <w:color w:val="auto"/>
              </w:rPr>
            </w:pPr>
            <w:r>
              <w:rPr>
                <w:rFonts w:ascii="Arial" w:cs="Arial" w:eastAsia="Arial" w:hAnsi="Arial"/>
                <w:sz w:val="17"/>
                <w:szCs w:val="17"/>
                <w:color w:val="auto"/>
              </w:rPr>
              <w:t>425,381</w:t>
            </w:r>
          </w:p>
        </w:tc>
        <w:tc>
          <w:tcPr>
            <w:tcW w:w="22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437,317</w:t>
            </w:r>
          </w:p>
        </w:tc>
      </w:tr>
      <w:tr>
        <w:trPr>
          <w:trHeight w:val="31"/>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2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426,175</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372,343</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362,253</w:t>
            </w:r>
          </w:p>
        </w:tc>
      </w:tr>
      <w:tr>
        <w:trPr>
          <w:trHeight w:val="239"/>
        </w:trPr>
        <w:tc>
          <w:tcPr>
            <w:tcW w:w="40" w:type="dxa"/>
            <w:vAlign w:val="bottom"/>
          </w:tcPr>
          <w:p>
            <w:pPr>
              <w:spacing w:after="0"/>
              <w:rPr>
                <w:sz w:val="20"/>
                <w:szCs w:val="20"/>
                <w:color w:val="auto"/>
              </w:rPr>
            </w:pPr>
          </w:p>
        </w:tc>
        <w:tc>
          <w:tcPr>
            <w:tcW w:w="7220" w:type="dxa"/>
            <w:vAlign w:val="bottom"/>
            <w:gridSpan w:val="3"/>
          </w:tcPr>
          <w:p>
            <w:pPr>
              <w:spacing w:after="0"/>
              <w:rPr>
                <w:sz w:val="20"/>
                <w:szCs w:val="20"/>
                <w:color w:val="auto"/>
              </w:rPr>
            </w:pPr>
            <w:r>
              <w:rPr>
                <w:rFonts w:ascii="Arial" w:cs="Arial" w:eastAsia="Arial" w:hAnsi="Arial"/>
                <w:sz w:val="17"/>
                <w:szCs w:val="17"/>
                <w:color w:val="auto"/>
              </w:rPr>
              <w:t>Other intangible assets, net</w:t>
            </w:r>
          </w:p>
        </w:tc>
        <w:tc>
          <w:tcPr>
            <w:tcW w:w="200" w:type="dxa"/>
            <w:vAlign w:val="bottom"/>
          </w:tcPr>
          <w:p>
            <w:pPr>
              <w:spacing w:after="0"/>
              <w:rPr>
                <w:sz w:val="20"/>
                <w:szCs w:val="20"/>
                <w:color w:val="auto"/>
              </w:rPr>
            </w:pPr>
          </w:p>
        </w:tc>
        <w:tc>
          <w:tcPr>
            <w:tcW w:w="1140" w:type="dxa"/>
            <w:vAlign w:val="bottom"/>
          </w:tcPr>
          <w:p>
            <w:pPr>
              <w:jc w:val="right"/>
              <w:ind w:right="55"/>
              <w:spacing w:after="0"/>
              <w:rPr>
                <w:sz w:val="20"/>
                <w:szCs w:val="20"/>
                <w:color w:val="auto"/>
              </w:rPr>
            </w:pPr>
            <w:r>
              <w:rPr>
                <w:rFonts w:ascii="Arial" w:cs="Arial" w:eastAsia="Arial" w:hAnsi="Arial"/>
                <w:sz w:val="17"/>
                <w:szCs w:val="17"/>
                <w:color w:val="auto"/>
              </w:rPr>
              <w:t>417,886</w:t>
            </w:r>
          </w:p>
        </w:tc>
        <w:tc>
          <w:tcPr>
            <w:tcW w:w="220" w:type="dxa"/>
            <w:vAlign w:val="bottom"/>
          </w:tcPr>
          <w:p>
            <w:pPr>
              <w:spacing w:after="0"/>
              <w:rPr>
                <w:sz w:val="20"/>
                <w:szCs w:val="20"/>
                <w:color w:val="auto"/>
              </w:rPr>
            </w:pPr>
          </w:p>
        </w:tc>
        <w:tc>
          <w:tcPr>
            <w:tcW w:w="1120" w:type="dxa"/>
            <w:vAlign w:val="bottom"/>
          </w:tcPr>
          <w:p>
            <w:pPr>
              <w:jc w:val="right"/>
              <w:ind w:right="55"/>
              <w:spacing w:after="0"/>
              <w:rPr>
                <w:sz w:val="20"/>
                <w:szCs w:val="20"/>
                <w:color w:val="auto"/>
              </w:rPr>
            </w:pPr>
            <w:r>
              <w:rPr>
                <w:rFonts w:ascii="Arial" w:cs="Arial" w:eastAsia="Arial" w:hAnsi="Arial"/>
                <w:sz w:val="17"/>
                <w:szCs w:val="17"/>
                <w:color w:val="auto"/>
              </w:rPr>
              <w:t>333,177</w:t>
            </w:r>
          </w:p>
        </w:tc>
        <w:tc>
          <w:tcPr>
            <w:tcW w:w="22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352,374</w:t>
            </w:r>
          </w:p>
        </w:tc>
      </w:tr>
      <w:tr>
        <w:trPr>
          <w:trHeight w:val="31"/>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2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Right-of-use assets</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84,091</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40" w:type="dxa"/>
            <w:vAlign w:val="bottom"/>
          </w:tcPr>
          <w:p>
            <w:pPr>
              <w:spacing w:after="0"/>
              <w:rPr>
                <w:sz w:val="20"/>
                <w:szCs w:val="20"/>
                <w:color w:val="auto"/>
              </w:rPr>
            </w:pPr>
          </w:p>
        </w:tc>
        <w:tc>
          <w:tcPr>
            <w:tcW w:w="7220" w:type="dxa"/>
            <w:vAlign w:val="bottom"/>
            <w:gridSpan w:val="3"/>
          </w:tcPr>
          <w:p>
            <w:pPr>
              <w:spacing w:after="0"/>
              <w:rPr>
                <w:sz w:val="20"/>
                <w:szCs w:val="20"/>
                <w:color w:val="auto"/>
              </w:rPr>
            </w:pPr>
            <w:r>
              <w:rPr>
                <w:rFonts w:ascii="Arial" w:cs="Arial" w:eastAsia="Arial" w:hAnsi="Arial"/>
                <w:sz w:val="17"/>
                <w:szCs w:val="17"/>
                <w:color w:val="auto"/>
              </w:rPr>
              <w:t>Investment in finance affiliate</w:t>
            </w:r>
          </w:p>
        </w:tc>
        <w:tc>
          <w:tcPr>
            <w:tcW w:w="200" w:type="dxa"/>
            <w:vAlign w:val="bottom"/>
          </w:tcPr>
          <w:p>
            <w:pPr>
              <w:spacing w:after="0"/>
              <w:rPr>
                <w:sz w:val="20"/>
                <w:szCs w:val="20"/>
                <w:color w:val="auto"/>
              </w:rPr>
            </w:pPr>
          </w:p>
        </w:tc>
        <w:tc>
          <w:tcPr>
            <w:tcW w:w="1140" w:type="dxa"/>
            <w:vAlign w:val="bottom"/>
          </w:tcPr>
          <w:p>
            <w:pPr>
              <w:jc w:val="right"/>
              <w:ind w:right="55"/>
              <w:spacing w:after="0"/>
              <w:rPr>
                <w:sz w:val="20"/>
                <w:szCs w:val="20"/>
                <w:color w:val="auto"/>
              </w:rPr>
            </w:pPr>
            <w:r>
              <w:rPr>
                <w:rFonts w:ascii="Arial" w:cs="Arial" w:eastAsia="Arial" w:hAnsi="Arial"/>
                <w:sz w:val="17"/>
                <w:szCs w:val="17"/>
                <w:color w:val="auto"/>
              </w:rPr>
              <w:t>27,836</w:t>
            </w:r>
          </w:p>
        </w:tc>
        <w:tc>
          <w:tcPr>
            <w:tcW w:w="220" w:type="dxa"/>
            <w:vAlign w:val="bottom"/>
          </w:tcPr>
          <w:p>
            <w:pPr>
              <w:spacing w:after="0"/>
              <w:rPr>
                <w:sz w:val="20"/>
                <w:szCs w:val="20"/>
                <w:color w:val="auto"/>
              </w:rPr>
            </w:pPr>
          </w:p>
        </w:tc>
        <w:tc>
          <w:tcPr>
            <w:tcW w:w="1120" w:type="dxa"/>
            <w:vAlign w:val="bottom"/>
          </w:tcPr>
          <w:p>
            <w:pPr>
              <w:jc w:val="right"/>
              <w:ind w:right="55"/>
              <w:spacing w:after="0"/>
              <w:rPr>
                <w:sz w:val="20"/>
                <w:szCs w:val="20"/>
                <w:color w:val="auto"/>
              </w:rPr>
            </w:pPr>
            <w:r>
              <w:rPr>
                <w:rFonts w:ascii="Arial" w:cs="Arial" w:eastAsia="Arial" w:hAnsi="Arial"/>
                <w:sz w:val="17"/>
                <w:szCs w:val="17"/>
                <w:color w:val="auto"/>
              </w:rPr>
              <w:t>30,110</w:t>
            </w:r>
          </w:p>
        </w:tc>
        <w:tc>
          <w:tcPr>
            <w:tcW w:w="22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24,147</w:t>
            </w:r>
          </w:p>
        </w:tc>
      </w:tr>
      <w:tr>
        <w:trPr>
          <w:trHeight w:val="31"/>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2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4,597</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4,484</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6,251</w:t>
            </w:r>
          </w:p>
        </w:tc>
      </w:tr>
      <w:tr>
        <w:trPr>
          <w:trHeight w:val="239"/>
        </w:trPr>
        <w:tc>
          <w:tcPr>
            <w:tcW w:w="40" w:type="dxa"/>
            <w:vAlign w:val="bottom"/>
          </w:tcPr>
          <w:p>
            <w:pPr>
              <w:spacing w:after="0"/>
              <w:rPr>
                <w:sz w:val="20"/>
                <w:szCs w:val="20"/>
                <w:color w:val="auto"/>
              </w:rPr>
            </w:pPr>
          </w:p>
        </w:tc>
        <w:tc>
          <w:tcPr>
            <w:tcW w:w="7220" w:type="dxa"/>
            <w:vAlign w:val="bottom"/>
            <w:gridSpan w:val="3"/>
          </w:tcPr>
          <w:p>
            <w:pPr>
              <w:spacing w:after="0"/>
              <w:rPr>
                <w:sz w:val="20"/>
                <w:szCs w:val="20"/>
                <w:color w:val="auto"/>
              </w:rPr>
            </w:pPr>
            <w:r>
              <w:rPr>
                <w:rFonts w:ascii="Arial" w:cs="Arial" w:eastAsia="Arial" w:hAnsi="Arial"/>
                <w:sz w:val="17"/>
                <w:szCs w:val="17"/>
                <w:color w:val="auto"/>
              </w:rPr>
              <w:t>Other assets</w:t>
            </w:r>
          </w:p>
        </w:tc>
        <w:tc>
          <w:tcPr>
            <w:tcW w:w="200" w:type="dxa"/>
            <w:vAlign w:val="bottom"/>
          </w:tcPr>
          <w:p>
            <w:pPr>
              <w:spacing w:after="0"/>
              <w:rPr>
                <w:sz w:val="20"/>
                <w:szCs w:val="20"/>
                <w:color w:val="auto"/>
              </w:rPr>
            </w:pPr>
          </w:p>
        </w:tc>
        <w:tc>
          <w:tcPr>
            <w:tcW w:w="1140" w:type="dxa"/>
            <w:vAlign w:val="bottom"/>
          </w:tcPr>
          <w:p>
            <w:pPr>
              <w:jc w:val="right"/>
              <w:ind w:right="55"/>
              <w:spacing w:after="0"/>
              <w:rPr>
                <w:sz w:val="20"/>
                <w:szCs w:val="20"/>
                <w:color w:val="auto"/>
              </w:rPr>
            </w:pPr>
            <w:r>
              <w:rPr>
                <w:rFonts w:ascii="Arial" w:cs="Arial" w:eastAsia="Arial" w:hAnsi="Arial"/>
                <w:sz w:val="17"/>
                <w:szCs w:val="17"/>
                <w:color w:val="auto"/>
              </w:rPr>
              <w:t>22,576</w:t>
            </w:r>
          </w:p>
        </w:tc>
        <w:tc>
          <w:tcPr>
            <w:tcW w:w="220" w:type="dxa"/>
            <w:vAlign w:val="bottom"/>
          </w:tcPr>
          <w:p>
            <w:pPr>
              <w:spacing w:after="0"/>
              <w:rPr>
                <w:sz w:val="20"/>
                <w:szCs w:val="20"/>
                <w:color w:val="auto"/>
              </w:rPr>
            </w:pPr>
          </w:p>
        </w:tc>
        <w:tc>
          <w:tcPr>
            <w:tcW w:w="1120" w:type="dxa"/>
            <w:vAlign w:val="bottom"/>
          </w:tcPr>
          <w:p>
            <w:pPr>
              <w:jc w:val="right"/>
              <w:ind w:right="55"/>
              <w:spacing w:after="0"/>
              <w:rPr>
                <w:sz w:val="20"/>
                <w:szCs w:val="20"/>
                <w:color w:val="auto"/>
              </w:rPr>
            </w:pPr>
            <w:r>
              <w:rPr>
                <w:rFonts w:ascii="Arial" w:cs="Arial" w:eastAsia="Arial" w:hAnsi="Arial"/>
                <w:sz w:val="17"/>
                <w:szCs w:val="17"/>
                <w:color w:val="auto"/>
              </w:rPr>
              <w:t>30,231</w:t>
            </w:r>
          </w:p>
        </w:tc>
        <w:tc>
          <w:tcPr>
            <w:tcW w:w="22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25,314</w:t>
            </w:r>
          </w:p>
        </w:tc>
      </w:tr>
      <w:tr>
        <w:trPr>
          <w:trHeight w:val="31"/>
        </w:trPr>
        <w:tc>
          <w:tcPr>
            <w:tcW w:w="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8"/>
        </w:trPr>
        <w:tc>
          <w:tcPr>
            <w:tcW w:w="40" w:type="dxa"/>
            <w:vAlign w:val="bottom"/>
            <w:tcBorders>
              <w:bottom w:val="single" w:sz="8" w:color="CCEEFF"/>
            </w:tcBorders>
            <w:shd w:val="clear" w:color="auto" w:fill="CCEEFF"/>
          </w:tcPr>
          <w:p>
            <w:pPr>
              <w:spacing w:after="0"/>
              <w:rPr>
                <w:sz w:val="22"/>
                <w:szCs w:val="22"/>
                <w:color w:val="auto"/>
              </w:rPr>
            </w:pPr>
          </w:p>
        </w:tc>
        <w:tc>
          <w:tcPr>
            <w:tcW w:w="72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Total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2,811,475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2,466,000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2,330,547</w:t>
            </w: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80" w:type="dxa"/>
            <w:vAlign w:val="bottom"/>
            <w:tcBorders>
              <w:top w:val="single" w:sz="8" w:color="auto"/>
              <w:bottom w:val="single" w:sz="8" w:color="auto"/>
            </w:tcBorders>
          </w:tcPr>
          <w:p>
            <w:pPr>
              <w:spacing w:after="0" w:line="20" w:lineRule="exact"/>
              <w:rPr>
                <w:sz w:val="1"/>
                <w:szCs w:val="1"/>
                <w:color w:val="auto"/>
              </w:rPr>
            </w:pPr>
          </w:p>
        </w:tc>
        <w:tc>
          <w:tcPr>
            <w:tcW w:w="3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72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LIABILITIES AND STOCKHOLDERS’ EQUITY</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39"/>
        </w:trPr>
        <w:tc>
          <w:tcPr>
            <w:tcW w:w="40" w:type="dxa"/>
            <w:vAlign w:val="bottom"/>
            <w:tcBorders>
              <w:top w:val="single" w:sz="8" w:color="CCEEFF"/>
            </w:tcBorders>
          </w:tcPr>
          <w:p>
            <w:pPr>
              <w:spacing w:after="0"/>
              <w:rPr>
                <w:sz w:val="20"/>
                <w:szCs w:val="20"/>
                <w:color w:val="auto"/>
              </w:rPr>
            </w:pPr>
          </w:p>
        </w:tc>
        <w:tc>
          <w:tcPr>
            <w:tcW w:w="350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Current portion of long-term debt</w:t>
            </w:r>
          </w:p>
        </w:tc>
        <w:tc>
          <w:tcPr>
            <w:tcW w:w="372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CCEEFF"/>
            </w:tcBorders>
          </w:tcPr>
          <w:p>
            <w:pPr>
              <w:jc w:val="right"/>
              <w:ind w:right="55"/>
              <w:spacing w:after="0"/>
              <w:rPr>
                <w:sz w:val="20"/>
                <w:szCs w:val="20"/>
                <w:color w:val="auto"/>
              </w:rPr>
            </w:pPr>
            <w:r>
              <w:rPr>
                <w:rFonts w:ascii="Arial" w:cs="Arial" w:eastAsia="Arial" w:hAnsi="Arial"/>
                <w:sz w:val="17"/>
                <w:szCs w:val="17"/>
                <w:color w:val="auto"/>
              </w:rPr>
              <w:t>99,868</w:t>
            </w:r>
          </w:p>
        </w:tc>
        <w:tc>
          <w:tcPr>
            <w:tcW w:w="22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CCEEFF"/>
            </w:tcBorders>
          </w:tcPr>
          <w:p>
            <w:pPr>
              <w:jc w:val="right"/>
              <w:ind w:right="55"/>
              <w:spacing w:after="0"/>
              <w:rPr>
                <w:sz w:val="20"/>
                <w:szCs w:val="20"/>
                <w:color w:val="auto"/>
              </w:rPr>
            </w:pPr>
            <w:r>
              <w:rPr>
                <w:rFonts w:ascii="Arial" w:cs="Arial" w:eastAsia="Arial" w:hAnsi="Arial"/>
                <w:sz w:val="17"/>
                <w:szCs w:val="17"/>
                <w:color w:val="auto"/>
              </w:rPr>
              <w:t>90,000</w:t>
            </w:r>
          </w:p>
        </w:tc>
        <w:tc>
          <w:tcPr>
            <w:tcW w:w="22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CCEEFF"/>
            </w:tcBorders>
          </w:tcPr>
          <w:p>
            <w:pPr>
              <w:jc w:val="right"/>
              <w:ind w:right="15"/>
              <w:spacing w:after="0"/>
              <w:rPr>
                <w:sz w:val="20"/>
                <w:szCs w:val="20"/>
                <w:color w:val="auto"/>
              </w:rPr>
            </w:pPr>
            <w:r>
              <w:rPr>
                <w:rFonts w:ascii="Arial" w:cs="Arial" w:eastAsia="Arial" w:hAnsi="Arial"/>
                <w:sz w:val="17"/>
                <w:szCs w:val="17"/>
                <w:color w:val="auto"/>
              </w:rPr>
              <w:t>79,914</w:t>
            </w:r>
          </w:p>
        </w:tc>
      </w:tr>
      <w:tr>
        <w:trPr>
          <w:trHeight w:val="31"/>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2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Accounts payable</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327,354</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391,692</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319,230</w:t>
            </w:r>
          </w:p>
        </w:tc>
      </w:tr>
      <w:tr>
        <w:trPr>
          <w:trHeight w:val="239"/>
        </w:trPr>
        <w:tc>
          <w:tcPr>
            <w:tcW w:w="40" w:type="dxa"/>
            <w:vAlign w:val="bottom"/>
          </w:tcPr>
          <w:p>
            <w:pPr>
              <w:spacing w:after="0"/>
              <w:rPr>
                <w:sz w:val="20"/>
                <w:szCs w:val="20"/>
                <w:color w:val="auto"/>
              </w:rPr>
            </w:pPr>
          </w:p>
        </w:tc>
        <w:tc>
          <w:tcPr>
            <w:tcW w:w="7220" w:type="dxa"/>
            <w:vAlign w:val="bottom"/>
            <w:gridSpan w:val="3"/>
          </w:tcPr>
          <w:p>
            <w:pPr>
              <w:spacing w:after="0"/>
              <w:rPr>
                <w:sz w:val="20"/>
                <w:szCs w:val="20"/>
                <w:color w:val="auto"/>
              </w:rPr>
            </w:pPr>
            <w:r>
              <w:rPr>
                <w:rFonts w:ascii="Arial" w:cs="Arial" w:eastAsia="Arial" w:hAnsi="Arial"/>
                <w:sz w:val="17"/>
                <w:szCs w:val="17"/>
                <w:color w:val="auto"/>
              </w:rPr>
              <w:t>Accrued liabilities</w:t>
            </w:r>
          </w:p>
        </w:tc>
        <w:tc>
          <w:tcPr>
            <w:tcW w:w="200" w:type="dxa"/>
            <w:vAlign w:val="bottom"/>
          </w:tcPr>
          <w:p>
            <w:pPr>
              <w:spacing w:after="0"/>
              <w:rPr>
                <w:sz w:val="20"/>
                <w:szCs w:val="20"/>
                <w:color w:val="auto"/>
              </w:rPr>
            </w:pPr>
          </w:p>
        </w:tc>
        <w:tc>
          <w:tcPr>
            <w:tcW w:w="1140" w:type="dxa"/>
            <w:vAlign w:val="bottom"/>
          </w:tcPr>
          <w:p>
            <w:pPr>
              <w:jc w:val="right"/>
              <w:ind w:right="55"/>
              <w:spacing w:after="0"/>
              <w:rPr>
                <w:sz w:val="20"/>
                <w:szCs w:val="20"/>
                <w:color w:val="auto"/>
              </w:rPr>
            </w:pPr>
            <w:r>
              <w:rPr>
                <w:rFonts w:ascii="Arial" w:cs="Arial" w:eastAsia="Arial" w:hAnsi="Arial"/>
                <w:sz w:val="17"/>
                <w:szCs w:val="17"/>
                <w:color w:val="auto"/>
              </w:rPr>
              <w:t>414,499</w:t>
            </w:r>
          </w:p>
        </w:tc>
        <w:tc>
          <w:tcPr>
            <w:tcW w:w="220" w:type="dxa"/>
            <w:vAlign w:val="bottom"/>
          </w:tcPr>
          <w:p>
            <w:pPr>
              <w:spacing w:after="0"/>
              <w:rPr>
                <w:sz w:val="20"/>
                <w:szCs w:val="20"/>
                <w:color w:val="auto"/>
              </w:rPr>
            </w:pPr>
          </w:p>
        </w:tc>
        <w:tc>
          <w:tcPr>
            <w:tcW w:w="1120" w:type="dxa"/>
            <w:vAlign w:val="bottom"/>
          </w:tcPr>
          <w:p>
            <w:pPr>
              <w:jc w:val="right"/>
              <w:ind w:right="55"/>
              <w:spacing w:after="0"/>
              <w:rPr>
                <w:sz w:val="20"/>
                <w:szCs w:val="20"/>
                <w:color w:val="auto"/>
              </w:rPr>
            </w:pPr>
            <w:r>
              <w:rPr>
                <w:rFonts w:ascii="Arial" w:cs="Arial" w:eastAsia="Arial" w:hAnsi="Arial"/>
                <w:sz w:val="17"/>
                <w:szCs w:val="17"/>
                <w:color w:val="auto"/>
              </w:rPr>
              <w:t>360,082</w:t>
            </w:r>
          </w:p>
        </w:tc>
        <w:tc>
          <w:tcPr>
            <w:tcW w:w="22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357,826</w:t>
            </w:r>
          </w:p>
        </w:tc>
      </w:tr>
      <w:tr>
        <w:trPr>
          <w:trHeight w:val="31"/>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72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Short-term lease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14,012</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3"/>
        </w:trPr>
        <w:tc>
          <w:tcPr>
            <w:tcW w:w="40" w:type="dxa"/>
            <w:vAlign w:val="bottom"/>
            <w:tcBorders>
              <w:top w:val="single" w:sz="8" w:color="auto"/>
            </w:tcBorders>
          </w:tcPr>
          <w:p>
            <w:pPr>
              <w:spacing w:after="0"/>
              <w:rPr>
                <w:sz w:val="20"/>
                <w:szCs w:val="20"/>
                <w:color w:val="auto"/>
              </w:rPr>
            </w:pPr>
          </w:p>
        </w:tc>
        <w:tc>
          <w:tcPr>
            <w:tcW w:w="7220" w:type="dxa"/>
            <w:vAlign w:val="bottom"/>
            <w:tcBorders>
              <w:top w:val="single" w:sz="8" w:color="auto"/>
            </w:tcBorders>
            <w:gridSpan w:val="3"/>
          </w:tcPr>
          <w:p>
            <w:pPr>
              <w:ind w:left="140"/>
              <w:spacing w:after="0"/>
              <w:rPr>
                <w:sz w:val="20"/>
                <w:szCs w:val="20"/>
                <w:color w:val="auto"/>
              </w:rPr>
            </w:pPr>
            <w:r>
              <w:rPr>
                <w:rFonts w:ascii="Arial" w:cs="Arial" w:eastAsia="Arial" w:hAnsi="Arial"/>
                <w:sz w:val="17"/>
                <w:szCs w:val="17"/>
                <w:color w:val="auto"/>
              </w:rPr>
              <w:t>Total current liabilities</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855,733</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841,774</w:t>
            </w: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756,970</w:t>
            </w:r>
          </w:p>
        </w:tc>
      </w:tr>
      <w:tr>
        <w:trPr>
          <w:trHeight w:val="31"/>
        </w:trPr>
        <w:tc>
          <w:tcPr>
            <w:tcW w:w="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318"/>
        </w:trPr>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880" w:type="dxa"/>
            <w:vAlign w:val="bottom"/>
            <w:shd w:val="clear" w:color="auto" w:fill="CCEEFF"/>
          </w:tcPr>
          <w:p>
            <w:pPr>
              <w:spacing w:after="0"/>
              <w:rPr>
                <w:sz w:val="24"/>
                <w:szCs w:val="24"/>
                <w:color w:val="auto"/>
              </w:rPr>
            </w:pPr>
          </w:p>
        </w:tc>
        <w:tc>
          <w:tcPr>
            <w:tcW w:w="37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39"/>
        </w:trPr>
        <w:tc>
          <w:tcPr>
            <w:tcW w:w="40" w:type="dxa"/>
            <w:vAlign w:val="bottom"/>
          </w:tcPr>
          <w:p>
            <w:pPr>
              <w:spacing w:after="0"/>
              <w:rPr>
                <w:sz w:val="20"/>
                <w:szCs w:val="20"/>
                <w:color w:val="auto"/>
              </w:rPr>
            </w:pPr>
          </w:p>
        </w:tc>
        <w:tc>
          <w:tcPr>
            <w:tcW w:w="7220" w:type="dxa"/>
            <w:vAlign w:val="bottom"/>
            <w:gridSpan w:val="3"/>
          </w:tcPr>
          <w:p>
            <w:pPr>
              <w:spacing w:after="0"/>
              <w:rPr>
                <w:sz w:val="20"/>
                <w:szCs w:val="20"/>
                <w:color w:val="auto"/>
              </w:rPr>
            </w:pPr>
            <w:r>
              <w:rPr>
                <w:rFonts w:ascii="Arial" w:cs="Arial" w:eastAsia="Arial" w:hAnsi="Arial"/>
                <w:sz w:val="17"/>
                <w:szCs w:val="17"/>
                <w:color w:val="auto"/>
              </w:rPr>
              <w:t>Long-term debt, less current portion</w:t>
            </w:r>
          </w:p>
        </w:tc>
        <w:tc>
          <w:tcPr>
            <w:tcW w:w="200" w:type="dxa"/>
            <w:vAlign w:val="bottom"/>
          </w:tcPr>
          <w:p>
            <w:pPr>
              <w:spacing w:after="0"/>
              <w:rPr>
                <w:sz w:val="20"/>
                <w:szCs w:val="20"/>
                <w:color w:val="auto"/>
              </w:rPr>
            </w:pPr>
          </w:p>
        </w:tc>
        <w:tc>
          <w:tcPr>
            <w:tcW w:w="1140" w:type="dxa"/>
            <w:vAlign w:val="bottom"/>
          </w:tcPr>
          <w:p>
            <w:pPr>
              <w:jc w:val="right"/>
              <w:ind w:right="55"/>
              <w:spacing w:after="0"/>
              <w:rPr>
                <w:sz w:val="20"/>
                <w:szCs w:val="20"/>
                <w:color w:val="auto"/>
              </w:rPr>
            </w:pPr>
            <w:r>
              <w:rPr>
                <w:rFonts w:ascii="Arial" w:cs="Arial" w:eastAsia="Arial" w:hAnsi="Arial"/>
                <w:sz w:val="17"/>
                <w:szCs w:val="17"/>
                <w:color w:val="auto"/>
              </w:rPr>
              <w:t>790,908</w:t>
            </w:r>
          </w:p>
        </w:tc>
        <w:tc>
          <w:tcPr>
            <w:tcW w:w="220" w:type="dxa"/>
            <w:vAlign w:val="bottom"/>
          </w:tcPr>
          <w:p>
            <w:pPr>
              <w:spacing w:after="0"/>
              <w:rPr>
                <w:sz w:val="20"/>
                <w:szCs w:val="20"/>
                <w:color w:val="auto"/>
              </w:rPr>
            </w:pPr>
          </w:p>
        </w:tc>
        <w:tc>
          <w:tcPr>
            <w:tcW w:w="1120" w:type="dxa"/>
            <w:vAlign w:val="bottom"/>
          </w:tcPr>
          <w:p>
            <w:pPr>
              <w:jc w:val="right"/>
              <w:ind w:right="55"/>
              <w:spacing w:after="0"/>
              <w:rPr>
                <w:sz w:val="20"/>
                <w:szCs w:val="20"/>
                <w:color w:val="auto"/>
              </w:rPr>
            </w:pPr>
            <w:r>
              <w:rPr>
                <w:rFonts w:ascii="Arial" w:cs="Arial" w:eastAsia="Arial" w:hAnsi="Arial"/>
                <w:sz w:val="17"/>
                <w:szCs w:val="17"/>
                <w:color w:val="auto"/>
              </w:rPr>
              <w:t>721,079</w:t>
            </w:r>
          </w:p>
        </w:tc>
        <w:tc>
          <w:tcPr>
            <w:tcW w:w="22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620,899</w:t>
            </w:r>
          </w:p>
        </w:tc>
      </w:tr>
      <w:tr>
        <w:trPr>
          <w:trHeight w:val="31"/>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2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Long-term lease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72,228</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40" w:type="dxa"/>
            <w:vAlign w:val="bottom"/>
          </w:tcPr>
          <w:p>
            <w:pPr>
              <w:spacing w:after="0"/>
              <w:rPr>
                <w:sz w:val="20"/>
                <w:szCs w:val="20"/>
                <w:color w:val="auto"/>
              </w:rPr>
            </w:pPr>
          </w:p>
        </w:tc>
        <w:tc>
          <w:tcPr>
            <w:tcW w:w="7220" w:type="dxa"/>
            <w:vAlign w:val="bottom"/>
            <w:gridSpan w:val="3"/>
          </w:tcPr>
          <w:p>
            <w:pPr>
              <w:spacing w:after="0"/>
              <w:rPr>
                <w:sz w:val="20"/>
                <w:szCs w:val="20"/>
                <w:color w:val="auto"/>
              </w:rPr>
            </w:pPr>
            <w:r>
              <w:rPr>
                <w:rFonts w:ascii="Arial" w:cs="Arial" w:eastAsia="Arial" w:hAnsi="Arial"/>
                <w:sz w:val="17"/>
                <w:szCs w:val="17"/>
                <w:color w:val="auto"/>
              </w:rPr>
              <w:t>Deferred income taxes</w:t>
            </w:r>
          </w:p>
        </w:tc>
        <w:tc>
          <w:tcPr>
            <w:tcW w:w="200" w:type="dxa"/>
            <w:vAlign w:val="bottom"/>
          </w:tcPr>
          <w:p>
            <w:pPr>
              <w:spacing w:after="0"/>
              <w:rPr>
                <w:sz w:val="20"/>
                <w:szCs w:val="20"/>
                <w:color w:val="auto"/>
              </w:rPr>
            </w:pPr>
          </w:p>
        </w:tc>
        <w:tc>
          <w:tcPr>
            <w:tcW w:w="1140" w:type="dxa"/>
            <w:vAlign w:val="bottom"/>
          </w:tcPr>
          <w:p>
            <w:pPr>
              <w:jc w:val="right"/>
              <w:ind w:right="55"/>
              <w:spacing w:after="0"/>
              <w:rPr>
                <w:sz w:val="20"/>
                <w:szCs w:val="20"/>
                <w:color w:val="auto"/>
              </w:rPr>
            </w:pPr>
            <w:r>
              <w:rPr>
                <w:rFonts w:ascii="Arial" w:cs="Arial" w:eastAsia="Arial" w:hAnsi="Arial"/>
                <w:sz w:val="17"/>
                <w:szCs w:val="17"/>
                <w:color w:val="auto"/>
              </w:rPr>
              <w:t>70,755</w:t>
            </w:r>
          </w:p>
        </w:tc>
        <w:tc>
          <w:tcPr>
            <w:tcW w:w="220" w:type="dxa"/>
            <w:vAlign w:val="bottom"/>
          </w:tcPr>
          <w:p>
            <w:pPr>
              <w:spacing w:after="0"/>
              <w:rPr>
                <w:sz w:val="20"/>
                <w:szCs w:val="20"/>
                <w:color w:val="auto"/>
              </w:rPr>
            </w:pPr>
          </w:p>
        </w:tc>
        <w:tc>
          <w:tcPr>
            <w:tcW w:w="1120" w:type="dxa"/>
            <w:vAlign w:val="bottom"/>
          </w:tcPr>
          <w:p>
            <w:pPr>
              <w:jc w:val="right"/>
              <w:ind w:right="55"/>
              <w:spacing w:after="0"/>
              <w:rPr>
                <w:sz w:val="20"/>
                <w:szCs w:val="20"/>
                <w:color w:val="auto"/>
              </w:rPr>
            </w:pPr>
            <w:r>
              <w:rPr>
                <w:rFonts w:ascii="Arial" w:cs="Arial" w:eastAsia="Arial" w:hAnsi="Arial"/>
                <w:sz w:val="17"/>
                <w:szCs w:val="17"/>
                <w:color w:val="auto"/>
              </w:rPr>
              <w:t>50,665</w:t>
            </w:r>
          </w:p>
        </w:tc>
        <w:tc>
          <w:tcPr>
            <w:tcW w:w="22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50,579</w:t>
            </w:r>
          </w:p>
        </w:tc>
      </w:tr>
      <w:tr>
        <w:trPr>
          <w:trHeight w:val="31"/>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2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Other long-term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36,901</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47,205</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42,521</w:t>
            </w:r>
          </w:p>
        </w:tc>
      </w:tr>
      <w:tr>
        <w:trPr>
          <w:trHeight w:val="324"/>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2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12"/>
        </w:trPr>
        <w:tc>
          <w:tcPr>
            <w:tcW w:w="40" w:type="dxa"/>
            <w:vAlign w:val="bottom"/>
          </w:tcPr>
          <w:p>
            <w:pPr>
              <w:spacing w:after="0"/>
              <w:rPr>
                <w:sz w:val="18"/>
                <w:szCs w:val="18"/>
                <w:color w:val="auto"/>
              </w:rPr>
            </w:pPr>
          </w:p>
        </w:tc>
        <w:tc>
          <w:tcPr>
            <w:tcW w:w="7220" w:type="dxa"/>
            <w:vAlign w:val="bottom"/>
            <w:gridSpan w:val="3"/>
          </w:tcPr>
          <w:p>
            <w:pPr>
              <w:ind w:left="140"/>
              <w:spacing w:after="0"/>
              <w:rPr>
                <w:sz w:val="20"/>
                <w:szCs w:val="20"/>
                <w:color w:val="auto"/>
              </w:rPr>
            </w:pPr>
            <w:r>
              <w:rPr>
                <w:rFonts w:ascii="Arial" w:cs="Arial" w:eastAsia="Arial" w:hAnsi="Arial"/>
                <w:sz w:val="17"/>
                <w:szCs w:val="17"/>
                <w:color w:val="auto"/>
                <w:w w:val="97"/>
              </w:rPr>
              <w:t>Preferred stock, par value $1.00 per share, authorized 1,000,000 voting and 850,000 non-voting</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7220" w:type="dxa"/>
            <w:vAlign w:val="bottom"/>
            <w:gridSpan w:val="3"/>
          </w:tcPr>
          <w:p>
            <w:pPr>
              <w:ind w:left="140"/>
              <w:spacing w:after="0"/>
              <w:rPr>
                <w:sz w:val="20"/>
                <w:szCs w:val="20"/>
                <w:color w:val="auto"/>
              </w:rPr>
            </w:pPr>
            <w:r>
              <w:rPr>
                <w:rFonts w:ascii="Arial" w:cs="Arial" w:eastAsia="Arial" w:hAnsi="Arial"/>
                <w:sz w:val="17"/>
                <w:szCs w:val="17"/>
                <w:color w:val="auto"/>
              </w:rPr>
              <w:t>shares, none issued and outstanding</w:t>
            </w:r>
          </w:p>
        </w:tc>
        <w:tc>
          <w:tcPr>
            <w:tcW w:w="200" w:type="dxa"/>
            <w:vAlign w:val="bottom"/>
          </w:tcPr>
          <w:p>
            <w:pPr>
              <w:spacing w:after="0"/>
              <w:rPr>
                <w:sz w:val="18"/>
                <w:szCs w:val="18"/>
                <w:color w:val="auto"/>
              </w:rPr>
            </w:pPr>
          </w:p>
        </w:tc>
        <w:tc>
          <w:tcPr>
            <w:tcW w:w="114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1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2"/>
        </w:trPr>
        <w:tc>
          <w:tcPr>
            <w:tcW w:w="40" w:type="dxa"/>
            <w:vAlign w:val="bottom"/>
            <w:shd w:val="clear" w:color="auto" w:fill="CCEEFF"/>
          </w:tcPr>
          <w:p>
            <w:pPr>
              <w:spacing w:after="0"/>
              <w:rPr>
                <w:sz w:val="18"/>
                <w:szCs w:val="18"/>
                <w:color w:val="auto"/>
              </w:rPr>
            </w:pPr>
          </w:p>
        </w:tc>
        <w:tc>
          <w:tcPr>
            <w:tcW w:w="722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w w:val="94"/>
              </w:rPr>
              <w:t>Common stock, par value $1.00 per share, authorized 175,000,000 shares; issued and outstanding</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03"/>
        </w:trPr>
        <w:tc>
          <w:tcPr>
            <w:tcW w:w="40" w:type="dxa"/>
            <w:vAlign w:val="bottom"/>
            <w:shd w:val="clear" w:color="auto" w:fill="CCEEFF"/>
          </w:tcPr>
          <w:p>
            <w:pPr>
              <w:spacing w:after="0"/>
              <w:rPr>
                <w:sz w:val="17"/>
                <w:szCs w:val="17"/>
                <w:color w:val="auto"/>
              </w:rPr>
            </w:pPr>
          </w:p>
        </w:tc>
        <w:tc>
          <w:tcPr>
            <w:tcW w:w="722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w w:val="90"/>
              </w:rPr>
              <w:t>107,110,815 shares as of May 1, 2020, 106,433,714 shares as of May 3, 2019, and 106,742,082 shares</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7"/>
        </w:trPr>
        <w:tc>
          <w:tcPr>
            <w:tcW w:w="40" w:type="dxa"/>
            <w:vAlign w:val="bottom"/>
            <w:tcBorders>
              <w:bottom w:val="single" w:sz="8" w:color="CCEEFF"/>
            </w:tcBorders>
            <w:shd w:val="clear" w:color="auto" w:fill="CCEEFF"/>
          </w:tcPr>
          <w:p>
            <w:pPr>
              <w:spacing w:after="0"/>
              <w:rPr>
                <w:sz w:val="19"/>
                <w:szCs w:val="19"/>
                <w:color w:val="auto"/>
              </w:rPr>
            </w:pPr>
          </w:p>
        </w:tc>
        <w:tc>
          <w:tcPr>
            <w:tcW w:w="72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7"/>
                <w:szCs w:val="17"/>
                <w:color w:val="auto"/>
              </w:rPr>
              <w:t>as of October 31, 2019</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107,111</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106,434</w:t>
            </w:r>
          </w:p>
        </w:tc>
        <w:tc>
          <w:tcPr>
            <w:tcW w:w="2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106,742</w:t>
            </w:r>
          </w:p>
        </w:tc>
      </w:tr>
      <w:tr>
        <w:trPr>
          <w:trHeight w:val="239"/>
        </w:trPr>
        <w:tc>
          <w:tcPr>
            <w:tcW w:w="40" w:type="dxa"/>
            <w:vAlign w:val="bottom"/>
          </w:tcPr>
          <w:p>
            <w:pPr>
              <w:spacing w:after="0"/>
              <w:rPr>
                <w:sz w:val="20"/>
                <w:szCs w:val="20"/>
                <w:color w:val="auto"/>
              </w:rPr>
            </w:pPr>
          </w:p>
        </w:tc>
        <w:tc>
          <w:tcPr>
            <w:tcW w:w="7220" w:type="dxa"/>
            <w:vAlign w:val="bottom"/>
            <w:gridSpan w:val="3"/>
          </w:tcPr>
          <w:p>
            <w:pPr>
              <w:ind w:left="140"/>
              <w:spacing w:after="0"/>
              <w:rPr>
                <w:sz w:val="20"/>
                <w:szCs w:val="20"/>
                <w:color w:val="auto"/>
              </w:rPr>
            </w:pPr>
            <w:r>
              <w:rPr>
                <w:rFonts w:ascii="Arial" w:cs="Arial" w:eastAsia="Arial" w:hAnsi="Arial"/>
                <w:sz w:val="17"/>
                <w:szCs w:val="17"/>
                <w:color w:val="auto"/>
              </w:rPr>
              <w:t>Retained earnings</w:t>
            </w:r>
          </w:p>
        </w:tc>
        <w:tc>
          <w:tcPr>
            <w:tcW w:w="200" w:type="dxa"/>
            <w:vAlign w:val="bottom"/>
          </w:tcPr>
          <w:p>
            <w:pPr>
              <w:spacing w:after="0"/>
              <w:rPr>
                <w:sz w:val="20"/>
                <w:szCs w:val="20"/>
                <w:color w:val="auto"/>
              </w:rPr>
            </w:pPr>
          </w:p>
        </w:tc>
        <w:tc>
          <w:tcPr>
            <w:tcW w:w="1140" w:type="dxa"/>
            <w:vAlign w:val="bottom"/>
          </w:tcPr>
          <w:p>
            <w:pPr>
              <w:jc w:val="right"/>
              <w:ind w:right="55"/>
              <w:spacing w:after="0"/>
              <w:rPr>
                <w:sz w:val="20"/>
                <w:szCs w:val="20"/>
                <w:color w:val="auto"/>
              </w:rPr>
            </w:pPr>
            <w:r>
              <w:rPr>
                <w:rFonts w:ascii="Arial" w:cs="Arial" w:eastAsia="Arial" w:hAnsi="Arial"/>
                <w:sz w:val="17"/>
                <w:szCs w:val="17"/>
                <w:color w:val="auto"/>
              </w:rPr>
              <w:t>911,541</w:t>
            </w:r>
          </w:p>
        </w:tc>
        <w:tc>
          <w:tcPr>
            <w:tcW w:w="220" w:type="dxa"/>
            <w:vAlign w:val="bottom"/>
          </w:tcPr>
          <w:p>
            <w:pPr>
              <w:spacing w:after="0"/>
              <w:rPr>
                <w:sz w:val="20"/>
                <w:szCs w:val="20"/>
                <w:color w:val="auto"/>
              </w:rPr>
            </w:pPr>
          </w:p>
        </w:tc>
        <w:tc>
          <w:tcPr>
            <w:tcW w:w="1120" w:type="dxa"/>
            <w:vAlign w:val="bottom"/>
          </w:tcPr>
          <w:p>
            <w:pPr>
              <w:jc w:val="right"/>
              <w:ind w:right="55"/>
              <w:spacing w:after="0"/>
              <w:rPr>
                <w:sz w:val="20"/>
                <w:szCs w:val="20"/>
                <w:color w:val="auto"/>
              </w:rPr>
            </w:pPr>
            <w:r>
              <w:rPr>
                <w:rFonts w:ascii="Arial" w:cs="Arial" w:eastAsia="Arial" w:hAnsi="Arial"/>
                <w:sz w:val="17"/>
                <w:szCs w:val="17"/>
                <w:color w:val="auto"/>
              </w:rPr>
              <w:t>723,959</w:t>
            </w:r>
          </w:p>
        </w:tc>
        <w:tc>
          <w:tcPr>
            <w:tcW w:w="22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784,885</w:t>
            </w:r>
          </w:p>
        </w:tc>
      </w:tr>
      <w:tr>
        <w:trPr>
          <w:trHeight w:val="31"/>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72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7"/>
                <w:szCs w:val="17"/>
                <w:color w:val="auto"/>
              </w:rPr>
              <w:t>Accumulated other comprehensive loss</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(33,702)</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(25,116)</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(32,049)</w:t>
            </w:r>
          </w:p>
        </w:tc>
      </w:tr>
      <w:tr>
        <w:trPr>
          <w:trHeight w:val="233"/>
        </w:trPr>
        <w:tc>
          <w:tcPr>
            <w:tcW w:w="40" w:type="dxa"/>
            <w:vAlign w:val="bottom"/>
            <w:tcBorders>
              <w:top w:val="single" w:sz="8" w:color="auto"/>
            </w:tcBorders>
          </w:tcPr>
          <w:p>
            <w:pPr>
              <w:spacing w:after="0"/>
              <w:rPr>
                <w:sz w:val="20"/>
                <w:szCs w:val="20"/>
                <w:color w:val="auto"/>
              </w:rPr>
            </w:pPr>
          </w:p>
        </w:tc>
        <w:tc>
          <w:tcPr>
            <w:tcW w:w="7220" w:type="dxa"/>
            <w:vAlign w:val="bottom"/>
            <w:tcBorders>
              <w:top w:val="single" w:sz="8" w:color="auto"/>
            </w:tcBorders>
            <w:gridSpan w:val="3"/>
          </w:tcPr>
          <w:p>
            <w:pPr>
              <w:ind w:left="240"/>
              <w:spacing w:after="0"/>
              <w:rPr>
                <w:sz w:val="20"/>
                <w:szCs w:val="20"/>
                <w:color w:val="auto"/>
              </w:rPr>
            </w:pPr>
            <w:r>
              <w:rPr>
                <w:rFonts w:ascii="Arial" w:cs="Arial" w:eastAsia="Arial" w:hAnsi="Arial"/>
                <w:sz w:val="17"/>
                <w:szCs w:val="17"/>
                <w:color w:val="auto"/>
              </w:rPr>
              <w:t>Total stockholders’ equity</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984,950</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805,277</w:t>
            </w: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859,578</w:t>
            </w:r>
          </w:p>
        </w:tc>
      </w:tr>
      <w:tr>
        <w:trPr>
          <w:trHeight w:val="31"/>
        </w:trPr>
        <w:tc>
          <w:tcPr>
            <w:tcW w:w="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8"/>
        </w:trPr>
        <w:tc>
          <w:tcPr>
            <w:tcW w:w="40" w:type="dxa"/>
            <w:vAlign w:val="bottom"/>
            <w:tcBorders>
              <w:bottom w:val="single" w:sz="8" w:color="CCEEFF"/>
            </w:tcBorders>
            <w:shd w:val="clear" w:color="auto" w:fill="CCEEFF"/>
          </w:tcPr>
          <w:p>
            <w:pPr>
              <w:spacing w:after="0"/>
              <w:rPr>
                <w:sz w:val="22"/>
                <w:szCs w:val="22"/>
                <w:color w:val="auto"/>
              </w:rPr>
            </w:pPr>
          </w:p>
        </w:tc>
        <w:tc>
          <w:tcPr>
            <w:tcW w:w="72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Total liabilities and stockholders’ equity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2,811,475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2,466,000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2,330,547</w:t>
            </w: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80" w:type="dxa"/>
            <w:vAlign w:val="bottom"/>
            <w:tcBorders>
              <w:top w:val="single" w:sz="8" w:color="auto"/>
              <w:bottom w:val="single" w:sz="8" w:color="auto"/>
            </w:tcBorders>
          </w:tcPr>
          <w:p>
            <w:pPr>
              <w:spacing w:after="0" w:line="20" w:lineRule="exact"/>
              <w:rPr>
                <w:sz w:val="1"/>
                <w:szCs w:val="1"/>
                <w:color w:val="auto"/>
              </w:rPr>
            </w:pPr>
          </w:p>
        </w:tc>
        <w:tc>
          <w:tcPr>
            <w:tcW w:w="3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517" w:right="339" w:bottom="1440" w:gutter="0" w:footer="0" w:header="0"/>
        </w:sectPr>
      </w:pPr>
    </w:p>
    <w:bookmarkStart w:id="13" w:name="page14"/>
    <w:bookmarkEnd w:id="13"/>
    <w:p>
      <w:pPr>
        <w:ind w:left="40"/>
        <w:spacing w:after="0"/>
        <w:rPr>
          <w:sz w:val="20"/>
          <w:szCs w:val="20"/>
          <w:color w:val="auto"/>
        </w:rPr>
      </w:pPr>
      <w:r>
        <w:rPr>
          <w:rFonts w:ascii="Arial" w:cs="Arial" w:eastAsia="Arial" w:hAnsi="Arial"/>
          <w:sz w:val="18"/>
          <w:szCs w:val="18"/>
          <w:color w:val="auto"/>
        </w:rPr>
        <w:t>10 - The Toro Company Reports Second Quarter Fiscal 2020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8" w:lineRule="exact"/>
        <w:rPr>
          <w:sz w:val="20"/>
          <w:szCs w:val="20"/>
          <w:color w:val="auto"/>
        </w:rPr>
      </w:pPr>
    </w:p>
    <w:p>
      <w:pPr>
        <w:ind w:left="3600"/>
        <w:spacing w:after="0"/>
        <w:rPr>
          <w:sz w:val="20"/>
          <w:szCs w:val="20"/>
          <w:color w:val="auto"/>
        </w:rPr>
      </w:pPr>
      <w:r>
        <w:rPr>
          <w:rFonts w:ascii="Arial" w:cs="Arial" w:eastAsia="Arial" w:hAnsi="Arial"/>
          <w:sz w:val="20"/>
          <w:szCs w:val="20"/>
          <w:b w:val="1"/>
          <w:bCs w:val="1"/>
          <w:color w:val="auto"/>
        </w:rPr>
        <w:t>THE TORO COMPANY AND SUBSIDIARIES</w:t>
      </w:r>
    </w:p>
    <w:p>
      <w:pPr>
        <w:spacing w:after="0" w:line="54" w:lineRule="exact"/>
        <w:rPr>
          <w:sz w:val="20"/>
          <w:szCs w:val="20"/>
          <w:color w:val="auto"/>
        </w:rPr>
      </w:pPr>
    </w:p>
    <w:p>
      <w:pPr>
        <w:ind w:left="2940"/>
        <w:spacing w:after="0"/>
        <w:rPr>
          <w:sz w:val="20"/>
          <w:szCs w:val="20"/>
          <w:color w:val="auto"/>
        </w:rPr>
      </w:pPr>
      <w:r>
        <w:rPr>
          <w:rFonts w:ascii="Arial" w:cs="Arial" w:eastAsia="Arial" w:hAnsi="Arial"/>
          <w:sz w:val="20"/>
          <w:szCs w:val="20"/>
          <w:b w:val="1"/>
          <w:bCs w:val="1"/>
          <w:color w:val="auto"/>
        </w:rPr>
        <w:t>Condensed Consolidated Statements of Cash Flows (Unaudited)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(Dollars in thousands)</w:t>
      </w:r>
    </w:p>
    <w:p>
      <w:pPr>
        <w:spacing w:after="0" w:line="154" w:lineRule="exact"/>
        <w:rPr>
          <w:sz w:val="20"/>
          <w:szCs w:val="20"/>
          <w:color w:val="auto"/>
        </w:rPr>
      </w:pPr>
    </w:p>
    <w:p>
      <w:pPr>
        <w:ind w:left="9300"/>
        <w:spacing w:after="0"/>
        <w:rPr>
          <w:sz w:val="20"/>
          <w:szCs w:val="20"/>
          <w:color w:val="auto"/>
        </w:rPr>
      </w:pPr>
      <w:r>
        <w:rPr>
          <w:rFonts w:ascii="Arial" w:cs="Arial" w:eastAsia="Arial" w:hAnsi="Arial"/>
          <w:sz w:val="17"/>
          <w:szCs w:val="17"/>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20" w:type="dxa"/>
            <w:vAlign w:val="bottom"/>
          </w:tcPr>
          <w:p>
            <w:pPr>
              <w:jc w:val="right"/>
              <w:ind w:right="115"/>
              <w:spacing w:after="0"/>
              <w:rPr>
                <w:sz w:val="20"/>
                <w:szCs w:val="20"/>
                <w:color w:val="auto"/>
              </w:rPr>
            </w:pPr>
            <w:r>
              <w:rPr>
                <w:rFonts w:ascii="Arial" w:cs="Arial" w:eastAsia="Arial" w:hAnsi="Arial"/>
                <w:sz w:val="17"/>
                <w:szCs w:val="17"/>
                <w:b w:val="1"/>
                <w:bCs w:val="1"/>
                <w:color w:val="auto"/>
                <w:w w:val="95"/>
              </w:rPr>
              <w:t>May 1, 2020</w:t>
            </w:r>
          </w:p>
        </w:tc>
        <w:tc>
          <w:tcPr>
            <w:tcW w:w="220" w:type="dxa"/>
            <w:vAlign w:val="bottom"/>
          </w:tcPr>
          <w:p>
            <w:pPr>
              <w:spacing w:after="0"/>
              <w:rPr>
                <w:sz w:val="19"/>
                <w:szCs w:val="19"/>
                <w:color w:val="auto"/>
              </w:rPr>
            </w:pPr>
          </w:p>
        </w:tc>
        <w:tc>
          <w:tcPr>
            <w:tcW w:w="1080" w:type="dxa"/>
            <w:vAlign w:val="bottom"/>
          </w:tcPr>
          <w:p>
            <w:pPr>
              <w:jc w:val="right"/>
              <w:ind w:right="95"/>
              <w:spacing w:after="0"/>
              <w:rPr>
                <w:sz w:val="20"/>
                <w:szCs w:val="20"/>
                <w:color w:val="auto"/>
              </w:rPr>
            </w:pPr>
            <w:r>
              <w:rPr>
                <w:rFonts w:ascii="Arial" w:cs="Arial" w:eastAsia="Arial" w:hAnsi="Arial"/>
                <w:sz w:val="17"/>
                <w:szCs w:val="17"/>
                <w:b w:val="1"/>
                <w:bCs w:val="1"/>
                <w:color w:val="auto"/>
                <w:w w:val="93"/>
              </w:rPr>
              <w:t>May 3, 2019</w:t>
            </w:r>
          </w:p>
        </w:tc>
      </w:tr>
      <w:tr>
        <w:trPr>
          <w:trHeight w:val="31"/>
        </w:trPr>
        <w:tc>
          <w:tcPr>
            <w:tcW w:w="7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flows from operating activities:</w:t>
            </w:r>
          </w:p>
        </w:tc>
        <w:tc>
          <w:tcPr>
            <w:tcW w:w="16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9"/>
        </w:trPr>
        <w:tc>
          <w:tcPr>
            <w:tcW w:w="7180" w:type="dxa"/>
            <w:vAlign w:val="bottom"/>
          </w:tcPr>
          <w:p>
            <w:pPr>
              <w:ind w:left="40"/>
              <w:spacing w:after="0"/>
              <w:rPr>
                <w:sz w:val="20"/>
                <w:szCs w:val="20"/>
                <w:color w:val="auto"/>
              </w:rPr>
            </w:pPr>
            <w:r>
              <w:rPr>
                <w:rFonts w:ascii="Arial" w:cs="Arial" w:eastAsia="Arial" w:hAnsi="Arial"/>
                <w:sz w:val="17"/>
                <w:szCs w:val="17"/>
                <w:color w:val="auto"/>
              </w:rPr>
              <w:t>Net earnings</w:t>
            </w:r>
          </w:p>
        </w:tc>
        <w:tc>
          <w:tcPr>
            <w:tcW w:w="164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5"/>
              <w:spacing w:after="0"/>
              <w:rPr>
                <w:sz w:val="20"/>
                <w:szCs w:val="20"/>
                <w:color w:val="auto"/>
              </w:rPr>
            </w:pPr>
            <w:r>
              <w:rPr>
                <w:rFonts w:ascii="Arial" w:cs="Arial" w:eastAsia="Arial" w:hAnsi="Arial"/>
                <w:sz w:val="17"/>
                <w:szCs w:val="17"/>
                <w:color w:val="auto"/>
              </w:rPr>
              <w:t>168,537</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175,110</w:t>
            </w:r>
          </w:p>
        </w:tc>
      </w:tr>
      <w:tr>
        <w:trPr>
          <w:trHeight w:val="31"/>
        </w:trPr>
        <w:tc>
          <w:tcPr>
            <w:tcW w:w="7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Adjustments to reconcile net earnings to net cash provided by operating activities:</w:t>
            </w:r>
          </w:p>
        </w:tc>
        <w:tc>
          <w:tcPr>
            <w:tcW w:w="16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9"/>
        </w:trPr>
        <w:tc>
          <w:tcPr>
            <w:tcW w:w="7180" w:type="dxa"/>
            <w:vAlign w:val="bottom"/>
          </w:tcPr>
          <w:p>
            <w:pPr>
              <w:ind w:left="180"/>
              <w:spacing w:after="0"/>
              <w:rPr>
                <w:sz w:val="20"/>
                <w:szCs w:val="20"/>
                <w:color w:val="auto"/>
              </w:rPr>
            </w:pPr>
            <w:r>
              <w:rPr>
                <w:rFonts w:ascii="Arial" w:cs="Arial" w:eastAsia="Arial" w:hAnsi="Arial"/>
                <w:sz w:val="17"/>
                <w:szCs w:val="17"/>
                <w:color w:val="auto"/>
              </w:rPr>
              <w:t>Non-cash income from finance affiliate</w:t>
            </w:r>
          </w:p>
        </w:tc>
        <w:tc>
          <w:tcPr>
            <w:tcW w:w="16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(4,010)</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(5,825)</w:t>
            </w:r>
          </w:p>
        </w:tc>
      </w:tr>
      <w:tr>
        <w:trPr>
          <w:trHeight w:val="31"/>
        </w:trPr>
        <w:tc>
          <w:tcPr>
            <w:tcW w:w="7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Distributions from (contributions to) finance affiliate, net</w:t>
            </w:r>
          </w:p>
        </w:tc>
        <w:tc>
          <w:tcPr>
            <w:tcW w:w="16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322</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(1,743)</w:t>
            </w:r>
          </w:p>
        </w:tc>
      </w:tr>
      <w:tr>
        <w:trPr>
          <w:trHeight w:val="239"/>
        </w:trPr>
        <w:tc>
          <w:tcPr>
            <w:tcW w:w="7180" w:type="dxa"/>
            <w:vAlign w:val="bottom"/>
          </w:tcPr>
          <w:p>
            <w:pPr>
              <w:ind w:left="180"/>
              <w:spacing w:after="0"/>
              <w:rPr>
                <w:sz w:val="20"/>
                <w:szCs w:val="20"/>
                <w:color w:val="auto"/>
              </w:rPr>
            </w:pPr>
            <w:r>
              <w:rPr>
                <w:rFonts w:ascii="Arial" w:cs="Arial" w:eastAsia="Arial" w:hAnsi="Arial"/>
                <w:sz w:val="17"/>
                <w:szCs w:val="17"/>
                <w:color w:val="auto"/>
              </w:rPr>
              <w:t>Depreciation of property, plant and equipment</w:t>
            </w:r>
          </w:p>
        </w:tc>
        <w:tc>
          <w:tcPr>
            <w:tcW w:w="1640" w:type="dxa"/>
            <w:vAlign w:val="bottom"/>
          </w:tcPr>
          <w:p>
            <w:pPr>
              <w:spacing w:after="0"/>
              <w:rPr>
                <w:sz w:val="20"/>
                <w:szCs w:val="20"/>
                <w:color w:val="auto"/>
              </w:rPr>
            </w:pPr>
          </w:p>
        </w:tc>
        <w:tc>
          <w:tcPr>
            <w:tcW w:w="1120" w:type="dxa"/>
            <w:vAlign w:val="bottom"/>
          </w:tcPr>
          <w:p>
            <w:pPr>
              <w:jc w:val="right"/>
              <w:ind w:right="55"/>
              <w:spacing w:after="0"/>
              <w:rPr>
                <w:sz w:val="20"/>
                <w:szCs w:val="20"/>
                <w:color w:val="auto"/>
              </w:rPr>
            </w:pPr>
            <w:r>
              <w:rPr>
                <w:rFonts w:ascii="Arial" w:cs="Arial" w:eastAsia="Arial" w:hAnsi="Arial"/>
                <w:sz w:val="17"/>
                <w:szCs w:val="17"/>
                <w:color w:val="auto"/>
              </w:rPr>
              <w:t>35,951</w:t>
            </w:r>
          </w:p>
        </w:tc>
        <w:tc>
          <w:tcPr>
            <w:tcW w:w="22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29,090</w:t>
            </w:r>
          </w:p>
        </w:tc>
      </w:tr>
      <w:tr>
        <w:trPr>
          <w:trHeight w:val="31"/>
        </w:trPr>
        <w:tc>
          <w:tcPr>
            <w:tcW w:w="7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Amortization of other intangible assets</w:t>
            </w:r>
          </w:p>
        </w:tc>
        <w:tc>
          <w:tcPr>
            <w:tcW w:w="16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9,618</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5,940</w:t>
            </w:r>
          </w:p>
        </w:tc>
      </w:tr>
      <w:tr>
        <w:trPr>
          <w:trHeight w:val="239"/>
        </w:trPr>
        <w:tc>
          <w:tcPr>
            <w:tcW w:w="7180" w:type="dxa"/>
            <w:vAlign w:val="bottom"/>
          </w:tcPr>
          <w:p>
            <w:pPr>
              <w:ind w:left="180"/>
              <w:spacing w:after="0"/>
              <w:rPr>
                <w:sz w:val="20"/>
                <w:szCs w:val="20"/>
                <w:color w:val="auto"/>
              </w:rPr>
            </w:pPr>
            <w:r>
              <w:rPr>
                <w:rFonts w:ascii="Arial" w:cs="Arial" w:eastAsia="Arial" w:hAnsi="Arial"/>
                <w:sz w:val="17"/>
                <w:szCs w:val="17"/>
                <w:color w:val="auto"/>
              </w:rPr>
              <w:t>Fair value step-up adjustment to acquired inventory</w:t>
            </w:r>
          </w:p>
        </w:tc>
        <w:tc>
          <w:tcPr>
            <w:tcW w:w="1640" w:type="dxa"/>
            <w:vAlign w:val="bottom"/>
          </w:tcPr>
          <w:p>
            <w:pPr>
              <w:spacing w:after="0"/>
              <w:rPr>
                <w:sz w:val="20"/>
                <w:szCs w:val="20"/>
                <w:color w:val="auto"/>
              </w:rPr>
            </w:pPr>
          </w:p>
        </w:tc>
        <w:tc>
          <w:tcPr>
            <w:tcW w:w="1120" w:type="dxa"/>
            <w:vAlign w:val="bottom"/>
          </w:tcPr>
          <w:p>
            <w:pPr>
              <w:jc w:val="right"/>
              <w:ind w:right="55"/>
              <w:spacing w:after="0"/>
              <w:rPr>
                <w:sz w:val="20"/>
                <w:szCs w:val="20"/>
                <w:color w:val="auto"/>
              </w:rPr>
            </w:pPr>
            <w:r>
              <w:rPr>
                <w:rFonts w:ascii="Arial" w:cs="Arial" w:eastAsia="Arial" w:hAnsi="Arial"/>
                <w:sz w:val="17"/>
                <w:szCs w:val="17"/>
                <w:color w:val="auto"/>
              </w:rPr>
              <w:t>2,864</w:t>
            </w:r>
          </w:p>
        </w:tc>
        <w:tc>
          <w:tcPr>
            <w:tcW w:w="22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8,422</w:t>
            </w:r>
          </w:p>
        </w:tc>
      </w:tr>
      <w:tr>
        <w:trPr>
          <w:trHeight w:val="31"/>
        </w:trPr>
        <w:tc>
          <w:tcPr>
            <w:tcW w:w="7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Stock-based compensation expense</w:t>
            </w:r>
          </w:p>
        </w:tc>
        <w:tc>
          <w:tcPr>
            <w:tcW w:w="16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5,367</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7,025</w:t>
            </w:r>
          </w:p>
        </w:tc>
      </w:tr>
      <w:tr>
        <w:trPr>
          <w:trHeight w:val="239"/>
        </w:trPr>
        <w:tc>
          <w:tcPr>
            <w:tcW w:w="7180" w:type="dxa"/>
            <w:vAlign w:val="bottom"/>
          </w:tcPr>
          <w:p>
            <w:pPr>
              <w:ind w:left="180"/>
              <w:spacing w:after="0"/>
              <w:rPr>
                <w:sz w:val="20"/>
                <w:szCs w:val="20"/>
                <w:color w:val="auto"/>
              </w:rPr>
            </w:pPr>
            <w:r>
              <w:rPr>
                <w:rFonts w:ascii="Arial" w:cs="Arial" w:eastAsia="Arial" w:hAnsi="Arial"/>
                <w:sz w:val="17"/>
                <w:szCs w:val="17"/>
                <w:color w:val="auto"/>
              </w:rPr>
              <w:t>Deferred income taxes</w:t>
            </w:r>
          </w:p>
        </w:tc>
        <w:tc>
          <w:tcPr>
            <w:tcW w:w="1640" w:type="dxa"/>
            <w:vAlign w:val="bottom"/>
          </w:tcPr>
          <w:p>
            <w:pPr>
              <w:spacing w:after="0"/>
              <w:rPr>
                <w:sz w:val="20"/>
                <w:szCs w:val="20"/>
                <w:color w:val="auto"/>
              </w:rPr>
            </w:pPr>
          </w:p>
        </w:tc>
        <w:tc>
          <w:tcPr>
            <w:tcW w:w="1120" w:type="dxa"/>
            <w:vAlign w:val="bottom"/>
          </w:tcPr>
          <w:p>
            <w:pPr>
              <w:jc w:val="right"/>
              <w:ind w:right="55"/>
              <w:spacing w:after="0"/>
              <w:rPr>
                <w:sz w:val="20"/>
                <w:szCs w:val="20"/>
                <w:color w:val="auto"/>
              </w:rPr>
            </w:pPr>
            <w:r>
              <w:rPr>
                <w:rFonts w:ascii="Arial" w:cs="Arial" w:eastAsia="Arial" w:hAnsi="Arial"/>
                <w:sz w:val="17"/>
                <w:szCs w:val="17"/>
                <w:color w:val="auto"/>
              </w:rPr>
              <w:t>860</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(193)</w:t>
            </w:r>
          </w:p>
        </w:tc>
      </w:tr>
      <w:tr>
        <w:trPr>
          <w:trHeight w:val="31"/>
        </w:trPr>
        <w:tc>
          <w:tcPr>
            <w:tcW w:w="7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Other</w:t>
            </w:r>
          </w:p>
        </w:tc>
        <w:tc>
          <w:tcPr>
            <w:tcW w:w="16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374</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42</w:t>
            </w:r>
          </w:p>
        </w:tc>
      </w:tr>
      <w:tr>
        <w:trPr>
          <w:trHeight w:val="239"/>
        </w:trPr>
        <w:tc>
          <w:tcPr>
            <w:tcW w:w="7180" w:type="dxa"/>
            <w:vAlign w:val="bottom"/>
          </w:tcPr>
          <w:p>
            <w:pPr>
              <w:ind w:left="40"/>
              <w:spacing w:after="0"/>
              <w:rPr>
                <w:sz w:val="20"/>
                <w:szCs w:val="20"/>
                <w:color w:val="auto"/>
              </w:rPr>
            </w:pPr>
            <w:r>
              <w:rPr>
                <w:rFonts w:ascii="Arial" w:cs="Arial" w:eastAsia="Arial" w:hAnsi="Arial"/>
                <w:sz w:val="17"/>
                <w:szCs w:val="17"/>
                <w:color w:val="auto"/>
              </w:rPr>
              <w:t>Changes in operating assets and liabilities, net of the effect of acquisitions:</w:t>
            </w:r>
          </w:p>
        </w:tc>
        <w:tc>
          <w:tcPr>
            <w:tcW w:w="1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1"/>
        </w:trPr>
        <w:tc>
          <w:tcPr>
            <w:tcW w:w="7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Receivables, net</w:t>
            </w:r>
          </w:p>
        </w:tc>
        <w:tc>
          <w:tcPr>
            <w:tcW w:w="16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(126,639)</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(169,820)</w:t>
            </w:r>
          </w:p>
        </w:tc>
      </w:tr>
      <w:tr>
        <w:trPr>
          <w:trHeight w:val="239"/>
        </w:trPr>
        <w:tc>
          <w:tcPr>
            <w:tcW w:w="7180" w:type="dxa"/>
            <w:vAlign w:val="bottom"/>
          </w:tcPr>
          <w:p>
            <w:pPr>
              <w:ind w:left="180"/>
              <w:spacing w:after="0"/>
              <w:rPr>
                <w:sz w:val="20"/>
                <w:szCs w:val="20"/>
                <w:color w:val="auto"/>
              </w:rPr>
            </w:pPr>
            <w:r>
              <w:rPr>
                <w:rFonts w:ascii="Arial" w:cs="Arial" w:eastAsia="Arial" w:hAnsi="Arial"/>
                <w:sz w:val="17"/>
                <w:szCs w:val="17"/>
                <w:color w:val="auto"/>
              </w:rPr>
              <w:t>Inventories, net</w:t>
            </w:r>
          </w:p>
        </w:tc>
        <w:tc>
          <w:tcPr>
            <w:tcW w:w="16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(43,095)</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(4,683)</w:t>
            </w:r>
          </w:p>
        </w:tc>
      </w:tr>
      <w:tr>
        <w:trPr>
          <w:trHeight w:val="31"/>
        </w:trPr>
        <w:tc>
          <w:tcPr>
            <w:tcW w:w="7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Prepaid expenses and other assets</w:t>
            </w:r>
          </w:p>
        </w:tc>
        <w:tc>
          <w:tcPr>
            <w:tcW w:w="16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(2,870)</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534</w:t>
            </w:r>
          </w:p>
        </w:tc>
      </w:tr>
      <w:tr>
        <w:trPr>
          <w:trHeight w:val="239"/>
        </w:trPr>
        <w:tc>
          <w:tcPr>
            <w:tcW w:w="7180" w:type="dxa"/>
            <w:vAlign w:val="bottom"/>
          </w:tcPr>
          <w:p>
            <w:pPr>
              <w:ind w:left="180"/>
              <w:spacing w:after="0"/>
              <w:rPr>
                <w:sz w:val="20"/>
                <w:szCs w:val="20"/>
                <w:color w:val="auto"/>
              </w:rPr>
            </w:pPr>
            <w:r>
              <w:rPr>
                <w:rFonts w:ascii="Arial" w:cs="Arial" w:eastAsia="Arial" w:hAnsi="Arial"/>
                <w:sz w:val="17"/>
                <w:szCs w:val="17"/>
                <w:color w:val="auto"/>
              </w:rPr>
              <w:t>Accounts payable, accrued liabilities, deferred revenue and other liabilities</w:t>
            </w:r>
          </w:p>
        </w:tc>
        <w:tc>
          <w:tcPr>
            <w:tcW w:w="1640" w:type="dxa"/>
            <w:vAlign w:val="bottom"/>
          </w:tcPr>
          <w:p>
            <w:pPr>
              <w:spacing w:after="0"/>
              <w:rPr>
                <w:sz w:val="20"/>
                <w:szCs w:val="20"/>
                <w:color w:val="auto"/>
              </w:rPr>
            </w:pPr>
          </w:p>
        </w:tc>
        <w:tc>
          <w:tcPr>
            <w:tcW w:w="1120" w:type="dxa"/>
            <w:vAlign w:val="bottom"/>
          </w:tcPr>
          <w:p>
            <w:pPr>
              <w:jc w:val="right"/>
              <w:ind w:right="55"/>
              <w:spacing w:after="0"/>
              <w:rPr>
                <w:sz w:val="20"/>
                <w:szCs w:val="20"/>
                <w:color w:val="auto"/>
              </w:rPr>
            </w:pPr>
            <w:r>
              <w:rPr>
                <w:rFonts w:ascii="Arial" w:cs="Arial" w:eastAsia="Arial" w:hAnsi="Arial"/>
                <w:sz w:val="17"/>
                <w:szCs w:val="17"/>
                <w:color w:val="auto"/>
              </w:rPr>
              <w:t>23,606</w:t>
            </w:r>
          </w:p>
        </w:tc>
        <w:tc>
          <w:tcPr>
            <w:tcW w:w="22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120,091</w:t>
            </w:r>
          </w:p>
        </w:tc>
      </w:tr>
      <w:tr>
        <w:trPr>
          <w:trHeight w:val="31"/>
        </w:trPr>
        <w:tc>
          <w:tcPr>
            <w:tcW w:w="7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7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Net cash provided by operating activities</w:t>
            </w:r>
          </w:p>
        </w:tc>
        <w:tc>
          <w:tcPr>
            <w:tcW w:w="16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70,885</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163,990</w:t>
            </w:r>
          </w:p>
        </w:tc>
      </w:tr>
      <w:tr>
        <w:trPr>
          <w:trHeight w:val="169"/>
        </w:trPr>
        <w:tc>
          <w:tcPr>
            <w:tcW w:w="718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r>
      <w:tr>
        <w:trPr>
          <w:trHeight w:val="250"/>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flows from investing activities:</w:t>
            </w:r>
          </w:p>
        </w:tc>
        <w:tc>
          <w:tcPr>
            <w:tcW w:w="16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9"/>
        </w:trPr>
        <w:tc>
          <w:tcPr>
            <w:tcW w:w="7180" w:type="dxa"/>
            <w:vAlign w:val="bottom"/>
          </w:tcPr>
          <w:p>
            <w:pPr>
              <w:ind w:left="180"/>
              <w:spacing w:after="0"/>
              <w:rPr>
                <w:sz w:val="20"/>
                <w:szCs w:val="20"/>
                <w:color w:val="auto"/>
              </w:rPr>
            </w:pPr>
            <w:r>
              <w:rPr>
                <w:rFonts w:ascii="Arial" w:cs="Arial" w:eastAsia="Arial" w:hAnsi="Arial"/>
                <w:sz w:val="17"/>
                <w:szCs w:val="17"/>
                <w:color w:val="auto"/>
              </w:rPr>
              <w:t>Purchases of property, plant and equipment</w:t>
            </w:r>
          </w:p>
        </w:tc>
        <w:tc>
          <w:tcPr>
            <w:tcW w:w="16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(27,167)</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(33,421)</w:t>
            </w:r>
          </w:p>
        </w:tc>
      </w:tr>
      <w:tr>
        <w:trPr>
          <w:trHeight w:val="31"/>
        </w:trPr>
        <w:tc>
          <w:tcPr>
            <w:tcW w:w="7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Proceeds from asset disposals</w:t>
            </w:r>
          </w:p>
        </w:tc>
        <w:tc>
          <w:tcPr>
            <w:tcW w:w="16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46</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105</w:t>
            </w:r>
          </w:p>
        </w:tc>
      </w:tr>
      <w:tr>
        <w:trPr>
          <w:trHeight w:val="239"/>
        </w:trPr>
        <w:tc>
          <w:tcPr>
            <w:tcW w:w="7180" w:type="dxa"/>
            <w:vAlign w:val="bottom"/>
          </w:tcPr>
          <w:p>
            <w:pPr>
              <w:ind w:left="180"/>
              <w:spacing w:after="0"/>
              <w:rPr>
                <w:sz w:val="20"/>
                <w:szCs w:val="20"/>
                <w:color w:val="auto"/>
              </w:rPr>
            </w:pPr>
            <w:r>
              <w:rPr>
                <w:rFonts w:ascii="Arial" w:cs="Arial" w:eastAsia="Arial" w:hAnsi="Arial"/>
                <w:sz w:val="17"/>
                <w:szCs w:val="17"/>
                <w:color w:val="auto"/>
              </w:rPr>
              <w:t>Investment in unconsolidated entities</w:t>
            </w:r>
          </w:p>
        </w:tc>
        <w:tc>
          <w:tcPr>
            <w:tcW w:w="1640" w:type="dxa"/>
            <w:vAlign w:val="bottom"/>
          </w:tcPr>
          <w:p>
            <w:pPr>
              <w:spacing w:after="0"/>
              <w:rPr>
                <w:sz w:val="20"/>
                <w:szCs w:val="20"/>
                <w:color w:val="auto"/>
              </w:rPr>
            </w:pPr>
          </w:p>
        </w:tc>
        <w:tc>
          <w:tcPr>
            <w:tcW w:w="11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(150)</w:t>
            </w:r>
          </w:p>
        </w:tc>
      </w:tr>
      <w:tr>
        <w:trPr>
          <w:trHeight w:val="31"/>
        </w:trPr>
        <w:tc>
          <w:tcPr>
            <w:tcW w:w="7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7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Acquisitions, net of cash acquired</w:t>
            </w:r>
          </w:p>
        </w:tc>
        <w:tc>
          <w:tcPr>
            <w:tcW w:w="16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(136,431)</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(692,077)</w:t>
            </w:r>
          </w:p>
        </w:tc>
      </w:tr>
      <w:tr>
        <w:trPr>
          <w:trHeight w:val="233"/>
        </w:trPr>
        <w:tc>
          <w:tcPr>
            <w:tcW w:w="7180" w:type="dxa"/>
            <w:vAlign w:val="bottom"/>
            <w:tcBorders>
              <w:top w:val="single" w:sz="8" w:color="auto"/>
            </w:tcBorders>
          </w:tcPr>
          <w:p>
            <w:pPr>
              <w:ind w:left="380"/>
              <w:spacing w:after="0"/>
              <w:rPr>
                <w:sz w:val="20"/>
                <w:szCs w:val="20"/>
                <w:color w:val="auto"/>
              </w:rPr>
            </w:pPr>
            <w:r>
              <w:rPr>
                <w:rFonts w:ascii="Arial" w:cs="Arial" w:eastAsia="Arial" w:hAnsi="Arial"/>
                <w:sz w:val="17"/>
                <w:szCs w:val="17"/>
                <w:color w:val="auto"/>
              </w:rPr>
              <w:t>Net cash used in investing activities</w:t>
            </w:r>
          </w:p>
        </w:tc>
        <w:tc>
          <w:tcPr>
            <w:tcW w:w="16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(163,552)</w:t>
            </w: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(725,543)</w:t>
            </w:r>
          </w:p>
        </w:tc>
      </w:tr>
      <w:tr>
        <w:trPr>
          <w:trHeight w:val="31"/>
        </w:trPr>
        <w:tc>
          <w:tcPr>
            <w:tcW w:w="7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69"/>
        </w:trPr>
        <w:tc>
          <w:tcPr>
            <w:tcW w:w="71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239"/>
        </w:trPr>
        <w:tc>
          <w:tcPr>
            <w:tcW w:w="7180" w:type="dxa"/>
            <w:vAlign w:val="bottom"/>
          </w:tcPr>
          <w:p>
            <w:pPr>
              <w:ind w:left="40"/>
              <w:spacing w:after="0"/>
              <w:rPr>
                <w:sz w:val="20"/>
                <w:szCs w:val="20"/>
                <w:color w:val="auto"/>
              </w:rPr>
            </w:pPr>
            <w:r>
              <w:rPr>
                <w:rFonts w:ascii="Arial" w:cs="Arial" w:eastAsia="Arial" w:hAnsi="Arial"/>
                <w:sz w:val="17"/>
                <w:szCs w:val="17"/>
                <w:color w:val="auto"/>
              </w:rPr>
              <w:t>Cash flows from financing activities:</w:t>
            </w:r>
          </w:p>
        </w:tc>
        <w:tc>
          <w:tcPr>
            <w:tcW w:w="1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1"/>
        </w:trPr>
        <w:tc>
          <w:tcPr>
            <w:tcW w:w="7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Borrowings under debt arrangements</w:t>
            </w:r>
          </w:p>
        </w:tc>
        <w:tc>
          <w:tcPr>
            <w:tcW w:w="16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636,025</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700,000</w:t>
            </w:r>
          </w:p>
        </w:tc>
      </w:tr>
      <w:tr>
        <w:trPr>
          <w:trHeight w:val="239"/>
        </w:trPr>
        <w:tc>
          <w:tcPr>
            <w:tcW w:w="7180" w:type="dxa"/>
            <w:vAlign w:val="bottom"/>
          </w:tcPr>
          <w:p>
            <w:pPr>
              <w:ind w:left="180"/>
              <w:spacing w:after="0"/>
              <w:rPr>
                <w:sz w:val="20"/>
                <w:szCs w:val="20"/>
                <w:color w:val="auto"/>
              </w:rPr>
            </w:pPr>
            <w:r>
              <w:rPr>
                <w:rFonts w:ascii="Arial" w:cs="Arial" w:eastAsia="Arial" w:hAnsi="Arial"/>
                <w:sz w:val="17"/>
                <w:szCs w:val="17"/>
                <w:color w:val="auto"/>
              </w:rPr>
              <w:t>Repayments under debt arrangements</w:t>
            </w:r>
          </w:p>
        </w:tc>
        <w:tc>
          <w:tcPr>
            <w:tcW w:w="16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(446,025)</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(201,004)</w:t>
            </w:r>
          </w:p>
        </w:tc>
      </w:tr>
      <w:tr>
        <w:trPr>
          <w:trHeight w:val="31"/>
        </w:trPr>
        <w:tc>
          <w:tcPr>
            <w:tcW w:w="7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Proceeds from exercise of stock options</w:t>
            </w:r>
          </w:p>
        </w:tc>
        <w:tc>
          <w:tcPr>
            <w:tcW w:w="16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8,347</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24,408</w:t>
            </w:r>
          </w:p>
        </w:tc>
      </w:tr>
      <w:tr>
        <w:trPr>
          <w:trHeight w:val="239"/>
        </w:trPr>
        <w:tc>
          <w:tcPr>
            <w:tcW w:w="7180" w:type="dxa"/>
            <w:vAlign w:val="bottom"/>
          </w:tcPr>
          <w:p>
            <w:pPr>
              <w:ind w:left="180"/>
              <w:spacing w:after="0"/>
              <w:rPr>
                <w:sz w:val="20"/>
                <w:szCs w:val="20"/>
                <w:color w:val="auto"/>
              </w:rPr>
            </w:pPr>
            <w:r>
              <w:rPr>
                <w:rFonts w:ascii="Arial" w:cs="Arial" w:eastAsia="Arial" w:hAnsi="Arial"/>
                <w:sz w:val="17"/>
                <w:szCs w:val="17"/>
                <w:color w:val="auto"/>
              </w:rPr>
              <w:t>Payments of withholding taxes for stock awards</w:t>
            </w:r>
          </w:p>
        </w:tc>
        <w:tc>
          <w:tcPr>
            <w:tcW w:w="16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(1,482)</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(1,894)</w:t>
            </w:r>
          </w:p>
        </w:tc>
      </w:tr>
      <w:tr>
        <w:trPr>
          <w:trHeight w:val="31"/>
        </w:trPr>
        <w:tc>
          <w:tcPr>
            <w:tcW w:w="7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Purchases of Toro common stock</w:t>
            </w:r>
          </w:p>
        </w:tc>
        <w:tc>
          <w:tcPr>
            <w:tcW w:w="16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(20,043)</w:t>
            </w:r>
          </w:p>
        </w:tc>
      </w:tr>
      <w:tr>
        <w:trPr>
          <w:trHeight w:val="239"/>
        </w:trPr>
        <w:tc>
          <w:tcPr>
            <w:tcW w:w="7180" w:type="dxa"/>
            <w:vAlign w:val="bottom"/>
          </w:tcPr>
          <w:p>
            <w:pPr>
              <w:ind w:left="180"/>
              <w:spacing w:after="0"/>
              <w:rPr>
                <w:sz w:val="20"/>
                <w:szCs w:val="20"/>
                <w:color w:val="auto"/>
              </w:rPr>
            </w:pPr>
            <w:r>
              <w:rPr>
                <w:rFonts w:ascii="Arial" w:cs="Arial" w:eastAsia="Arial" w:hAnsi="Arial"/>
                <w:sz w:val="17"/>
                <w:szCs w:val="17"/>
                <w:color w:val="auto"/>
              </w:rPr>
              <w:t>Dividends paid on Toro common stock</w:t>
            </w:r>
          </w:p>
        </w:tc>
        <w:tc>
          <w:tcPr>
            <w:tcW w:w="16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(53,744)</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(47,930)</w:t>
            </w:r>
          </w:p>
        </w:tc>
      </w:tr>
      <w:tr>
        <w:trPr>
          <w:trHeight w:val="31"/>
        </w:trPr>
        <w:tc>
          <w:tcPr>
            <w:tcW w:w="7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8"/>
        </w:trPr>
        <w:tc>
          <w:tcPr>
            <w:tcW w:w="7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Net cash provided by financing activities</w:t>
            </w:r>
          </w:p>
        </w:tc>
        <w:tc>
          <w:tcPr>
            <w:tcW w:w="16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143,121</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453,537</w:t>
            </w:r>
          </w:p>
        </w:tc>
      </w:tr>
      <w:tr>
        <w:trPr>
          <w:trHeight w:val="169"/>
        </w:trPr>
        <w:tc>
          <w:tcPr>
            <w:tcW w:w="718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r>
      <w:tr>
        <w:trPr>
          <w:trHeight w:val="275"/>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Effect of exchange rates on cash and cash equivalents</w:t>
            </w:r>
          </w:p>
        </w:tc>
        <w:tc>
          <w:tcPr>
            <w:tcW w:w="16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(2,278)</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(1,030)</w:t>
            </w:r>
          </w:p>
        </w:tc>
      </w:tr>
      <w:tr>
        <w:trPr>
          <w:trHeight w:val="169"/>
        </w:trPr>
        <w:tc>
          <w:tcPr>
            <w:tcW w:w="718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r>
      <w:tr>
        <w:trPr>
          <w:trHeight w:val="275"/>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increase (decrease) in cash and cash equivalents</w:t>
            </w:r>
          </w:p>
        </w:tc>
        <w:tc>
          <w:tcPr>
            <w:tcW w:w="16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48,176</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(109,046)</w:t>
            </w:r>
          </w:p>
        </w:tc>
      </w:tr>
      <w:tr>
        <w:trPr>
          <w:trHeight w:val="233"/>
        </w:trPr>
        <w:tc>
          <w:tcPr>
            <w:tcW w:w="718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Cash and cash equivalents as of the beginning of the fiscal period</w:t>
            </w:r>
          </w:p>
        </w:tc>
        <w:tc>
          <w:tcPr>
            <w:tcW w:w="16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151,828</w:t>
            </w: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289,124</w:t>
            </w:r>
          </w:p>
        </w:tc>
      </w:tr>
      <w:tr>
        <w:trPr>
          <w:trHeight w:val="31"/>
        </w:trPr>
        <w:tc>
          <w:tcPr>
            <w:tcW w:w="7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and cash equivalents as of the end of the fiscal period</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200,004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180,078</w:t>
            </w:r>
          </w:p>
        </w:tc>
      </w:tr>
      <w:tr>
        <w:trPr>
          <w:trHeight w:val="20"/>
        </w:trPr>
        <w:tc>
          <w:tcPr>
            <w:tcW w:w="7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517" w:right="339" w:bottom="1440" w:gutter="0" w:footer="0" w:header="0"/>
        </w:sectPr>
      </w:pPr>
    </w:p>
    <w:bookmarkStart w:id="14" w:name="page15"/>
    <w:bookmarkEnd w:id="14"/>
    <w:p>
      <w:pPr>
        <w:ind w:left="40"/>
        <w:spacing w:after="0"/>
        <w:rPr>
          <w:sz w:val="20"/>
          <w:szCs w:val="20"/>
          <w:color w:val="auto"/>
        </w:rPr>
      </w:pPr>
      <w:r>
        <w:rPr>
          <w:rFonts w:ascii="Arial" w:cs="Arial" w:eastAsia="Arial" w:hAnsi="Arial"/>
          <w:sz w:val="18"/>
          <w:szCs w:val="18"/>
          <w:color w:val="auto"/>
        </w:rPr>
        <w:t>11 - The Toro Company Reports Second Quarter Fiscal 2020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8" w:lineRule="exact"/>
        <w:rPr>
          <w:sz w:val="20"/>
          <w:szCs w:val="20"/>
          <w:color w:val="auto"/>
        </w:rPr>
      </w:pPr>
    </w:p>
    <w:p>
      <w:pPr>
        <w:ind w:left="3600"/>
        <w:spacing w:after="0"/>
        <w:rPr>
          <w:sz w:val="20"/>
          <w:szCs w:val="20"/>
          <w:color w:val="auto"/>
        </w:rPr>
      </w:pPr>
      <w:r>
        <w:rPr>
          <w:rFonts w:ascii="Arial" w:cs="Arial" w:eastAsia="Arial" w:hAnsi="Arial"/>
          <w:sz w:val="20"/>
          <w:szCs w:val="20"/>
          <w:b w:val="1"/>
          <w:bCs w:val="1"/>
          <w:color w:val="auto"/>
        </w:rPr>
        <w:t>THE TORO COMPANY AND SUBSIDIARIES</w:t>
      </w:r>
    </w:p>
    <w:p>
      <w:pPr>
        <w:spacing w:after="0" w:line="54" w:lineRule="exact"/>
        <w:rPr>
          <w:sz w:val="20"/>
          <w:szCs w:val="20"/>
          <w:color w:val="auto"/>
        </w:rPr>
      </w:pPr>
    </w:p>
    <w:p>
      <w:pPr>
        <w:ind w:left="3020"/>
        <w:spacing w:after="0"/>
        <w:rPr>
          <w:sz w:val="20"/>
          <w:szCs w:val="20"/>
          <w:color w:val="auto"/>
        </w:rPr>
      </w:pPr>
      <w:r>
        <w:rPr>
          <w:rFonts w:ascii="Arial" w:cs="Arial" w:eastAsia="Arial" w:hAnsi="Arial"/>
          <w:sz w:val="20"/>
          <w:szCs w:val="20"/>
          <w:b w:val="1"/>
          <w:bCs w:val="1"/>
          <w:color w:val="auto"/>
        </w:rPr>
        <w:t>Reconciliation of Non-GAAP Financial Measures (Unaudited)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(Dollars in thousands, except per-share data)</w:t>
      </w:r>
    </w:p>
    <w:p>
      <w:pPr>
        <w:spacing w:after="0" w:line="14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has provided non-GAAP financial measures, which are not calculated or presented in accordance with accounting principles generally accepted in the United States ("U.S. GAAP"), as information supplemental and in addition to the most directly comparable financial measures presented in the accompanying press release that are calculated and presented in accordance with U.S. GAAP. The company uses these non-GAAP financial measures in making operating decisions because the company believes these non-GAAP financial measures provide meaningful supplemental information regarding the company's core operational performance and provide the company with a better understanding of how to allocate resources to both ongoing and prospective business initiatives. Additionally, these non-GAAP financial measures facilitate management's internal comparisons to both the company's historical operating results and to the company's competitors' operating results by factoring out potential differences caused by charges not related to the company's regular, ongoing business, including, without limitation, non-cash charges, certain large and unpredictable charges, acquisitions and dispositions, legal settlements, and tax positions.</w:t>
      </w:r>
    </w:p>
    <w:p>
      <w:pPr>
        <w:spacing w:after="0" w:line="18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Further, the company believes that such non-GAAP financial measures, when considered in conjunction with the company's financial measures prepared in accordance with U.S. GAAP, provide investors with useful supplemental financial information to better understand the company's core operational performance. Such non-GAAP financial measures should not be considered superior to, as a substitute for, or as an alternative to, and should be considered in conjunction with, the most directly comparable U.S. GAAP financial measures presented in the accompanying press release. The non-GAAP financial measures presented in the accompanying press release may differ from similar measures used by other companies.</w:t>
      </w:r>
    </w:p>
    <w:p>
      <w:pPr>
        <w:spacing w:after="0" w:line="17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following table provides a reconciliation of financial measures calculated and reported in accordance with U.S. GAAP to the most directly comparable non-GAAP financial measures included within the accompanying press release for the three and six month periods ended May 1, 2020 and May 3, 2019:</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9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960" w:type="dxa"/>
            <w:vAlign w:val="bottom"/>
            <w:gridSpan w:val="3"/>
          </w:tcPr>
          <w:p>
            <w:pPr>
              <w:jc w:val="right"/>
              <w:ind w:right="735"/>
              <w:spacing w:after="0"/>
              <w:rPr>
                <w:sz w:val="20"/>
                <w:szCs w:val="20"/>
                <w:color w:val="auto"/>
              </w:rPr>
            </w:pPr>
            <w:r>
              <w:rPr>
                <w:rFonts w:ascii="Arial" w:cs="Arial" w:eastAsia="Arial" w:hAnsi="Arial"/>
                <w:sz w:val="17"/>
                <w:szCs w:val="17"/>
                <w:b w:val="1"/>
                <w:bCs w:val="1"/>
                <w:color w:val="auto"/>
              </w:rPr>
              <w:t>Three Months Ended</w:t>
            </w:r>
          </w:p>
        </w:tc>
        <w:tc>
          <w:tcPr>
            <w:tcW w:w="260" w:type="dxa"/>
            <w:vAlign w:val="bottom"/>
          </w:tcPr>
          <w:p>
            <w:pPr>
              <w:spacing w:after="0"/>
              <w:rPr>
                <w:sz w:val="19"/>
                <w:szCs w:val="19"/>
                <w:color w:val="auto"/>
              </w:rPr>
            </w:pPr>
          </w:p>
        </w:tc>
        <w:tc>
          <w:tcPr>
            <w:tcW w:w="2920" w:type="dxa"/>
            <w:vAlign w:val="bottom"/>
            <w:gridSpan w:val="3"/>
          </w:tcPr>
          <w:p>
            <w:pPr>
              <w:jc w:val="right"/>
              <w:ind w:right="795"/>
              <w:spacing w:after="0"/>
              <w:rPr>
                <w:sz w:val="20"/>
                <w:szCs w:val="20"/>
                <w:color w:val="auto"/>
              </w:rPr>
            </w:pPr>
            <w:r>
              <w:rPr>
                <w:rFonts w:ascii="Arial" w:cs="Arial" w:eastAsia="Arial" w:hAnsi="Arial"/>
                <w:sz w:val="17"/>
                <w:szCs w:val="17"/>
                <w:b w:val="1"/>
                <w:bCs w:val="1"/>
                <w:color w:val="auto"/>
              </w:rPr>
              <w:t>Six Months Ended</w:t>
            </w:r>
          </w:p>
        </w:tc>
      </w:tr>
      <w:tr>
        <w:trPr>
          <w:trHeight w:val="31"/>
        </w:trPr>
        <w:tc>
          <w:tcPr>
            <w:tcW w:w="3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3"/>
        </w:trPr>
        <w:tc>
          <w:tcPr>
            <w:tcW w:w="39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340" w:type="dxa"/>
            <w:vAlign w:val="bottom"/>
          </w:tcPr>
          <w:p>
            <w:pPr>
              <w:jc w:val="right"/>
              <w:ind w:right="275"/>
              <w:spacing w:after="0"/>
              <w:rPr>
                <w:sz w:val="20"/>
                <w:szCs w:val="20"/>
                <w:color w:val="auto"/>
              </w:rPr>
            </w:pPr>
            <w:r>
              <w:rPr>
                <w:rFonts w:ascii="Arial" w:cs="Arial" w:eastAsia="Arial" w:hAnsi="Arial"/>
                <w:sz w:val="17"/>
                <w:szCs w:val="17"/>
                <w:b w:val="1"/>
                <w:bCs w:val="1"/>
                <w:color w:val="auto"/>
              </w:rPr>
              <w:t>May 1, 2020</w:t>
            </w:r>
          </w:p>
        </w:tc>
        <w:tc>
          <w:tcPr>
            <w:tcW w:w="280" w:type="dxa"/>
            <w:vAlign w:val="bottom"/>
          </w:tcPr>
          <w:p>
            <w:pPr>
              <w:spacing w:after="0"/>
              <w:rPr>
                <w:sz w:val="20"/>
                <w:szCs w:val="20"/>
                <w:color w:val="auto"/>
              </w:rPr>
            </w:pPr>
          </w:p>
        </w:tc>
        <w:tc>
          <w:tcPr>
            <w:tcW w:w="1340" w:type="dxa"/>
            <w:vAlign w:val="bottom"/>
          </w:tcPr>
          <w:p>
            <w:pPr>
              <w:jc w:val="right"/>
              <w:ind w:right="275"/>
              <w:spacing w:after="0"/>
              <w:rPr>
                <w:sz w:val="20"/>
                <w:szCs w:val="20"/>
                <w:color w:val="auto"/>
              </w:rPr>
            </w:pPr>
            <w:r>
              <w:rPr>
                <w:rFonts w:ascii="Arial" w:cs="Arial" w:eastAsia="Arial" w:hAnsi="Arial"/>
                <w:sz w:val="17"/>
                <w:szCs w:val="17"/>
                <w:b w:val="1"/>
                <w:bCs w:val="1"/>
                <w:color w:val="auto"/>
              </w:rPr>
              <w:t>May 3, 2019</w:t>
            </w:r>
          </w:p>
        </w:tc>
        <w:tc>
          <w:tcPr>
            <w:tcW w:w="260" w:type="dxa"/>
            <w:vAlign w:val="bottom"/>
          </w:tcPr>
          <w:p>
            <w:pPr>
              <w:spacing w:after="0"/>
              <w:rPr>
                <w:sz w:val="20"/>
                <w:szCs w:val="20"/>
                <w:color w:val="auto"/>
              </w:rPr>
            </w:pPr>
          </w:p>
        </w:tc>
        <w:tc>
          <w:tcPr>
            <w:tcW w:w="1360" w:type="dxa"/>
            <w:vAlign w:val="bottom"/>
          </w:tcPr>
          <w:p>
            <w:pPr>
              <w:jc w:val="right"/>
              <w:ind w:right="295"/>
              <w:spacing w:after="0"/>
              <w:rPr>
                <w:sz w:val="20"/>
                <w:szCs w:val="20"/>
                <w:color w:val="auto"/>
              </w:rPr>
            </w:pPr>
            <w:r>
              <w:rPr>
                <w:rFonts w:ascii="Arial" w:cs="Arial" w:eastAsia="Arial" w:hAnsi="Arial"/>
                <w:sz w:val="17"/>
                <w:szCs w:val="17"/>
                <w:b w:val="1"/>
                <w:bCs w:val="1"/>
                <w:color w:val="auto"/>
              </w:rPr>
              <w:t>May 1, 2020</w:t>
            </w:r>
          </w:p>
        </w:tc>
        <w:tc>
          <w:tcPr>
            <w:tcW w:w="260" w:type="dxa"/>
            <w:vAlign w:val="bottom"/>
          </w:tcPr>
          <w:p>
            <w:pPr>
              <w:spacing w:after="0"/>
              <w:rPr>
                <w:sz w:val="20"/>
                <w:szCs w:val="20"/>
                <w:color w:val="auto"/>
              </w:rPr>
            </w:pPr>
          </w:p>
        </w:tc>
        <w:tc>
          <w:tcPr>
            <w:tcW w:w="1300" w:type="dxa"/>
            <w:vAlign w:val="bottom"/>
          </w:tcPr>
          <w:p>
            <w:pPr>
              <w:jc w:val="right"/>
              <w:ind w:right="235"/>
              <w:spacing w:after="0"/>
              <w:rPr>
                <w:sz w:val="20"/>
                <w:szCs w:val="20"/>
                <w:color w:val="auto"/>
              </w:rPr>
            </w:pPr>
            <w:r>
              <w:rPr>
                <w:rFonts w:ascii="Arial" w:cs="Arial" w:eastAsia="Arial" w:hAnsi="Arial"/>
                <w:sz w:val="17"/>
                <w:szCs w:val="17"/>
                <w:b w:val="1"/>
                <w:bCs w:val="1"/>
                <w:color w:val="auto"/>
              </w:rPr>
              <w:t>May 3, 2019</w:t>
            </w:r>
          </w:p>
        </w:tc>
      </w:tr>
      <w:tr>
        <w:trPr>
          <w:trHeight w:val="31"/>
        </w:trPr>
        <w:tc>
          <w:tcPr>
            <w:tcW w:w="3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Gross profit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306,717</w:t>
            </w:r>
          </w:p>
        </w:tc>
        <w:tc>
          <w:tcPr>
            <w:tcW w:w="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321,298</w:t>
            </w:r>
          </w:p>
        </w:tc>
        <w:tc>
          <w:tcPr>
            <w:tcW w:w="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594,805</w:t>
            </w:r>
          </w:p>
        </w:tc>
        <w:tc>
          <w:tcPr>
            <w:tcW w:w="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536,915</w:t>
            </w:r>
          </w:p>
        </w:tc>
      </w:tr>
      <w:tr>
        <w:trPr>
          <w:trHeight w:val="270"/>
        </w:trPr>
        <w:tc>
          <w:tcPr>
            <w:tcW w:w="3980" w:type="dxa"/>
            <w:vAlign w:val="bottom"/>
          </w:tcPr>
          <w:p>
            <w:pPr>
              <w:ind w:left="180"/>
              <w:spacing w:after="0" w:line="270"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8"/>
                <w:szCs w:val="28"/>
                <w:color w:val="auto"/>
                <w:vertAlign w:val="superscript"/>
              </w:rPr>
              <w:t>1</w:t>
            </w:r>
          </w:p>
        </w:tc>
        <w:tc>
          <w:tcPr>
            <w:tcW w:w="1120" w:type="dxa"/>
            <w:vAlign w:val="bottom"/>
          </w:tcPr>
          <w:p>
            <w:pPr>
              <w:spacing w:after="0"/>
              <w:rPr>
                <w:sz w:val="23"/>
                <w:szCs w:val="23"/>
                <w:color w:val="auto"/>
              </w:rPr>
            </w:pPr>
          </w:p>
        </w:tc>
        <w:tc>
          <w:tcPr>
            <w:tcW w:w="1340" w:type="dxa"/>
            <w:vAlign w:val="bottom"/>
          </w:tcPr>
          <w:p>
            <w:pPr>
              <w:jc w:val="right"/>
              <w:ind w:right="135"/>
              <w:spacing w:after="0"/>
              <w:rPr>
                <w:sz w:val="20"/>
                <w:szCs w:val="20"/>
                <w:color w:val="auto"/>
              </w:rPr>
            </w:pPr>
            <w:r>
              <w:rPr>
                <w:rFonts w:ascii="Arial" w:cs="Arial" w:eastAsia="Arial" w:hAnsi="Arial"/>
                <w:sz w:val="17"/>
                <w:szCs w:val="17"/>
                <w:color w:val="auto"/>
              </w:rPr>
              <w:t>2,393</w:t>
            </w:r>
          </w:p>
        </w:tc>
        <w:tc>
          <w:tcPr>
            <w:tcW w:w="280" w:type="dxa"/>
            <w:vAlign w:val="bottom"/>
          </w:tcPr>
          <w:p>
            <w:pPr>
              <w:spacing w:after="0"/>
              <w:rPr>
                <w:sz w:val="23"/>
                <w:szCs w:val="23"/>
                <w:color w:val="auto"/>
              </w:rPr>
            </w:pPr>
          </w:p>
        </w:tc>
        <w:tc>
          <w:tcPr>
            <w:tcW w:w="1340" w:type="dxa"/>
            <w:vAlign w:val="bottom"/>
          </w:tcPr>
          <w:p>
            <w:pPr>
              <w:jc w:val="right"/>
              <w:ind w:right="155"/>
              <w:spacing w:after="0"/>
              <w:rPr>
                <w:sz w:val="20"/>
                <w:szCs w:val="20"/>
                <w:color w:val="auto"/>
              </w:rPr>
            </w:pPr>
            <w:r>
              <w:rPr>
                <w:rFonts w:ascii="Arial" w:cs="Arial" w:eastAsia="Arial" w:hAnsi="Arial"/>
                <w:sz w:val="17"/>
                <w:szCs w:val="17"/>
                <w:color w:val="auto"/>
              </w:rPr>
              <w:t>9,519</w:t>
            </w:r>
          </w:p>
        </w:tc>
        <w:tc>
          <w:tcPr>
            <w:tcW w:w="260" w:type="dxa"/>
            <w:vAlign w:val="bottom"/>
          </w:tcPr>
          <w:p>
            <w:pPr>
              <w:spacing w:after="0"/>
              <w:rPr>
                <w:sz w:val="23"/>
                <w:szCs w:val="23"/>
                <w:color w:val="auto"/>
              </w:rPr>
            </w:pPr>
          </w:p>
        </w:tc>
        <w:tc>
          <w:tcPr>
            <w:tcW w:w="1360" w:type="dxa"/>
            <w:vAlign w:val="bottom"/>
          </w:tcPr>
          <w:p>
            <w:pPr>
              <w:jc w:val="right"/>
              <w:ind w:right="155"/>
              <w:spacing w:after="0"/>
              <w:rPr>
                <w:sz w:val="20"/>
                <w:szCs w:val="20"/>
                <w:color w:val="auto"/>
              </w:rPr>
            </w:pPr>
            <w:r>
              <w:rPr>
                <w:rFonts w:ascii="Arial" w:cs="Arial" w:eastAsia="Arial" w:hAnsi="Arial"/>
                <w:sz w:val="17"/>
                <w:szCs w:val="17"/>
                <w:color w:val="auto"/>
              </w:rPr>
              <w:t>2,863</w:t>
            </w:r>
          </w:p>
        </w:tc>
        <w:tc>
          <w:tcPr>
            <w:tcW w:w="260" w:type="dxa"/>
            <w:vAlign w:val="bottom"/>
          </w:tcPr>
          <w:p>
            <w:pPr>
              <w:spacing w:after="0"/>
              <w:rPr>
                <w:sz w:val="23"/>
                <w:szCs w:val="23"/>
                <w:color w:val="auto"/>
              </w:rPr>
            </w:pPr>
          </w:p>
        </w:tc>
        <w:tc>
          <w:tcPr>
            <w:tcW w:w="1300" w:type="dxa"/>
            <w:vAlign w:val="bottom"/>
          </w:tcPr>
          <w:p>
            <w:pPr>
              <w:jc w:val="right"/>
              <w:ind w:right="95"/>
              <w:spacing w:after="0"/>
              <w:rPr>
                <w:sz w:val="20"/>
                <w:szCs w:val="20"/>
                <w:color w:val="auto"/>
              </w:rPr>
            </w:pPr>
            <w:r>
              <w:rPr>
                <w:rFonts w:ascii="Arial" w:cs="Arial" w:eastAsia="Arial" w:hAnsi="Arial"/>
                <w:sz w:val="17"/>
                <w:szCs w:val="17"/>
                <w:color w:val="auto"/>
              </w:rPr>
              <w:t>9,519</w:t>
            </w:r>
          </w:p>
        </w:tc>
      </w:tr>
      <w:tr>
        <w:trPr>
          <w:trHeight w:val="270"/>
        </w:trPr>
        <w:tc>
          <w:tcPr>
            <w:tcW w:w="3980" w:type="dxa"/>
            <w:vAlign w:val="bottom"/>
            <w:tcBorders>
              <w:bottom w:val="single" w:sz="8" w:color="auto"/>
            </w:tcBorders>
            <w:shd w:val="clear" w:color="auto" w:fill="CCEEFF"/>
          </w:tcPr>
          <w:p>
            <w:pPr>
              <w:ind w:left="180"/>
              <w:spacing w:after="0" w:line="270" w:lineRule="exact"/>
              <w:rPr>
                <w:sz w:val="20"/>
                <w:szCs w:val="20"/>
                <w:color w:val="auto"/>
              </w:rPr>
            </w:pPr>
            <w:r>
              <w:rPr>
                <w:rFonts w:ascii="Arial" w:cs="Arial" w:eastAsia="Arial" w:hAnsi="Arial"/>
                <w:sz w:val="17"/>
                <w:szCs w:val="17"/>
                <w:color w:val="auto"/>
              </w:rPr>
              <w:t>Management actions</w:t>
            </w:r>
            <w:r>
              <w:rPr>
                <w:rFonts w:ascii="Arial" w:cs="Arial" w:eastAsia="Arial" w:hAnsi="Arial"/>
                <w:sz w:val="28"/>
                <w:szCs w:val="28"/>
                <w:color w:val="auto"/>
                <w:vertAlign w:val="superscript"/>
              </w:rPr>
              <w:t>2</w:t>
            </w:r>
          </w:p>
        </w:tc>
        <w:tc>
          <w:tcPr>
            <w:tcW w:w="11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857</w:t>
            </w:r>
          </w:p>
        </w:tc>
        <w:tc>
          <w:tcPr>
            <w:tcW w:w="2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857</w:t>
            </w:r>
          </w:p>
        </w:tc>
        <w:tc>
          <w:tcPr>
            <w:tcW w:w="2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r>
      <w:tr>
        <w:trPr>
          <w:trHeight w:val="233"/>
        </w:trPr>
        <w:tc>
          <w:tcPr>
            <w:tcW w:w="3980" w:type="dxa"/>
            <w:vAlign w:val="bottom"/>
          </w:tcPr>
          <w:p>
            <w:pPr>
              <w:ind w:left="40"/>
              <w:spacing w:after="0"/>
              <w:rPr>
                <w:sz w:val="20"/>
                <w:szCs w:val="20"/>
                <w:color w:val="auto"/>
              </w:rPr>
            </w:pPr>
            <w:r>
              <w:rPr>
                <w:rFonts w:ascii="Arial" w:cs="Arial" w:eastAsia="Arial" w:hAnsi="Arial"/>
                <w:sz w:val="17"/>
                <w:szCs w:val="17"/>
                <w:color w:val="auto"/>
              </w:rPr>
              <w:t>Non-GAAP gross profit</w:t>
            </w: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135"/>
              <w:spacing w:after="0"/>
              <w:rPr>
                <w:sz w:val="20"/>
                <w:szCs w:val="20"/>
                <w:color w:val="auto"/>
              </w:rPr>
            </w:pPr>
            <w:r>
              <w:rPr>
                <w:rFonts w:ascii="Arial" w:cs="Arial" w:eastAsia="Arial" w:hAnsi="Arial"/>
                <w:sz w:val="17"/>
                <w:szCs w:val="17"/>
                <w:color w:val="auto"/>
              </w:rPr>
              <w:t>309,967</w:t>
            </w:r>
          </w:p>
        </w:tc>
        <w:tc>
          <w:tcPr>
            <w:tcW w:w="2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155"/>
              <w:spacing w:after="0"/>
              <w:rPr>
                <w:sz w:val="20"/>
                <w:szCs w:val="20"/>
                <w:color w:val="auto"/>
              </w:rPr>
            </w:pPr>
            <w:r>
              <w:rPr>
                <w:rFonts w:ascii="Arial" w:cs="Arial" w:eastAsia="Arial" w:hAnsi="Arial"/>
                <w:sz w:val="17"/>
                <w:szCs w:val="17"/>
                <w:color w:val="auto"/>
              </w:rPr>
              <w:t>330,817</w:t>
            </w:r>
          </w:p>
        </w:tc>
        <w:tc>
          <w:tcPr>
            <w:tcW w:w="2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55"/>
              <w:spacing w:after="0"/>
              <w:rPr>
                <w:sz w:val="20"/>
                <w:szCs w:val="20"/>
                <w:color w:val="auto"/>
              </w:rPr>
            </w:pPr>
            <w:r>
              <w:rPr>
                <w:rFonts w:ascii="Arial" w:cs="Arial" w:eastAsia="Arial" w:hAnsi="Arial"/>
                <w:sz w:val="17"/>
                <w:szCs w:val="17"/>
                <w:color w:val="auto"/>
              </w:rPr>
              <w:t>598,525</w:t>
            </w:r>
          </w:p>
        </w:tc>
        <w:tc>
          <w:tcPr>
            <w:tcW w:w="2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95"/>
              <w:spacing w:after="0"/>
              <w:rPr>
                <w:sz w:val="20"/>
                <w:szCs w:val="20"/>
                <w:color w:val="auto"/>
              </w:rPr>
            </w:pPr>
            <w:r>
              <w:rPr>
                <w:rFonts w:ascii="Arial" w:cs="Arial" w:eastAsia="Arial" w:hAnsi="Arial"/>
                <w:sz w:val="17"/>
                <w:szCs w:val="17"/>
                <w:color w:val="auto"/>
              </w:rPr>
              <w:t>546,434</w:t>
            </w:r>
          </w:p>
        </w:tc>
      </w:tr>
      <w:tr>
        <w:trPr>
          <w:trHeight w:val="31"/>
        </w:trPr>
        <w:tc>
          <w:tcPr>
            <w:tcW w:w="3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39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244"/>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Gross margin</w:t>
            </w:r>
          </w:p>
        </w:tc>
        <w:tc>
          <w:tcPr>
            <w:tcW w:w="1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33.0%</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33.4%</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35.1%</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34.3%</w:t>
            </w:r>
          </w:p>
        </w:tc>
      </w:tr>
      <w:tr>
        <w:trPr>
          <w:trHeight w:val="270"/>
        </w:trPr>
        <w:tc>
          <w:tcPr>
            <w:tcW w:w="3980" w:type="dxa"/>
            <w:vAlign w:val="bottom"/>
          </w:tcPr>
          <w:p>
            <w:pPr>
              <w:ind w:left="180"/>
              <w:spacing w:after="0" w:line="270"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8"/>
                <w:szCs w:val="28"/>
                <w:color w:val="auto"/>
                <w:vertAlign w:val="superscript"/>
              </w:rPr>
              <w:t>1</w:t>
            </w:r>
          </w:p>
        </w:tc>
        <w:tc>
          <w:tcPr>
            <w:tcW w:w="1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0.3%</w:t>
            </w:r>
          </w:p>
        </w:tc>
        <w:tc>
          <w:tcPr>
            <w:tcW w:w="280" w:type="dxa"/>
            <w:vAlign w:val="bottom"/>
          </w:tcPr>
          <w:p>
            <w:pPr>
              <w:spacing w:after="0"/>
              <w:rPr>
                <w:sz w:val="23"/>
                <w:szCs w:val="23"/>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1.0%</w:t>
            </w:r>
          </w:p>
        </w:tc>
        <w:tc>
          <w:tcPr>
            <w:tcW w:w="260" w:type="dxa"/>
            <w:vAlign w:val="bottom"/>
          </w:tcPr>
          <w:p>
            <w:pPr>
              <w:spacing w:after="0"/>
              <w:rPr>
                <w:sz w:val="23"/>
                <w:szCs w:val="23"/>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0.1%</w:t>
            </w:r>
          </w:p>
        </w:tc>
        <w:tc>
          <w:tcPr>
            <w:tcW w:w="2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0.6%</w:t>
            </w:r>
          </w:p>
        </w:tc>
      </w:tr>
      <w:tr>
        <w:trPr>
          <w:trHeight w:val="270"/>
        </w:trPr>
        <w:tc>
          <w:tcPr>
            <w:tcW w:w="3980" w:type="dxa"/>
            <w:vAlign w:val="bottom"/>
            <w:tcBorders>
              <w:bottom w:val="single" w:sz="8" w:color="auto"/>
            </w:tcBorders>
            <w:shd w:val="clear" w:color="auto" w:fill="CCEEFF"/>
          </w:tcPr>
          <w:p>
            <w:pPr>
              <w:ind w:left="180"/>
              <w:spacing w:after="0" w:line="270" w:lineRule="exact"/>
              <w:rPr>
                <w:sz w:val="20"/>
                <w:szCs w:val="20"/>
                <w:color w:val="auto"/>
              </w:rPr>
            </w:pPr>
            <w:r>
              <w:rPr>
                <w:rFonts w:ascii="Arial" w:cs="Arial" w:eastAsia="Arial" w:hAnsi="Arial"/>
                <w:sz w:val="17"/>
                <w:szCs w:val="17"/>
                <w:color w:val="auto"/>
              </w:rPr>
              <w:t>Management actions</w:t>
            </w:r>
            <w:r>
              <w:rPr>
                <w:rFonts w:ascii="Arial" w:cs="Arial" w:eastAsia="Arial" w:hAnsi="Arial"/>
                <w:sz w:val="28"/>
                <w:szCs w:val="28"/>
                <w:color w:val="auto"/>
                <w:vertAlign w:val="superscript"/>
              </w:rPr>
              <w:t>2</w:t>
            </w:r>
          </w:p>
        </w:tc>
        <w:tc>
          <w:tcPr>
            <w:tcW w:w="11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2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0.1%</w:t>
            </w:r>
          </w:p>
        </w:tc>
        <w:tc>
          <w:tcPr>
            <w:tcW w:w="2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3"/>
        </w:trPr>
        <w:tc>
          <w:tcPr>
            <w:tcW w:w="3980" w:type="dxa"/>
            <w:vAlign w:val="bottom"/>
          </w:tcPr>
          <w:p>
            <w:pPr>
              <w:ind w:left="40"/>
              <w:spacing w:after="0"/>
              <w:rPr>
                <w:sz w:val="20"/>
                <w:szCs w:val="20"/>
                <w:color w:val="auto"/>
              </w:rPr>
            </w:pPr>
            <w:r>
              <w:rPr>
                <w:rFonts w:ascii="Arial" w:cs="Arial" w:eastAsia="Arial" w:hAnsi="Arial"/>
                <w:sz w:val="17"/>
                <w:szCs w:val="17"/>
                <w:color w:val="auto"/>
              </w:rPr>
              <w:t>Non-GAAP gross margin</w:t>
            </w:r>
          </w:p>
        </w:tc>
        <w:tc>
          <w:tcPr>
            <w:tcW w:w="1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33.4%</w:t>
            </w:r>
          </w:p>
        </w:tc>
        <w:tc>
          <w:tcPr>
            <w:tcW w:w="28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34.4%</w:t>
            </w:r>
          </w:p>
        </w:tc>
        <w:tc>
          <w:tcPr>
            <w:tcW w:w="26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35.3%</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34.9%</w:t>
            </w:r>
          </w:p>
        </w:tc>
      </w:tr>
      <w:tr>
        <w:trPr>
          <w:trHeight w:val="31"/>
        </w:trPr>
        <w:tc>
          <w:tcPr>
            <w:tcW w:w="3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39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243"/>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Operating earnings</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125,795</w:t>
            </w:r>
          </w:p>
        </w:tc>
        <w:tc>
          <w:tcPr>
            <w:tcW w:w="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137,725</w:t>
            </w:r>
          </w:p>
        </w:tc>
        <w:tc>
          <w:tcPr>
            <w:tcW w:w="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216,924</w:t>
            </w:r>
          </w:p>
        </w:tc>
        <w:tc>
          <w:tcPr>
            <w:tcW w:w="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207,779</w:t>
            </w:r>
          </w:p>
        </w:tc>
      </w:tr>
      <w:tr>
        <w:trPr>
          <w:trHeight w:val="270"/>
        </w:trPr>
        <w:tc>
          <w:tcPr>
            <w:tcW w:w="3980" w:type="dxa"/>
            <w:vAlign w:val="bottom"/>
          </w:tcPr>
          <w:p>
            <w:pPr>
              <w:ind w:left="180"/>
              <w:spacing w:after="0" w:line="270"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8"/>
                <w:szCs w:val="28"/>
                <w:color w:val="auto"/>
                <w:vertAlign w:val="superscript"/>
              </w:rPr>
              <w:t>1</w:t>
            </w:r>
          </w:p>
        </w:tc>
        <w:tc>
          <w:tcPr>
            <w:tcW w:w="1120" w:type="dxa"/>
            <w:vAlign w:val="bottom"/>
          </w:tcPr>
          <w:p>
            <w:pPr>
              <w:spacing w:after="0"/>
              <w:rPr>
                <w:sz w:val="23"/>
                <w:szCs w:val="23"/>
                <w:color w:val="auto"/>
              </w:rPr>
            </w:pPr>
          </w:p>
        </w:tc>
        <w:tc>
          <w:tcPr>
            <w:tcW w:w="1340" w:type="dxa"/>
            <w:vAlign w:val="bottom"/>
          </w:tcPr>
          <w:p>
            <w:pPr>
              <w:jc w:val="right"/>
              <w:ind w:right="135"/>
              <w:spacing w:after="0"/>
              <w:rPr>
                <w:sz w:val="20"/>
                <w:szCs w:val="20"/>
                <w:color w:val="auto"/>
              </w:rPr>
            </w:pPr>
            <w:r>
              <w:rPr>
                <w:rFonts w:ascii="Arial" w:cs="Arial" w:eastAsia="Arial" w:hAnsi="Arial"/>
                <w:sz w:val="17"/>
                <w:szCs w:val="17"/>
                <w:color w:val="auto"/>
              </w:rPr>
              <w:t>3,004</w:t>
            </w:r>
          </w:p>
        </w:tc>
        <w:tc>
          <w:tcPr>
            <w:tcW w:w="280" w:type="dxa"/>
            <w:vAlign w:val="bottom"/>
          </w:tcPr>
          <w:p>
            <w:pPr>
              <w:spacing w:after="0"/>
              <w:rPr>
                <w:sz w:val="23"/>
                <w:szCs w:val="23"/>
                <w:color w:val="auto"/>
              </w:rPr>
            </w:pPr>
          </w:p>
        </w:tc>
        <w:tc>
          <w:tcPr>
            <w:tcW w:w="1340" w:type="dxa"/>
            <w:vAlign w:val="bottom"/>
          </w:tcPr>
          <w:p>
            <w:pPr>
              <w:jc w:val="right"/>
              <w:ind w:right="155"/>
              <w:spacing w:after="0"/>
              <w:rPr>
                <w:sz w:val="20"/>
                <w:szCs w:val="20"/>
                <w:color w:val="auto"/>
              </w:rPr>
            </w:pPr>
            <w:r>
              <w:rPr>
                <w:rFonts w:ascii="Arial" w:cs="Arial" w:eastAsia="Arial" w:hAnsi="Arial"/>
                <w:sz w:val="17"/>
                <w:szCs w:val="17"/>
                <w:color w:val="auto"/>
              </w:rPr>
              <w:t>20,107</w:t>
            </w:r>
          </w:p>
        </w:tc>
        <w:tc>
          <w:tcPr>
            <w:tcW w:w="260" w:type="dxa"/>
            <w:vAlign w:val="bottom"/>
          </w:tcPr>
          <w:p>
            <w:pPr>
              <w:spacing w:after="0"/>
              <w:rPr>
                <w:sz w:val="23"/>
                <w:szCs w:val="23"/>
                <w:color w:val="auto"/>
              </w:rPr>
            </w:pPr>
          </w:p>
        </w:tc>
        <w:tc>
          <w:tcPr>
            <w:tcW w:w="1360" w:type="dxa"/>
            <w:vAlign w:val="bottom"/>
          </w:tcPr>
          <w:p>
            <w:pPr>
              <w:jc w:val="right"/>
              <w:ind w:right="155"/>
              <w:spacing w:after="0"/>
              <w:rPr>
                <w:sz w:val="20"/>
                <w:szCs w:val="20"/>
                <w:color w:val="auto"/>
              </w:rPr>
            </w:pPr>
            <w:r>
              <w:rPr>
                <w:rFonts w:ascii="Arial" w:cs="Arial" w:eastAsia="Arial" w:hAnsi="Arial"/>
                <w:sz w:val="17"/>
                <w:szCs w:val="17"/>
                <w:color w:val="auto"/>
              </w:rPr>
              <w:t>5,022</w:t>
            </w:r>
          </w:p>
        </w:tc>
        <w:tc>
          <w:tcPr>
            <w:tcW w:w="260" w:type="dxa"/>
            <w:vAlign w:val="bottom"/>
          </w:tcPr>
          <w:p>
            <w:pPr>
              <w:spacing w:after="0"/>
              <w:rPr>
                <w:sz w:val="23"/>
                <w:szCs w:val="23"/>
                <w:color w:val="auto"/>
              </w:rPr>
            </w:pPr>
          </w:p>
        </w:tc>
        <w:tc>
          <w:tcPr>
            <w:tcW w:w="1300" w:type="dxa"/>
            <w:vAlign w:val="bottom"/>
          </w:tcPr>
          <w:p>
            <w:pPr>
              <w:jc w:val="right"/>
              <w:ind w:right="95"/>
              <w:spacing w:after="0"/>
              <w:rPr>
                <w:sz w:val="20"/>
                <w:szCs w:val="20"/>
                <w:color w:val="auto"/>
              </w:rPr>
            </w:pPr>
            <w:r>
              <w:rPr>
                <w:rFonts w:ascii="Arial" w:cs="Arial" w:eastAsia="Arial" w:hAnsi="Arial"/>
                <w:sz w:val="17"/>
                <w:szCs w:val="17"/>
                <w:color w:val="auto"/>
              </w:rPr>
              <w:t>21,754</w:t>
            </w:r>
          </w:p>
        </w:tc>
      </w:tr>
      <w:tr>
        <w:trPr>
          <w:trHeight w:val="270"/>
        </w:trPr>
        <w:tc>
          <w:tcPr>
            <w:tcW w:w="3980" w:type="dxa"/>
            <w:vAlign w:val="bottom"/>
            <w:tcBorders>
              <w:bottom w:val="single" w:sz="8" w:color="auto"/>
            </w:tcBorders>
            <w:shd w:val="clear" w:color="auto" w:fill="CCEEFF"/>
          </w:tcPr>
          <w:p>
            <w:pPr>
              <w:ind w:left="180"/>
              <w:spacing w:after="0" w:line="270" w:lineRule="exact"/>
              <w:rPr>
                <w:sz w:val="20"/>
                <w:szCs w:val="20"/>
                <w:color w:val="auto"/>
              </w:rPr>
            </w:pPr>
            <w:r>
              <w:rPr>
                <w:rFonts w:ascii="Arial" w:cs="Arial" w:eastAsia="Arial" w:hAnsi="Arial"/>
                <w:sz w:val="17"/>
                <w:szCs w:val="17"/>
                <w:color w:val="auto"/>
              </w:rPr>
              <w:t>Management actions</w:t>
            </w:r>
            <w:r>
              <w:rPr>
                <w:rFonts w:ascii="Arial" w:cs="Arial" w:eastAsia="Arial" w:hAnsi="Arial"/>
                <w:sz w:val="28"/>
                <w:szCs w:val="28"/>
                <w:color w:val="auto"/>
                <w:vertAlign w:val="superscript"/>
              </w:rPr>
              <w:t>2</w:t>
            </w:r>
          </w:p>
        </w:tc>
        <w:tc>
          <w:tcPr>
            <w:tcW w:w="11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857</w:t>
            </w:r>
          </w:p>
        </w:tc>
        <w:tc>
          <w:tcPr>
            <w:tcW w:w="2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857</w:t>
            </w:r>
          </w:p>
        </w:tc>
        <w:tc>
          <w:tcPr>
            <w:tcW w:w="2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r>
      <w:tr>
        <w:trPr>
          <w:trHeight w:val="233"/>
        </w:trPr>
        <w:tc>
          <w:tcPr>
            <w:tcW w:w="3980" w:type="dxa"/>
            <w:vAlign w:val="bottom"/>
          </w:tcPr>
          <w:p>
            <w:pPr>
              <w:ind w:left="40"/>
              <w:spacing w:after="0"/>
              <w:rPr>
                <w:sz w:val="20"/>
                <w:szCs w:val="20"/>
                <w:color w:val="auto"/>
              </w:rPr>
            </w:pPr>
            <w:r>
              <w:rPr>
                <w:rFonts w:ascii="Arial" w:cs="Arial" w:eastAsia="Arial" w:hAnsi="Arial"/>
                <w:sz w:val="17"/>
                <w:szCs w:val="17"/>
                <w:color w:val="auto"/>
              </w:rPr>
              <w:t>Non-GAAP operating earnings</w:t>
            </w: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135"/>
              <w:spacing w:after="0"/>
              <w:rPr>
                <w:sz w:val="20"/>
                <w:szCs w:val="20"/>
                <w:color w:val="auto"/>
              </w:rPr>
            </w:pPr>
            <w:r>
              <w:rPr>
                <w:rFonts w:ascii="Arial" w:cs="Arial" w:eastAsia="Arial" w:hAnsi="Arial"/>
                <w:sz w:val="17"/>
                <w:szCs w:val="17"/>
                <w:color w:val="auto"/>
              </w:rPr>
              <w:t>129,656</w:t>
            </w:r>
          </w:p>
        </w:tc>
        <w:tc>
          <w:tcPr>
            <w:tcW w:w="2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155"/>
              <w:spacing w:after="0"/>
              <w:rPr>
                <w:sz w:val="20"/>
                <w:szCs w:val="20"/>
                <w:color w:val="auto"/>
              </w:rPr>
            </w:pPr>
            <w:r>
              <w:rPr>
                <w:rFonts w:ascii="Arial" w:cs="Arial" w:eastAsia="Arial" w:hAnsi="Arial"/>
                <w:sz w:val="17"/>
                <w:szCs w:val="17"/>
                <w:color w:val="auto"/>
              </w:rPr>
              <w:t>157,832</w:t>
            </w:r>
          </w:p>
        </w:tc>
        <w:tc>
          <w:tcPr>
            <w:tcW w:w="2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55"/>
              <w:spacing w:after="0"/>
              <w:rPr>
                <w:sz w:val="20"/>
                <w:szCs w:val="20"/>
                <w:color w:val="auto"/>
              </w:rPr>
            </w:pPr>
            <w:r>
              <w:rPr>
                <w:rFonts w:ascii="Arial" w:cs="Arial" w:eastAsia="Arial" w:hAnsi="Arial"/>
                <w:sz w:val="17"/>
                <w:szCs w:val="17"/>
                <w:color w:val="auto"/>
              </w:rPr>
              <w:t>222,803</w:t>
            </w:r>
          </w:p>
        </w:tc>
        <w:tc>
          <w:tcPr>
            <w:tcW w:w="2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95"/>
              <w:spacing w:after="0"/>
              <w:rPr>
                <w:sz w:val="20"/>
                <w:szCs w:val="20"/>
                <w:color w:val="auto"/>
              </w:rPr>
            </w:pPr>
            <w:r>
              <w:rPr>
                <w:rFonts w:ascii="Arial" w:cs="Arial" w:eastAsia="Arial" w:hAnsi="Arial"/>
                <w:sz w:val="17"/>
                <w:szCs w:val="17"/>
                <w:color w:val="auto"/>
              </w:rPr>
              <w:t>229,533</w:t>
            </w:r>
          </w:p>
        </w:tc>
      </w:tr>
      <w:tr>
        <w:trPr>
          <w:trHeight w:val="31"/>
        </w:trPr>
        <w:tc>
          <w:tcPr>
            <w:tcW w:w="3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39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243"/>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Earnings before income taxes</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121,371</w:t>
            </w:r>
          </w:p>
        </w:tc>
        <w:tc>
          <w:tcPr>
            <w:tcW w:w="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137,180</w:t>
            </w:r>
          </w:p>
        </w:tc>
        <w:tc>
          <w:tcPr>
            <w:tcW w:w="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207,510</w:t>
            </w:r>
          </w:p>
        </w:tc>
        <w:tc>
          <w:tcPr>
            <w:tcW w:w="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207,200</w:t>
            </w:r>
          </w:p>
        </w:tc>
      </w:tr>
      <w:tr>
        <w:trPr>
          <w:trHeight w:val="270"/>
        </w:trPr>
        <w:tc>
          <w:tcPr>
            <w:tcW w:w="3980" w:type="dxa"/>
            <w:vAlign w:val="bottom"/>
          </w:tcPr>
          <w:p>
            <w:pPr>
              <w:ind w:left="180"/>
              <w:spacing w:after="0" w:line="270"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8"/>
                <w:szCs w:val="28"/>
                <w:color w:val="auto"/>
                <w:vertAlign w:val="superscript"/>
              </w:rPr>
              <w:t>1</w:t>
            </w:r>
          </w:p>
        </w:tc>
        <w:tc>
          <w:tcPr>
            <w:tcW w:w="1120" w:type="dxa"/>
            <w:vAlign w:val="bottom"/>
          </w:tcPr>
          <w:p>
            <w:pPr>
              <w:spacing w:after="0"/>
              <w:rPr>
                <w:sz w:val="23"/>
                <w:szCs w:val="23"/>
                <w:color w:val="auto"/>
              </w:rPr>
            </w:pPr>
          </w:p>
        </w:tc>
        <w:tc>
          <w:tcPr>
            <w:tcW w:w="1340" w:type="dxa"/>
            <w:vAlign w:val="bottom"/>
          </w:tcPr>
          <w:p>
            <w:pPr>
              <w:jc w:val="right"/>
              <w:ind w:right="135"/>
              <w:spacing w:after="0"/>
              <w:rPr>
                <w:sz w:val="20"/>
                <w:szCs w:val="20"/>
                <w:color w:val="auto"/>
              </w:rPr>
            </w:pPr>
            <w:r>
              <w:rPr>
                <w:rFonts w:ascii="Arial" w:cs="Arial" w:eastAsia="Arial" w:hAnsi="Arial"/>
                <w:sz w:val="17"/>
                <w:szCs w:val="17"/>
                <w:color w:val="auto"/>
              </w:rPr>
              <w:t>3,004</w:t>
            </w:r>
          </w:p>
        </w:tc>
        <w:tc>
          <w:tcPr>
            <w:tcW w:w="280" w:type="dxa"/>
            <w:vAlign w:val="bottom"/>
          </w:tcPr>
          <w:p>
            <w:pPr>
              <w:spacing w:after="0"/>
              <w:rPr>
                <w:sz w:val="23"/>
                <w:szCs w:val="23"/>
                <w:color w:val="auto"/>
              </w:rPr>
            </w:pPr>
          </w:p>
        </w:tc>
        <w:tc>
          <w:tcPr>
            <w:tcW w:w="1340" w:type="dxa"/>
            <w:vAlign w:val="bottom"/>
          </w:tcPr>
          <w:p>
            <w:pPr>
              <w:jc w:val="right"/>
              <w:ind w:right="155"/>
              <w:spacing w:after="0"/>
              <w:rPr>
                <w:sz w:val="20"/>
                <w:szCs w:val="20"/>
                <w:color w:val="auto"/>
              </w:rPr>
            </w:pPr>
            <w:r>
              <w:rPr>
                <w:rFonts w:ascii="Arial" w:cs="Arial" w:eastAsia="Arial" w:hAnsi="Arial"/>
                <w:sz w:val="17"/>
                <w:szCs w:val="17"/>
                <w:color w:val="auto"/>
              </w:rPr>
              <w:t>20,107</w:t>
            </w:r>
          </w:p>
        </w:tc>
        <w:tc>
          <w:tcPr>
            <w:tcW w:w="260" w:type="dxa"/>
            <w:vAlign w:val="bottom"/>
          </w:tcPr>
          <w:p>
            <w:pPr>
              <w:spacing w:after="0"/>
              <w:rPr>
                <w:sz w:val="23"/>
                <w:szCs w:val="23"/>
                <w:color w:val="auto"/>
              </w:rPr>
            </w:pPr>
          </w:p>
        </w:tc>
        <w:tc>
          <w:tcPr>
            <w:tcW w:w="1360" w:type="dxa"/>
            <w:vAlign w:val="bottom"/>
          </w:tcPr>
          <w:p>
            <w:pPr>
              <w:jc w:val="right"/>
              <w:ind w:right="155"/>
              <w:spacing w:after="0"/>
              <w:rPr>
                <w:sz w:val="20"/>
                <w:szCs w:val="20"/>
                <w:color w:val="auto"/>
              </w:rPr>
            </w:pPr>
            <w:r>
              <w:rPr>
                <w:rFonts w:ascii="Arial" w:cs="Arial" w:eastAsia="Arial" w:hAnsi="Arial"/>
                <w:sz w:val="17"/>
                <w:szCs w:val="17"/>
                <w:color w:val="auto"/>
              </w:rPr>
              <w:t>5,022</w:t>
            </w:r>
          </w:p>
        </w:tc>
        <w:tc>
          <w:tcPr>
            <w:tcW w:w="260" w:type="dxa"/>
            <w:vAlign w:val="bottom"/>
          </w:tcPr>
          <w:p>
            <w:pPr>
              <w:spacing w:after="0"/>
              <w:rPr>
                <w:sz w:val="23"/>
                <w:szCs w:val="23"/>
                <w:color w:val="auto"/>
              </w:rPr>
            </w:pPr>
          </w:p>
        </w:tc>
        <w:tc>
          <w:tcPr>
            <w:tcW w:w="1300" w:type="dxa"/>
            <w:vAlign w:val="bottom"/>
          </w:tcPr>
          <w:p>
            <w:pPr>
              <w:jc w:val="right"/>
              <w:ind w:right="95"/>
              <w:spacing w:after="0"/>
              <w:rPr>
                <w:sz w:val="20"/>
                <w:szCs w:val="20"/>
                <w:color w:val="auto"/>
              </w:rPr>
            </w:pPr>
            <w:r>
              <w:rPr>
                <w:rFonts w:ascii="Arial" w:cs="Arial" w:eastAsia="Arial" w:hAnsi="Arial"/>
                <w:sz w:val="17"/>
                <w:szCs w:val="17"/>
                <w:color w:val="auto"/>
              </w:rPr>
              <w:t>21,754</w:t>
            </w:r>
          </w:p>
        </w:tc>
      </w:tr>
      <w:tr>
        <w:trPr>
          <w:trHeight w:val="270"/>
        </w:trPr>
        <w:tc>
          <w:tcPr>
            <w:tcW w:w="3980" w:type="dxa"/>
            <w:vAlign w:val="bottom"/>
            <w:tcBorders>
              <w:bottom w:val="single" w:sz="8" w:color="auto"/>
            </w:tcBorders>
            <w:shd w:val="clear" w:color="auto" w:fill="CCEEFF"/>
          </w:tcPr>
          <w:p>
            <w:pPr>
              <w:ind w:left="180"/>
              <w:spacing w:after="0" w:line="270" w:lineRule="exact"/>
              <w:rPr>
                <w:sz w:val="20"/>
                <w:szCs w:val="20"/>
                <w:color w:val="auto"/>
              </w:rPr>
            </w:pPr>
            <w:r>
              <w:rPr>
                <w:rFonts w:ascii="Arial" w:cs="Arial" w:eastAsia="Arial" w:hAnsi="Arial"/>
                <w:sz w:val="17"/>
                <w:szCs w:val="17"/>
                <w:color w:val="auto"/>
              </w:rPr>
              <w:t>Management actions</w:t>
            </w:r>
            <w:r>
              <w:rPr>
                <w:rFonts w:ascii="Arial" w:cs="Arial" w:eastAsia="Arial" w:hAnsi="Arial"/>
                <w:sz w:val="28"/>
                <w:szCs w:val="28"/>
                <w:color w:val="auto"/>
                <w:vertAlign w:val="superscript"/>
              </w:rPr>
              <w:t>2</w:t>
            </w:r>
          </w:p>
        </w:tc>
        <w:tc>
          <w:tcPr>
            <w:tcW w:w="11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857</w:t>
            </w:r>
          </w:p>
        </w:tc>
        <w:tc>
          <w:tcPr>
            <w:tcW w:w="2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857</w:t>
            </w:r>
          </w:p>
        </w:tc>
        <w:tc>
          <w:tcPr>
            <w:tcW w:w="2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r>
      <w:tr>
        <w:trPr>
          <w:trHeight w:val="233"/>
        </w:trPr>
        <w:tc>
          <w:tcPr>
            <w:tcW w:w="3980" w:type="dxa"/>
            <w:vAlign w:val="bottom"/>
          </w:tcPr>
          <w:p>
            <w:pPr>
              <w:ind w:left="40"/>
              <w:spacing w:after="0"/>
              <w:rPr>
                <w:sz w:val="20"/>
                <w:szCs w:val="20"/>
                <w:color w:val="auto"/>
              </w:rPr>
            </w:pPr>
            <w:r>
              <w:rPr>
                <w:rFonts w:ascii="Arial" w:cs="Arial" w:eastAsia="Arial" w:hAnsi="Arial"/>
                <w:sz w:val="17"/>
                <w:szCs w:val="17"/>
                <w:color w:val="auto"/>
              </w:rPr>
              <w:t>Non-GAAP earnings before income taxes</w:t>
            </w: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135"/>
              <w:spacing w:after="0"/>
              <w:rPr>
                <w:sz w:val="20"/>
                <w:szCs w:val="20"/>
                <w:color w:val="auto"/>
              </w:rPr>
            </w:pPr>
            <w:r>
              <w:rPr>
                <w:rFonts w:ascii="Arial" w:cs="Arial" w:eastAsia="Arial" w:hAnsi="Arial"/>
                <w:sz w:val="17"/>
                <w:szCs w:val="17"/>
                <w:color w:val="auto"/>
              </w:rPr>
              <w:t>125,232</w:t>
            </w:r>
          </w:p>
        </w:tc>
        <w:tc>
          <w:tcPr>
            <w:tcW w:w="2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155"/>
              <w:spacing w:after="0"/>
              <w:rPr>
                <w:sz w:val="20"/>
                <w:szCs w:val="20"/>
                <w:color w:val="auto"/>
              </w:rPr>
            </w:pPr>
            <w:r>
              <w:rPr>
                <w:rFonts w:ascii="Arial" w:cs="Arial" w:eastAsia="Arial" w:hAnsi="Arial"/>
                <w:sz w:val="17"/>
                <w:szCs w:val="17"/>
                <w:color w:val="auto"/>
              </w:rPr>
              <w:t>157,287</w:t>
            </w:r>
          </w:p>
        </w:tc>
        <w:tc>
          <w:tcPr>
            <w:tcW w:w="2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55"/>
              <w:spacing w:after="0"/>
              <w:rPr>
                <w:sz w:val="20"/>
                <w:szCs w:val="20"/>
                <w:color w:val="auto"/>
              </w:rPr>
            </w:pPr>
            <w:r>
              <w:rPr>
                <w:rFonts w:ascii="Arial" w:cs="Arial" w:eastAsia="Arial" w:hAnsi="Arial"/>
                <w:sz w:val="17"/>
                <w:szCs w:val="17"/>
                <w:color w:val="auto"/>
              </w:rPr>
              <w:t>213,389</w:t>
            </w:r>
          </w:p>
        </w:tc>
        <w:tc>
          <w:tcPr>
            <w:tcW w:w="2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95"/>
              <w:spacing w:after="0"/>
              <w:rPr>
                <w:sz w:val="20"/>
                <w:szCs w:val="20"/>
                <w:color w:val="auto"/>
              </w:rPr>
            </w:pPr>
            <w:r>
              <w:rPr>
                <w:rFonts w:ascii="Arial" w:cs="Arial" w:eastAsia="Arial" w:hAnsi="Arial"/>
                <w:sz w:val="17"/>
                <w:szCs w:val="17"/>
                <w:color w:val="auto"/>
              </w:rPr>
              <w:t>228,954</w:t>
            </w:r>
          </w:p>
        </w:tc>
      </w:tr>
      <w:tr>
        <w:trPr>
          <w:trHeight w:val="31"/>
        </w:trPr>
        <w:tc>
          <w:tcPr>
            <w:tcW w:w="3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39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244"/>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earnings</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98,446</w:t>
            </w:r>
          </w:p>
        </w:tc>
        <w:tc>
          <w:tcPr>
            <w:tcW w:w="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115,570</w:t>
            </w:r>
          </w:p>
        </w:tc>
        <w:tc>
          <w:tcPr>
            <w:tcW w:w="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168,537</w:t>
            </w:r>
          </w:p>
        </w:tc>
        <w:tc>
          <w:tcPr>
            <w:tcW w:w="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175,110</w:t>
            </w:r>
          </w:p>
        </w:tc>
      </w:tr>
      <w:tr>
        <w:trPr>
          <w:trHeight w:val="270"/>
        </w:trPr>
        <w:tc>
          <w:tcPr>
            <w:tcW w:w="3980" w:type="dxa"/>
            <w:vAlign w:val="bottom"/>
          </w:tcPr>
          <w:p>
            <w:pPr>
              <w:ind w:left="180"/>
              <w:spacing w:after="0" w:line="270"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8"/>
                <w:szCs w:val="28"/>
                <w:color w:val="auto"/>
                <w:vertAlign w:val="superscript"/>
              </w:rPr>
              <w:t>1</w:t>
            </w:r>
          </w:p>
        </w:tc>
        <w:tc>
          <w:tcPr>
            <w:tcW w:w="1120" w:type="dxa"/>
            <w:vAlign w:val="bottom"/>
          </w:tcPr>
          <w:p>
            <w:pPr>
              <w:spacing w:after="0"/>
              <w:rPr>
                <w:sz w:val="23"/>
                <w:szCs w:val="23"/>
                <w:color w:val="auto"/>
              </w:rPr>
            </w:pPr>
          </w:p>
        </w:tc>
        <w:tc>
          <w:tcPr>
            <w:tcW w:w="1340" w:type="dxa"/>
            <w:vAlign w:val="bottom"/>
          </w:tcPr>
          <w:p>
            <w:pPr>
              <w:jc w:val="right"/>
              <w:ind w:right="135"/>
              <w:spacing w:after="0"/>
              <w:rPr>
                <w:sz w:val="20"/>
                <w:szCs w:val="20"/>
                <w:color w:val="auto"/>
              </w:rPr>
            </w:pPr>
            <w:r>
              <w:rPr>
                <w:rFonts w:ascii="Arial" w:cs="Arial" w:eastAsia="Arial" w:hAnsi="Arial"/>
                <w:sz w:val="17"/>
                <w:szCs w:val="17"/>
                <w:color w:val="auto"/>
              </w:rPr>
              <w:t>2,365</w:t>
            </w:r>
          </w:p>
        </w:tc>
        <w:tc>
          <w:tcPr>
            <w:tcW w:w="280" w:type="dxa"/>
            <w:vAlign w:val="bottom"/>
          </w:tcPr>
          <w:p>
            <w:pPr>
              <w:spacing w:after="0"/>
              <w:rPr>
                <w:sz w:val="23"/>
                <w:szCs w:val="23"/>
                <w:color w:val="auto"/>
              </w:rPr>
            </w:pPr>
          </w:p>
        </w:tc>
        <w:tc>
          <w:tcPr>
            <w:tcW w:w="1340" w:type="dxa"/>
            <w:vAlign w:val="bottom"/>
          </w:tcPr>
          <w:p>
            <w:pPr>
              <w:jc w:val="right"/>
              <w:ind w:right="155"/>
              <w:spacing w:after="0"/>
              <w:rPr>
                <w:sz w:val="20"/>
                <w:szCs w:val="20"/>
                <w:color w:val="auto"/>
              </w:rPr>
            </w:pPr>
            <w:r>
              <w:rPr>
                <w:rFonts w:ascii="Arial" w:cs="Arial" w:eastAsia="Arial" w:hAnsi="Arial"/>
                <w:sz w:val="17"/>
                <w:szCs w:val="17"/>
                <w:color w:val="auto"/>
              </w:rPr>
              <w:t>16,352</w:t>
            </w:r>
          </w:p>
        </w:tc>
        <w:tc>
          <w:tcPr>
            <w:tcW w:w="260" w:type="dxa"/>
            <w:vAlign w:val="bottom"/>
          </w:tcPr>
          <w:p>
            <w:pPr>
              <w:spacing w:after="0"/>
              <w:rPr>
                <w:sz w:val="23"/>
                <w:szCs w:val="23"/>
                <w:color w:val="auto"/>
              </w:rPr>
            </w:pPr>
          </w:p>
        </w:tc>
        <w:tc>
          <w:tcPr>
            <w:tcW w:w="1360" w:type="dxa"/>
            <w:vAlign w:val="bottom"/>
          </w:tcPr>
          <w:p>
            <w:pPr>
              <w:jc w:val="right"/>
              <w:ind w:right="155"/>
              <w:spacing w:after="0"/>
              <w:rPr>
                <w:sz w:val="20"/>
                <w:szCs w:val="20"/>
                <w:color w:val="auto"/>
              </w:rPr>
            </w:pPr>
            <w:r>
              <w:rPr>
                <w:rFonts w:ascii="Arial" w:cs="Arial" w:eastAsia="Arial" w:hAnsi="Arial"/>
                <w:sz w:val="17"/>
                <w:szCs w:val="17"/>
                <w:color w:val="auto"/>
              </w:rPr>
              <w:t>3,998</w:t>
            </w:r>
          </w:p>
        </w:tc>
        <w:tc>
          <w:tcPr>
            <w:tcW w:w="260" w:type="dxa"/>
            <w:vAlign w:val="bottom"/>
          </w:tcPr>
          <w:p>
            <w:pPr>
              <w:spacing w:after="0"/>
              <w:rPr>
                <w:sz w:val="23"/>
                <w:szCs w:val="23"/>
                <w:color w:val="auto"/>
              </w:rPr>
            </w:pPr>
          </w:p>
        </w:tc>
        <w:tc>
          <w:tcPr>
            <w:tcW w:w="1300" w:type="dxa"/>
            <w:vAlign w:val="bottom"/>
          </w:tcPr>
          <w:p>
            <w:pPr>
              <w:jc w:val="right"/>
              <w:ind w:right="95"/>
              <w:spacing w:after="0"/>
              <w:rPr>
                <w:sz w:val="20"/>
                <w:szCs w:val="20"/>
                <w:color w:val="auto"/>
              </w:rPr>
            </w:pPr>
            <w:r>
              <w:rPr>
                <w:rFonts w:ascii="Arial" w:cs="Arial" w:eastAsia="Arial" w:hAnsi="Arial"/>
                <w:sz w:val="17"/>
                <w:szCs w:val="17"/>
                <w:color w:val="auto"/>
              </w:rPr>
              <w:t>17,862</w:t>
            </w:r>
          </w:p>
        </w:tc>
      </w:tr>
      <w:tr>
        <w:trPr>
          <w:trHeight w:val="270"/>
        </w:trPr>
        <w:tc>
          <w:tcPr>
            <w:tcW w:w="3980" w:type="dxa"/>
            <w:vAlign w:val="bottom"/>
            <w:shd w:val="clear" w:color="auto" w:fill="CCEEFF"/>
          </w:tcPr>
          <w:p>
            <w:pPr>
              <w:ind w:left="180"/>
              <w:spacing w:after="0" w:line="270" w:lineRule="exact"/>
              <w:rPr>
                <w:sz w:val="20"/>
                <w:szCs w:val="20"/>
                <w:color w:val="auto"/>
              </w:rPr>
            </w:pPr>
            <w:r>
              <w:rPr>
                <w:rFonts w:ascii="Arial" w:cs="Arial" w:eastAsia="Arial" w:hAnsi="Arial"/>
                <w:sz w:val="17"/>
                <w:szCs w:val="17"/>
                <w:color w:val="auto"/>
              </w:rPr>
              <w:t>Management actions</w:t>
            </w:r>
            <w:r>
              <w:rPr>
                <w:rFonts w:ascii="Arial" w:cs="Arial" w:eastAsia="Arial" w:hAnsi="Arial"/>
                <w:sz w:val="28"/>
                <w:szCs w:val="28"/>
                <w:color w:val="auto"/>
                <w:vertAlign w:val="superscript"/>
              </w:rPr>
              <w:t>2</w:t>
            </w:r>
          </w:p>
        </w:tc>
        <w:tc>
          <w:tcPr>
            <w:tcW w:w="1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682</w:t>
            </w:r>
          </w:p>
        </w:tc>
        <w:tc>
          <w:tcPr>
            <w:tcW w:w="28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682</w:t>
            </w: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r>
      <w:tr>
        <w:trPr>
          <w:trHeight w:val="270"/>
        </w:trPr>
        <w:tc>
          <w:tcPr>
            <w:tcW w:w="3980" w:type="dxa"/>
            <w:vAlign w:val="bottom"/>
            <w:tcBorders>
              <w:bottom w:val="single" w:sz="8" w:color="auto"/>
            </w:tcBorders>
          </w:tcPr>
          <w:p>
            <w:pPr>
              <w:ind w:left="180"/>
              <w:spacing w:after="0" w:line="270" w:lineRule="exact"/>
              <w:rPr>
                <w:sz w:val="20"/>
                <w:szCs w:val="20"/>
                <w:color w:val="auto"/>
              </w:rPr>
            </w:pPr>
            <w:r>
              <w:rPr>
                <w:rFonts w:ascii="Arial" w:cs="Arial" w:eastAsia="Arial" w:hAnsi="Arial"/>
                <w:sz w:val="17"/>
                <w:szCs w:val="17"/>
                <w:color w:val="auto"/>
              </w:rPr>
              <w:t>Tax impact of share-based compensation</w:t>
            </w:r>
            <w:r>
              <w:rPr>
                <w:rFonts w:ascii="Arial" w:cs="Arial" w:eastAsia="Arial" w:hAnsi="Arial"/>
                <w:sz w:val="28"/>
                <w:szCs w:val="28"/>
                <w:color w:val="auto"/>
                <w:vertAlign w:val="superscript"/>
              </w:rPr>
              <w:t>3</w:t>
            </w:r>
          </w:p>
        </w:tc>
        <w:tc>
          <w:tcPr>
            <w:tcW w:w="11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(1,342)</w:t>
            </w:r>
          </w:p>
        </w:tc>
        <w:tc>
          <w:tcPr>
            <w:tcW w:w="2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(5,957)</w:t>
            </w:r>
          </w:p>
        </w:tc>
        <w:tc>
          <w:tcPr>
            <w:tcW w:w="2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(3,377)</w:t>
            </w:r>
          </w:p>
        </w:tc>
        <w:tc>
          <w:tcPr>
            <w:tcW w:w="2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(10,318)</w:t>
            </w:r>
          </w:p>
        </w:tc>
      </w:tr>
      <w:tr>
        <w:trPr>
          <w:trHeight w:val="268"/>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Non-GAAP net earnings</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100,151</w:t>
            </w:r>
          </w:p>
        </w:tc>
        <w:tc>
          <w:tcPr>
            <w:tcW w:w="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125,965</w:t>
            </w:r>
          </w:p>
        </w:tc>
        <w:tc>
          <w:tcPr>
            <w:tcW w:w="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169,840</w:t>
            </w:r>
          </w:p>
        </w:tc>
        <w:tc>
          <w:tcPr>
            <w:tcW w:w="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182,654</w:t>
            </w:r>
          </w:p>
        </w:tc>
      </w:tr>
      <w:tr>
        <w:trPr>
          <w:trHeight w:val="20"/>
        </w:trPr>
        <w:tc>
          <w:tcPr>
            <w:tcW w:w="39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517" w:right="339" w:bottom="1440" w:gutter="0" w:footer="0" w:header="0"/>
        </w:sectPr>
      </w:pPr>
    </w:p>
    <w:bookmarkStart w:id="15" w:name="page16"/>
    <w:bookmarkEnd w:id="15"/>
    <w:p>
      <w:pPr>
        <w:ind w:left="40"/>
        <w:spacing w:after="0"/>
        <w:rPr>
          <w:sz w:val="20"/>
          <w:szCs w:val="20"/>
          <w:color w:val="auto"/>
        </w:rPr>
      </w:pPr>
      <w:r>
        <w:rPr>
          <w:rFonts w:ascii="Arial" w:cs="Arial" w:eastAsia="Arial" w:hAnsi="Arial"/>
          <w:sz w:val="18"/>
          <w:szCs w:val="18"/>
          <w:color w:val="auto"/>
        </w:rPr>
        <w:t>12 - The Toro Company Reports Second Quarter Fiscal 2020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9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980" w:type="dxa"/>
            <w:vAlign w:val="bottom"/>
            <w:gridSpan w:val="3"/>
          </w:tcPr>
          <w:p>
            <w:pPr>
              <w:jc w:val="right"/>
              <w:ind w:right="755"/>
              <w:spacing w:after="0"/>
              <w:rPr>
                <w:sz w:val="20"/>
                <w:szCs w:val="20"/>
                <w:color w:val="auto"/>
              </w:rPr>
            </w:pPr>
            <w:r>
              <w:rPr>
                <w:rFonts w:ascii="Arial" w:cs="Arial" w:eastAsia="Arial" w:hAnsi="Arial"/>
                <w:sz w:val="17"/>
                <w:szCs w:val="17"/>
                <w:b w:val="1"/>
                <w:bCs w:val="1"/>
                <w:color w:val="auto"/>
              </w:rPr>
              <w:t>Three Months Ended</w:t>
            </w:r>
          </w:p>
        </w:tc>
        <w:tc>
          <w:tcPr>
            <w:tcW w:w="260" w:type="dxa"/>
            <w:vAlign w:val="bottom"/>
          </w:tcPr>
          <w:p>
            <w:pPr>
              <w:spacing w:after="0"/>
              <w:rPr>
                <w:sz w:val="19"/>
                <w:szCs w:val="19"/>
                <w:color w:val="auto"/>
              </w:rPr>
            </w:pPr>
          </w:p>
        </w:tc>
        <w:tc>
          <w:tcPr>
            <w:tcW w:w="2920" w:type="dxa"/>
            <w:vAlign w:val="bottom"/>
            <w:gridSpan w:val="3"/>
          </w:tcPr>
          <w:p>
            <w:pPr>
              <w:jc w:val="right"/>
              <w:ind w:right="795"/>
              <w:spacing w:after="0"/>
              <w:rPr>
                <w:sz w:val="20"/>
                <w:szCs w:val="20"/>
                <w:color w:val="auto"/>
              </w:rPr>
            </w:pPr>
            <w:r>
              <w:rPr>
                <w:rFonts w:ascii="Arial" w:cs="Arial" w:eastAsia="Arial" w:hAnsi="Arial"/>
                <w:sz w:val="17"/>
                <w:szCs w:val="17"/>
                <w:b w:val="1"/>
                <w:bCs w:val="1"/>
                <w:color w:val="auto"/>
              </w:rPr>
              <w:t>Six Months Ended</w:t>
            </w:r>
          </w:p>
        </w:tc>
      </w:tr>
      <w:tr>
        <w:trPr>
          <w:trHeight w:val="31"/>
        </w:trPr>
        <w:tc>
          <w:tcPr>
            <w:tcW w:w="3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3"/>
        </w:trPr>
        <w:tc>
          <w:tcPr>
            <w:tcW w:w="39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320" w:type="dxa"/>
            <w:vAlign w:val="bottom"/>
          </w:tcPr>
          <w:p>
            <w:pPr>
              <w:jc w:val="right"/>
              <w:ind w:right="255"/>
              <w:spacing w:after="0"/>
              <w:rPr>
                <w:sz w:val="20"/>
                <w:szCs w:val="20"/>
                <w:color w:val="auto"/>
              </w:rPr>
            </w:pPr>
            <w:r>
              <w:rPr>
                <w:rFonts w:ascii="Arial" w:cs="Arial" w:eastAsia="Arial" w:hAnsi="Arial"/>
                <w:sz w:val="17"/>
                <w:szCs w:val="17"/>
                <w:b w:val="1"/>
                <w:bCs w:val="1"/>
                <w:color w:val="auto"/>
              </w:rPr>
              <w:t>May 1, 2020</w:t>
            </w:r>
          </w:p>
        </w:tc>
        <w:tc>
          <w:tcPr>
            <w:tcW w:w="280" w:type="dxa"/>
            <w:vAlign w:val="bottom"/>
          </w:tcPr>
          <w:p>
            <w:pPr>
              <w:spacing w:after="0"/>
              <w:rPr>
                <w:sz w:val="20"/>
                <w:szCs w:val="20"/>
                <w:color w:val="auto"/>
              </w:rPr>
            </w:pPr>
          </w:p>
        </w:tc>
        <w:tc>
          <w:tcPr>
            <w:tcW w:w="1380" w:type="dxa"/>
            <w:vAlign w:val="bottom"/>
          </w:tcPr>
          <w:p>
            <w:pPr>
              <w:jc w:val="right"/>
              <w:ind w:right="295"/>
              <w:spacing w:after="0"/>
              <w:rPr>
                <w:sz w:val="20"/>
                <w:szCs w:val="20"/>
                <w:color w:val="auto"/>
              </w:rPr>
            </w:pPr>
            <w:r>
              <w:rPr>
                <w:rFonts w:ascii="Arial" w:cs="Arial" w:eastAsia="Arial" w:hAnsi="Arial"/>
                <w:sz w:val="17"/>
                <w:szCs w:val="17"/>
                <w:b w:val="1"/>
                <w:bCs w:val="1"/>
                <w:color w:val="auto"/>
              </w:rPr>
              <w:t>May 3, 2019</w:t>
            </w:r>
          </w:p>
        </w:tc>
        <w:tc>
          <w:tcPr>
            <w:tcW w:w="260" w:type="dxa"/>
            <w:vAlign w:val="bottom"/>
          </w:tcPr>
          <w:p>
            <w:pPr>
              <w:spacing w:after="0"/>
              <w:rPr>
                <w:sz w:val="20"/>
                <w:szCs w:val="20"/>
                <w:color w:val="auto"/>
              </w:rPr>
            </w:pPr>
          </w:p>
        </w:tc>
        <w:tc>
          <w:tcPr>
            <w:tcW w:w="1320" w:type="dxa"/>
            <w:vAlign w:val="bottom"/>
          </w:tcPr>
          <w:p>
            <w:pPr>
              <w:jc w:val="right"/>
              <w:ind w:right="255"/>
              <w:spacing w:after="0"/>
              <w:rPr>
                <w:sz w:val="20"/>
                <w:szCs w:val="20"/>
                <w:color w:val="auto"/>
              </w:rPr>
            </w:pPr>
            <w:r>
              <w:rPr>
                <w:rFonts w:ascii="Arial" w:cs="Arial" w:eastAsia="Arial" w:hAnsi="Arial"/>
                <w:sz w:val="17"/>
                <w:szCs w:val="17"/>
                <w:b w:val="1"/>
                <w:bCs w:val="1"/>
                <w:color w:val="auto"/>
              </w:rPr>
              <w:t>May 1, 2020</w:t>
            </w:r>
          </w:p>
        </w:tc>
        <w:tc>
          <w:tcPr>
            <w:tcW w:w="280" w:type="dxa"/>
            <w:vAlign w:val="bottom"/>
          </w:tcPr>
          <w:p>
            <w:pPr>
              <w:spacing w:after="0"/>
              <w:rPr>
                <w:sz w:val="20"/>
                <w:szCs w:val="20"/>
                <w:color w:val="auto"/>
              </w:rPr>
            </w:pPr>
          </w:p>
        </w:tc>
        <w:tc>
          <w:tcPr>
            <w:tcW w:w="1320" w:type="dxa"/>
            <w:vAlign w:val="bottom"/>
          </w:tcPr>
          <w:p>
            <w:pPr>
              <w:jc w:val="right"/>
              <w:ind w:right="235"/>
              <w:spacing w:after="0"/>
              <w:rPr>
                <w:sz w:val="20"/>
                <w:szCs w:val="20"/>
                <w:color w:val="auto"/>
              </w:rPr>
            </w:pPr>
            <w:r>
              <w:rPr>
                <w:rFonts w:ascii="Arial" w:cs="Arial" w:eastAsia="Arial" w:hAnsi="Arial"/>
                <w:sz w:val="17"/>
                <w:szCs w:val="17"/>
                <w:b w:val="1"/>
                <w:bCs w:val="1"/>
                <w:color w:val="auto"/>
              </w:rPr>
              <w:t>May 3, 2019</w:t>
            </w:r>
          </w:p>
        </w:tc>
      </w:tr>
      <w:tr>
        <w:trPr>
          <w:trHeight w:val="31"/>
        </w:trPr>
        <w:tc>
          <w:tcPr>
            <w:tcW w:w="3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Diluted EPS</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0.91</w:t>
            </w:r>
          </w:p>
        </w:tc>
        <w:tc>
          <w:tcPr>
            <w:tcW w:w="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7"/>
                <w:szCs w:val="17"/>
                <w:color w:val="auto"/>
              </w:rPr>
              <w:t>1.07</w:t>
            </w:r>
          </w:p>
        </w:tc>
        <w:tc>
          <w:tcPr>
            <w:tcW w:w="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1.55</w:t>
            </w:r>
          </w:p>
        </w:tc>
        <w:tc>
          <w:tcPr>
            <w:tcW w:w="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1.62</w:t>
            </w:r>
          </w:p>
        </w:tc>
      </w:tr>
      <w:tr>
        <w:trPr>
          <w:trHeight w:val="270"/>
        </w:trPr>
        <w:tc>
          <w:tcPr>
            <w:tcW w:w="3960" w:type="dxa"/>
            <w:vAlign w:val="bottom"/>
          </w:tcPr>
          <w:p>
            <w:pPr>
              <w:ind w:left="180"/>
              <w:spacing w:after="0" w:line="270"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8"/>
                <w:szCs w:val="28"/>
                <w:color w:val="auto"/>
                <w:vertAlign w:val="superscript"/>
              </w:rPr>
              <w:t>1</w:t>
            </w:r>
          </w:p>
        </w:tc>
        <w:tc>
          <w:tcPr>
            <w:tcW w:w="1120" w:type="dxa"/>
            <w:vAlign w:val="bottom"/>
          </w:tcPr>
          <w:p>
            <w:pPr>
              <w:spacing w:after="0"/>
              <w:rPr>
                <w:sz w:val="23"/>
                <w:szCs w:val="23"/>
                <w:color w:val="auto"/>
              </w:rPr>
            </w:pPr>
          </w:p>
        </w:tc>
        <w:tc>
          <w:tcPr>
            <w:tcW w:w="1320" w:type="dxa"/>
            <w:vAlign w:val="bottom"/>
          </w:tcPr>
          <w:p>
            <w:pPr>
              <w:jc w:val="right"/>
              <w:ind w:right="135"/>
              <w:spacing w:after="0"/>
              <w:rPr>
                <w:sz w:val="20"/>
                <w:szCs w:val="20"/>
                <w:color w:val="auto"/>
              </w:rPr>
            </w:pPr>
            <w:r>
              <w:rPr>
                <w:rFonts w:ascii="Arial" w:cs="Arial" w:eastAsia="Arial" w:hAnsi="Arial"/>
                <w:sz w:val="17"/>
                <w:szCs w:val="17"/>
                <w:color w:val="auto"/>
              </w:rPr>
              <w:t>0.02</w:t>
            </w:r>
          </w:p>
        </w:tc>
        <w:tc>
          <w:tcPr>
            <w:tcW w:w="280" w:type="dxa"/>
            <w:vAlign w:val="bottom"/>
          </w:tcPr>
          <w:p>
            <w:pPr>
              <w:spacing w:after="0"/>
              <w:rPr>
                <w:sz w:val="23"/>
                <w:szCs w:val="23"/>
                <w:color w:val="auto"/>
              </w:rPr>
            </w:pPr>
          </w:p>
        </w:tc>
        <w:tc>
          <w:tcPr>
            <w:tcW w:w="1380" w:type="dxa"/>
            <w:vAlign w:val="bottom"/>
          </w:tcPr>
          <w:p>
            <w:pPr>
              <w:jc w:val="right"/>
              <w:ind w:right="195"/>
              <w:spacing w:after="0"/>
              <w:rPr>
                <w:sz w:val="20"/>
                <w:szCs w:val="20"/>
                <w:color w:val="auto"/>
              </w:rPr>
            </w:pPr>
            <w:r>
              <w:rPr>
                <w:rFonts w:ascii="Arial" w:cs="Arial" w:eastAsia="Arial" w:hAnsi="Arial"/>
                <w:sz w:val="17"/>
                <w:szCs w:val="17"/>
                <w:color w:val="auto"/>
              </w:rPr>
              <w:t>0.15</w:t>
            </w:r>
          </w:p>
        </w:tc>
        <w:tc>
          <w:tcPr>
            <w:tcW w:w="260" w:type="dxa"/>
            <w:vAlign w:val="bottom"/>
          </w:tcPr>
          <w:p>
            <w:pPr>
              <w:spacing w:after="0"/>
              <w:rPr>
                <w:sz w:val="23"/>
                <w:szCs w:val="23"/>
                <w:color w:val="auto"/>
              </w:rPr>
            </w:pPr>
          </w:p>
        </w:tc>
        <w:tc>
          <w:tcPr>
            <w:tcW w:w="1320" w:type="dxa"/>
            <w:vAlign w:val="bottom"/>
          </w:tcPr>
          <w:p>
            <w:pPr>
              <w:jc w:val="right"/>
              <w:ind w:right="135"/>
              <w:spacing w:after="0"/>
              <w:rPr>
                <w:sz w:val="20"/>
                <w:szCs w:val="20"/>
                <w:color w:val="auto"/>
              </w:rPr>
            </w:pPr>
            <w:r>
              <w:rPr>
                <w:rFonts w:ascii="Arial" w:cs="Arial" w:eastAsia="Arial" w:hAnsi="Arial"/>
                <w:sz w:val="17"/>
                <w:szCs w:val="17"/>
                <w:color w:val="auto"/>
              </w:rPr>
              <w:t>0.04</w:t>
            </w:r>
          </w:p>
        </w:tc>
        <w:tc>
          <w:tcPr>
            <w:tcW w:w="280" w:type="dxa"/>
            <w:vAlign w:val="bottom"/>
          </w:tcPr>
          <w:p>
            <w:pPr>
              <w:spacing w:after="0"/>
              <w:rPr>
                <w:sz w:val="23"/>
                <w:szCs w:val="23"/>
                <w:color w:val="auto"/>
              </w:rPr>
            </w:pPr>
          </w:p>
        </w:tc>
        <w:tc>
          <w:tcPr>
            <w:tcW w:w="1320" w:type="dxa"/>
            <w:vAlign w:val="bottom"/>
          </w:tcPr>
          <w:p>
            <w:pPr>
              <w:jc w:val="right"/>
              <w:ind w:right="135"/>
              <w:spacing w:after="0"/>
              <w:rPr>
                <w:sz w:val="20"/>
                <w:szCs w:val="20"/>
                <w:color w:val="auto"/>
              </w:rPr>
            </w:pPr>
            <w:r>
              <w:rPr>
                <w:rFonts w:ascii="Arial" w:cs="Arial" w:eastAsia="Arial" w:hAnsi="Arial"/>
                <w:sz w:val="17"/>
                <w:szCs w:val="17"/>
                <w:color w:val="auto"/>
              </w:rPr>
              <w:t>0.17</w:t>
            </w:r>
          </w:p>
        </w:tc>
      </w:tr>
      <w:tr>
        <w:trPr>
          <w:trHeight w:val="270"/>
        </w:trPr>
        <w:tc>
          <w:tcPr>
            <w:tcW w:w="3960" w:type="dxa"/>
            <w:vAlign w:val="bottom"/>
            <w:tcBorders>
              <w:bottom w:val="single" w:sz="8" w:color="auto"/>
            </w:tcBorders>
            <w:shd w:val="clear" w:color="auto" w:fill="CCEEFF"/>
          </w:tcPr>
          <w:p>
            <w:pPr>
              <w:ind w:left="180"/>
              <w:spacing w:after="0" w:line="270" w:lineRule="exact"/>
              <w:rPr>
                <w:sz w:val="20"/>
                <w:szCs w:val="20"/>
                <w:color w:val="auto"/>
              </w:rPr>
            </w:pPr>
            <w:r>
              <w:rPr>
                <w:rFonts w:ascii="Arial" w:cs="Arial" w:eastAsia="Arial" w:hAnsi="Arial"/>
                <w:sz w:val="17"/>
                <w:szCs w:val="17"/>
                <w:color w:val="auto"/>
              </w:rPr>
              <w:t>Tax impact of share-based compensation</w:t>
            </w:r>
            <w:r>
              <w:rPr>
                <w:rFonts w:ascii="Arial" w:cs="Arial" w:eastAsia="Arial" w:hAnsi="Arial"/>
                <w:sz w:val="28"/>
                <w:szCs w:val="28"/>
                <w:color w:val="auto"/>
                <w:vertAlign w:val="superscript"/>
              </w:rPr>
              <w:t>3</w:t>
            </w:r>
          </w:p>
        </w:tc>
        <w:tc>
          <w:tcPr>
            <w:tcW w:w="11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(0.01)</w:t>
            </w:r>
          </w:p>
        </w:tc>
        <w:tc>
          <w:tcPr>
            <w:tcW w:w="28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(0.05)</w:t>
            </w:r>
          </w:p>
        </w:tc>
        <w:tc>
          <w:tcPr>
            <w:tcW w:w="2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(0.03)</w:t>
            </w: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(0.10)</w:t>
            </w:r>
          </w:p>
        </w:tc>
      </w:tr>
      <w:tr>
        <w:trPr>
          <w:trHeight w:val="233"/>
        </w:trPr>
        <w:tc>
          <w:tcPr>
            <w:tcW w:w="3960" w:type="dxa"/>
            <w:vAlign w:val="bottom"/>
          </w:tcPr>
          <w:p>
            <w:pPr>
              <w:ind w:left="40"/>
              <w:spacing w:after="0"/>
              <w:rPr>
                <w:sz w:val="20"/>
                <w:szCs w:val="20"/>
                <w:color w:val="auto"/>
              </w:rPr>
            </w:pPr>
            <w:r>
              <w:rPr>
                <w:rFonts w:ascii="Arial" w:cs="Arial" w:eastAsia="Arial" w:hAnsi="Arial"/>
                <w:sz w:val="17"/>
                <w:szCs w:val="17"/>
                <w:color w:val="auto"/>
              </w:rPr>
              <w:t>Non-GAAP diluted EPS</w:t>
            </w: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135"/>
              <w:spacing w:after="0"/>
              <w:rPr>
                <w:sz w:val="20"/>
                <w:szCs w:val="20"/>
                <w:color w:val="auto"/>
              </w:rPr>
            </w:pPr>
            <w:r>
              <w:rPr>
                <w:rFonts w:ascii="Arial" w:cs="Arial" w:eastAsia="Arial" w:hAnsi="Arial"/>
                <w:sz w:val="17"/>
                <w:szCs w:val="17"/>
                <w:color w:val="auto"/>
              </w:rPr>
              <w:t>0.92</w:t>
            </w:r>
          </w:p>
        </w:tc>
        <w:tc>
          <w:tcPr>
            <w:tcW w:w="2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195"/>
              <w:spacing w:after="0"/>
              <w:rPr>
                <w:sz w:val="20"/>
                <w:szCs w:val="20"/>
                <w:color w:val="auto"/>
              </w:rPr>
            </w:pPr>
            <w:r>
              <w:rPr>
                <w:rFonts w:ascii="Arial" w:cs="Arial" w:eastAsia="Arial" w:hAnsi="Arial"/>
                <w:sz w:val="17"/>
                <w:szCs w:val="17"/>
                <w:color w:val="auto"/>
              </w:rPr>
              <w:t>1.17</w:t>
            </w:r>
          </w:p>
        </w:tc>
        <w:tc>
          <w:tcPr>
            <w:tcW w:w="2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135"/>
              <w:spacing w:after="0"/>
              <w:rPr>
                <w:sz w:val="20"/>
                <w:szCs w:val="20"/>
                <w:color w:val="auto"/>
              </w:rPr>
            </w:pPr>
            <w:r>
              <w:rPr>
                <w:rFonts w:ascii="Arial" w:cs="Arial" w:eastAsia="Arial" w:hAnsi="Arial"/>
                <w:sz w:val="17"/>
                <w:szCs w:val="17"/>
                <w:color w:val="auto"/>
              </w:rPr>
              <w:t>1.56</w:t>
            </w:r>
          </w:p>
        </w:tc>
        <w:tc>
          <w:tcPr>
            <w:tcW w:w="2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135"/>
              <w:spacing w:after="0"/>
              <w:rPr>
                <w:sz w:val="20"/>
                <w:szCs w:val="20"/>
                <w:color w:val="auto"/>
              </w:rPr>
            </w:pPr>
            <w:r>
              <w:rPr>
                <w:rFonts w:ascii="Arial" w:cs="Arial" w:eastAsia="Arial" w:hAnsi="Arial"/>
                <w:sz w:val="17"/>
                <w:szCs w:val="17"/>
                <w:color w:val="auto"/>
              </w:rPr>
              <w:t>1.69</w:t>
            </w:r>
          </w:p>
        </w:tc>
      </w:tr>
      <w:tr>
        <w:trPr>
          <w:trHeight w:val="31"/>
        </w:trPr>
        <w:tc>
          <w:tcPr>
            <w:tcW w:w="3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39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449"/>
        </w:trPr>
        <w:tc>
          <w:tcPr>
            <w:tcW w:w="3960" w:type="dxa"/>
            <w:vAlign w:val="bottom"/>
          </w:tcPr>
          <w:p>
            <w:pPr>
              <w:ind w:left="40"/>
              <w:spacing w:after="0"/>
              <w:rPr>
                <w:sz w:val="20"/>
                <w:szCs w:val="20"/>
                <w:color w:val="auto"/>
              </w:rPr>
            </w:pPr>
            <w:r>
              <w:rPr>
                <w:rFonts w:ascii="Arial" w:cs="Arial" w:eastAsia="Arial" w:hAnsi="Arial"/>
                <w:sz w:val="17"/>
                <w:szCs w:val="17"/>
                <w:color w:val="auto"/>
              </w:rPr>
              <w:t>Effective tax rate</w:t>
            </w:r>
          </w:p>
        </w:tc>
        <w:tc>
          <w:tcPr>
            <w:tcW w:w="1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18.9%</w:t>
            </w:r>
          </w:p>
        </w:tc>
        <w:tc>
          <w:tcPr>
            <w:tcW w:w="280" w:type="dxa"/>
            <w:vAlign w:val="bottom"/>
          </w:tcPr>
          <w:p>
            <w:pPr>
              <w:spacing w:after="0"/>
              <w:rPr>
                <w:sz w:val="24"/>
                <w:szCs w:val="24"/>
                <w:color w:val="auto"/>
              </w:rPr>
            </w:pPr>
          </w:p>
        </w:tc>
        <w:tc>
          <w:tcPr>
            <w:tcW w:w="1380" w:type="dxa"/>
            <w:vAlign w:val="bottom"/>
          </w:tcPr>
          <w:p>
            <w:pPr>
              <w:jc w:val="right"/>
              <w:ind w:right="15"/>
              <w:spacing w:after="0"/>
              <w:rPr>
                <w:sz w:val="20"/>
                <w:szCs w:val="20"/>
                <w:color w:val="auto"/>
              </w:rPr>
            </w:pPr>
            <w:r>
              <w:rPr>
                <w:rFonts w:ascii="Arial" w:cs="Arial" w:eastAsia="Arial" w:hAnsi="Arial"/>
                <w:sz w:val="17"/>
                <w:szCs w:val="17"/>
                <w:color w:val="auto"/>
              </w:rPr>
              <w:t>15.8 %</w:t>
            </w:r>
          </w:p>
        </w:tc>
        <w:tc>
          <w:tcPr>
            <w:tcW w:w="2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18.8%</w:t>
            </w:r>
          </w:p>
        </w:tc>
        <w:tc>
          <w:tcPr>
            <w:tcW w:w="2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15.5 %</w:t>
            </w:r>
          </w:p>
        </w:tc>
      </w:tr>
      <w:tr>
        <w:trPr>
          <w:trHeight w:val="31"/>
        </w:trPr>
        <w:tc>
          <w:tcPr>
            <w:tcW w:w="3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3960" w:type="dxa"/>
            <w:vAlign w:val="bottom"/>
            <w:shd w:val="clear" w:color="auto" w:fill="CCEEFF"/>
          </w:tcPr>
          <w:p>
            <w:pPr>
              <w:ind w:left="180"/>
              <w:spacing w:after="0" w:line="270"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8"/>
                <w:szCs w:val="28"/>
                <w:color w:val="auto"/>
                <w:vertAlign w:val="superscript"/>
              </w:rPr>
              <w:t>1</w:t>
            </w:r>
          </w:p>
        </w:tc>
        <w:tc>
          <w:tcPr>
            <w:tcW w:w="1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(0.2)%</w:t>
            </w: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r>
      <w:tr>
        <w:trPr>
          <w:trHeight w:val="270"/>
        </w:trPr>
        <w:tc>
          <w:tcPr>
            <w:tcW w:w="3960" w:type="dxa"/>
            <w:vAlign w:val="bottom"/>
            <w:tcBorders>
              <w:bottom w:val="single" w:sz="8" w:color="auto"/>
            </w:tcBorders>
          </w:tcPr>
          <w:p>
            <w:pPr>
              <w:ind w:left="180"/>
              <w:spacing w:after="0" w:line="270" w:lineRule="exact"/>
              <w:rPr>
                <w:sz w:val="20"/>
                <w:szCs w:val="20"/>
                <w:color w:val="auto"/>
              </w:rPr>
            </w:pPr>
            <w:r>
              <w:rPr>
                <w:rFonts w:ascii="Arial" w:cs="Arial" w:eastAsia="Arial" w:hAnsi="Arial"/>
                <w:sz w:val="17"/>
                <w:szCs w:val="17"/>
                <w:color w:val="auto"/>
              </w:rPr>
              <w:t>Tax impact of share-based compensation</w:t>
            </w:r>
            <w:r>
              <w:rPr>
                <w:rFonts w:ascii="Arial" w:cs="Arial" w:eastAsia="Arial" w:hAnsi="Arial"/>
                <w:sz w:val="28"/>
                <w:szCs w:val="28"/>
                <w:color w:val="auto"/>
                <w:vertAlign w:val="superscript"/>
              </w:rPr>
              <w:t>3</w:t>
            </w:r>
          </w:p>
        </w:tc>
        <w:tc>
          <w:tcPr>
            <w:tcW w:w="11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28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4.3 %</w:t>
            </w:r>
          </w:p>
        </w:tc>
        <w:tc>
          <w:tcPr>
            <w:tcW w:w="2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2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5.0 %</w:t>
            </w:r>
          </w:p>
        </w:tc>
      </w:tr>
      <w:tr>
        <w:trPr>
          <w:trHeight w:val="268"/>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Non-GAAP effective tax rate</w:t>
            </w:r>
          </w:p>
        </w:tc>
        <w:tc>
          <w:tcPr>
            <w:tcW w:w="1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2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19.9 %</w:t>
            </w: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20.4%</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20.2 %</w:t>
            </w:r>
          </w:p>
        </w:tc>
      </w:tr>
      <w:tr>
        <w:trPr>
          <w:trHeight w:val="20"/>
        </w:trPr>
        <w:tc>
          <w:tcPr>
            <w:tcW w:w="39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jc w:val="both"/>
        <w:ind w:left="340" w:hanging="170"/>
        <w:spacing w:after="0"/>
        <w:tabs>
          <w:tab w:leader="none" w:pos="340" w:val="left"/>
        </w:tabs>
        <w:numPr>
          <w:ilvl w:val="0"/>
          <w:numId w:val="9"/>
        </w:numPr>
        <w:rPr>
          <w:rFonts w:ascii="Arial" w:cs="Arial" w:eastAsia="Arial" w:hAnsi="Arial"/>
          <w:sz w:val="23"/>
          <w:szCs w:val="23"/>
          <w:color w:val="auto"/>
          <w:vertAlign w:val="superscript"/>
        </w:rPr>
      </w:pPr>
      <w:r>
        <w:rPr>
          <w:rFonts w:ascii="Arial" w:cs="Arial" w:eastAsia="Arial" w:hAnsi="Arial"/>
          <w:sz w:val="14"/>
          <w:szCs w:val="14"/>
          <w:color w:val="auto"/>
        </w:rPr>
        <w:t>On March 2, 2020, the company completed the acquisition of Venture Products, Inc. ("Venture Products"), a privately held Ohio corporation. During the second quarter of fiscal 2019, the company acquired The Charles Machine Works, Inc. ("CMW"). Acquisition-related costs for the three and six month periods ended May 1, 2020 represent transaction costs incurred for the acquisition of Venture Products, as well as integration costs and charges incurred for the take-down of the inventory fair value step-up amounts resulting from purchase accounting adjustments related to the acquisitions of Venture Products and CMW. Acquisition-related costs for the three and six month periods ended May 3, 2019 represent transaction and integration costs, as well as charges incurred for the take-down of the inventory fair value step-up amount and amortization of the backlog intangible asset resulting from purchase accounting adjustments related to the acquisition of CMW.</w:t>
      </w:r>
    </w:p>
    <w:p>
      <w:pPr>
        <w:spacing w:after="0" w:line="200" w:lineRule="exact"/>
        <w:rPr>
          <w:sz w:val="20"/>
          <w:szCs w:val="20"/>
          <w:color w:val="auto"/>
        </w:rPr>
      </w:pPr>
    </w:p>
    <w:p>
      <w:pPr>
        <w:jc w:val="both"/>
        <w:ind w:left="340" w:hanging="170"/>
        <w:spacing w:after="0" w:line="206" w:lineRule="auto"/>
        <w:tabs>
          <w:tab w:leader="none" w:pos="340" w:val="left"/>
        </w:tabs>
        <w:numPr>
          <w:ilvl w:val="0"/>
          <w:numId w:val="10"/>
        </w:numPr>
        <w:rPr>
          <w:rFonts w:ascii="Arial" w:cs="Arial" w:eastAsia="Arial" w:hAnsi="Arial"/>
          <w:sz w:val="25"/>
          <w:szCs w:val="25"/>
          <w:color w:val="auto"/>
          <w:vertAlign w:val="superscript"/>
        </w:rPr>
      </w:pPr>
      <w:r>
        <w:rPr>
          <w:rFonts w:ascii="Arial" w:cs="Arial" w:eastAsia="Arial" w:hAnsi="Arial"/>
          <w:sz w:val="15"/>
          <w:szCs w:val="15"/>
          <w:color w:val="auto"/>
        </w:rPr>
        <w:t>During the third quarter of fiscal 2019, the company announced the wind down of its Toro-branded large horizontal directional drill and riding trencher product line ("Toro underground wind down"). Management actions represent inventory write-down charges incurred during the three and six month periods ended May 1, 2020 for the Toro underground wind down.</w:t>
      </w:r>
    </w:p>
    <w:p>
      <w:pPr>
        <w:spacing w:after="0" w:line="200" w:lineRule="exact"/>
        <w:rPr>
          <w:sz w:val="20"/>
          <w:szCs w:val="20"/>
          <w:color w:val="auto"/>
        </w:rPr>
      </w:pPr>
    </w:p>
    <w:p>
      <w:pPr>
        <w:jc w:val="both"/>
        <w:ind w:left="340" w:hanging="170"/>
        <w:spacing w:after="0" w:line="242" w:lineRule="auto"/>
        <w:tabs>
          <w:tab w:leader="none" w:pos="340" w:val="left"/>
        </w:tabs>
        <w:numPr>
          <w:ilvl w:val="0"/>
          <w:numId w:val="11"/>
        </w:numPr>
        <w:rPr>
          <w:rFonts w:ascii="Arial" w:cs="Arial" w:eastAsia="Arial" w:hAnsi="Arial"/>
          <w:sz w:val="21"/>
          <w:szCs w:val="21"/>
          <w:color w:val="auto"/>
          <w:vertAlign w:val="superscript"/>
        </w:rPr>
      </w:pPr>
      <w:r>
        <w:rPr>
          <w:rFonts w:ascii="Arial" w:cs="Arial" w:eastAsia="Arial" w:hAnsi="Arial"/>
          <w:sz w:val="13"/>
          <w:szCs w:val="13"/>
          <w:color w:val="auto"/>
        </w:rPr>
        <w:t xml:space="preserve">In the first quarter of fiscal 2017, the company adopted Accounting Standards Update No. 2016-09, </w:t>
      </w:r>
      <w:r>
        <w:rPr>
          <w:rFonts w:ascii="Arial" w:cs="Arial" w:eastAsia="Arial" w:hAnsi="Arial"/>
          <w:sz w:val="13"/>
          <w:szCs w:val="13"/>
          <w:i w:val="1"/>
          <w:iCs w:val="1"/>
          <w:color w:val="auto"/>
        </w:rPr>
        <w:t>Stock-based Compensation: Improvements to Employee Share-based</w:t>
      </w:r>
      <w:r>
        <w:rPr>
          <w:rFonts w:ascii="Arial" w:cs="Arial" w:eastAsia="Arial" w:hAnsi="Arial"/>
          <w:sz w:val="13"/>
          <w:szCs w:val="13"/>
          <w:color w:val="auto"/>
        </w:rPr>
        <w:t xml:space="preserve"> </w:t>
      </w:r>
      <w:r>
        <w:rPr>
          <w:rFonts w:ascii="Arial" w:cs="Arial" w:eastAsia="Arial" w:hAnsi="Arial"/>
          <w:sz w:val="13"/>
          <w:szCs w:val="13"/>
          <w:i w:val="1"/>
          <w:iCs w:val="1"/>
          <w:color w:val="auto"/>
        </w:rPr>
        <w:t>Payment Accounting</w:t>
      </w:r>
      <w:r>
        <w:rPr>
          <w:rFonts w:ascii="Arial" w:cs="Arial" w:eastAsia="Arial" w:hAnsi="Arial"/>
          <w:sz w:val="13"/>
          <w:szCs w:val="13"/>
          <w:color w:val="auto"/>
        </w:rPr>
        <w:t>, which requires that any excess tax deduction for share-based compensation be immediately recorded within income tax expense. These amounts represent</w:t>
      </w:r>
      <w:r>
        <w:rPr>
          <w:rFonts w:ascii="Arial" w:cs="Arial" w:eastAsia="Arial" w:hAnsi="Arial"/>
          <w:sz w:val="13"/>
          <w:szCs w:val="13"/>
          <w:i w:val="1"/>
          <w:iCs w:val="1"/>
          <w:color w:val="auto"/>
        </w:rPr>
        <w:t xml:space="preserve"> </w:t>
      </w:r>
      <w:r>
        <w:rPr>
          <w:rFonts w:ascii="Arial" w:cs="Arial" w:eastAsia="Arial" w:hAnsi="Arial"/>
          <w:sz w:val="13"/>
          <w:szCs w:val="13"/>
          <w:color w:val="auto"/>
        </w:rPr>
        <w:t>the discrete tax benefits recorded as excess tax deductions for share-based compensation during the three and six month periods ended May 1, 2020 and May 3, 2019.</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t>
      </w:r>
    </w:p>
    <w:sectPr>
      <w:pgSz w:w="11900" w:h="16838" w:orient="portrait"/>
      <w:cols w:equalWidth="0" w:num="1">
        <w:col w:w="11240"/>
      </w:cols>
      <w:pgMar w:left="320" w:top="6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952"/>
    </w:lvl>
  </w:abstractNum>
  <w:abstractNum w:abstractNumId="2">
    <w:nsid w:val="41B71EFB"/>
    <w:multiLevelType w:val="hybridMultilevel"/>
    <w:lvl w:ilvl="0">
      <w:lvlJc w:val="left"/>
      <w:lvlText w:val="(%1)"/>
      <w:numFmt w:val="decimal"/>
      <w:start w:val="952"/>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bullet"/>
      <w:start w:val="1"/>
    </w:lvl>
  </w:abstractNum>
  <w:abstractNum w:abstractNumId="9">
    <w:nsid w:val="216231B"/>
    <w:multiLevelType w:val="hybridMultilevel"/>
    <w:lvl w:ilvl="0">
      <w:lvlJc w:val="left"/>
      <w:lvlText w:val="2"/>
      <w:numFmt w:val="bullet"/>
      <w:start w:val="1"/>
    </w:lvl>
  </w:abstractNum>
  <w:abstractNum w:abstractNumId="10">
    <w:nsid w:val="1F16E9E8"/>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2020-06-04T07:41:20Z</dcterms:created>
  <dcterms:modified xsi:type="dcterms:W3CDTF">2020-06-04T07:41:20Z</dcterms:modified>
</cp:coreProperties>
</file>