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102870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134620</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112395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p>
      <w:pPr>
        <w:spacing w:after="0" w:line="307"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54" w:lineRule="exact"/>
        <w:rPr>
          <w:sz w:val="24"/>
          <w:szCs w:val="24"/>
          <w:color w:val="auto"/>
        </w:rPr>
      </w:pPr>
    </w:p>
    <w:p>
      <w:pPr>
        <w:sectPr>
          <w:pgSz w:w="11900" w:h="16838" w:orient="portrait"/>
          <w:cols w:equalWidth="0" w:num="3">
            <w:col w:w="4640" w:space="720"/>
            <w:col w:w="2660" w:space="720"/>
            <w:col w:w="2500"/>
          </w:cols>
          <w:pgMar w:left="320" w:top="1282" w:right="339" w:bottom="1440" w:gutter="0" w:footer="0" w:header="0"/>
          <w:type w:val="continuous"/>
        </w:sectPr>
      </w:pPr>
    </w:p>
    <w:p>
      <w:pPr>
        <w:ind w:left="62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000" w:space="720"/>
            <w:col w:w="2560" w:space="720"/>
            <w:col w:w="3240"/>
          </w:cols>
          <w:pgMar w:left="320" w:top="1282"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8111 Lyndale Avenue South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Bloomington, Minnesota 55420-1196</w:t>
      </w:r>
    </w:p>
    <w:p>
      <w:pPr>
        <w:jc w:val="center"/>
        <w:spacing w:after="0"/>
        <w:rPr>
          <w:sz w:val="20"/>
          <w:szCs w:val="20"/>
          <w:color w:val="auto"/>
        </w:rPr>
      </w:pPr>
      <w:r>
        <w:rPr>
          <w:rFonts w:ascii="Arial" w:cs="Arial" w:eastAsia="Arial" w:hAnsi="Arial"/>
          <w:sz w:val="20"/>
          <w:szCs w:val="20"/>
          <w:b w:val="1"/>
          <w:bCs w:val="1"/>
          <w:color w:val="auto"/>
        </w:rPr>
        <w:t>Telephone number: (952) 888-8801</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112395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50" w:type="dxa"/>
        <w:tblCellMar>
          <w:top w:w="0" w:type="dxa"/>
          <w:left w:w="0" w:type="dxa"/>
          <w:bottom w:w="0" w:type="dxa"/>
          <w:right w:w="0" w:type="dxa"/>
        </w:tblCellMar>
      </w:tblPr>
      <w:tr>
        <w:trPr>
          <w:trHeight w:val="22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2" w:lineRule="exact"/>
        <w:rPr>
          <w:sz w:val="24"/>
          <w:szCs w:val="24"/>
          <w:color w:val="auto"/>
        </w:rPr>
      </w:pPr>
    </w:p>
    <w:p>
      <w:pPr>
        <w:jc w:val="both"/>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9" w:lineRule="exact"/>
        <w:rPr>
          <w:sz w:val="24"/>
          <w:szCs w:val="24"/>
          <w:color w:val="auto"/>
        </w:rPr>
      </w:pPr>
    </w:p>
    <w:p>
      <w:pPr>
        <w:jc w:val="both"/>
        <w:spacing w:after="0" w:line="24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On March 4, 2021, The Toro Company announced its earnings for the three month period ended January 29, 2021.</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00" w:type="dxa"/>
            <w:vAlign w:val="bottom"/>
          </w:tcPr>
          <w:p>
            <w:pPr>
              <w:spacing w:after="0"/>
              <w:rPr>
                <w:sz w:val="20"/>
                <w:szCs w:val="20"/>
                <w:color w:val="auto"/>
              </w:rPr>
            </w:pPr>
            <w:r>
              <w:rPr>
                <w:rFonts w:ascii="Arial" w:cs="Arial" w:eastAsia="Arial" w:hAnsi="Arial"/>
                <w:sz w:val="20"/>
                <w:szCs w:val="20"/>
                <w:color w:val="auto"/>
              </w:rPr>
              <w:t>(d)  Exhibits.</w:t>
            </w:r>
          </w:p>
        </w:tc>
        <w:tc>
          <w:tcPr>
            <w:tcW w:w="9440" w:type="dxa"/>
            <w:vAlign w:val="bottom"/>
          </w:tcPr>
          <w:p>
            <w:pPr>
              <w:spacing w:after="0"/>
              <w:rPr>
                <w:sz w:val="21"/>
                <w:szCs w:val="21"/>
                <w:color w:val="auto"/>
              </w:rPr>
            </w:pPr>
          </w:p>
        </w:tc>
      </w:tr>
      <w:tr>
        <w:trPr>
          <w:trHeight w:val="479"/>
        </w:trPr>
        <w:tc>
          <w:tcPr>
            <w:tcW w:w="180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9440" w:type="dxa"/>
            <w:vAlign w:val="bottom"/>
          </w:tcPr>
          <w:p>
            <w:pPr>
              <w:ind w:left="580"/>
              <w:spacing w:after="0"/>
              <w:rPr>
                <w:sz w:val="20"/>
                <w:szCs w:val="20"/>
                <w:color w:val="auto"/>
              </w:rPr>
            </w:pPr>
            <w:r>
              <w:rPr>
                <w:rFonts w:ascii="Arial" w:cs="Arial" w:eastAsia="Arial" w:hAnsi="Arial"/>
                <w:sz w:val="20"/>
                <w:szCs w:val="20"/>
                <w:b w:val="1"/>
                <w:bCs w:val="1"/>
                <w:color w:val="auto"/>
              </w:rPr>
              <w:t>Description</w:t>
            </w:r>
          </w:p>
        </w:tc>
      </w:tr>
      <w:tr>
        <w:trPr>
          <w:trHeight w:val="243"/>
        </w:trPr>
        <w:tc>
          <w:tcPr>
            <w:tcW w:w="1800" w:type="dxa"/>
            <w:vAlign w:val="bottom"/>
          </w:tcPr>
          <w:p>
            <w:pPr>
              <w:ind w:left="220"/>
              <w:spacing w:after="0"/>
              <w:rPr>
                <w:sz w:val="20"/>
                <w:szCs w:val="20"/>
                <w:color w:val="auto"/>
              </w:rPr>
            </w:pPr>
            <w:r>
              <w:rPr>
                <w:rFonts w:ascii="Arial" w:cs="Arial" w:eastAsia="Arial" w:hAnsi="Arial"/>
                <w:sz w:val="20"/>
                <w:szCs w:val="20"/>
                <w:color w:val="auto"/>
              </w:rPr>
              <w:t>99.1</w:t>
            </w:r>
          </w:p>
        </w:tc>
        <w:tc>
          <w:tcPr>
            <w:tcW w:w="9440" w:type="dxa"/>
            <w:vAlign w:val="bottom"/>
          </w:tcPr>
          <w:p>
            <w:pPr>
              <w:ind w:left="580"/>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Press release dated March 4, 2021 (furnished herewith).</w:t>
              </w:r>
            </w:hyperlink>
          </w:p>
        </w:tc>
      </w:tr>
      <w:tr>
        <w:trPr>
          <w:trHeight w:val="250"/>
        </w:trPr>
        <w:tc>
          <w:tcPr>
            <w:tcW w:w="1800" w:type="dxa"/>
            <w:vAlign w:val="bottom"/>
          </w:tcPr>
          <w:p>
            <w:pPr>
              <w:ind w:left="220"/>
              <w:spacing w:after="0"/>
              <w:rPr>
                <w:sz w:val="20"/>
                <w:szCs w:val="20"/>
                <w:color w:val="auto"/>
              </w:rPr>
            </w:pPr>
            <w:r>
              <w:rPr>
                <w:rFonts w:ascii="Arial" w:cs="Arial" w:eastAsia="Arial" w:hAnsi="Arial"/>
                <w:sz w:val="20"/>
                <w:szCs w:val="20"/>
                <w:color w:val="auto"/>
              </w:rPr>
              <w:t>104</w:t>
            </w:r>
          </w:p>
        </w:tc>
        <w:tc>
          <w:tcPr>
            <w:tcW w:w="9440" w:type="dxa"/>
            <w:vAlign w:val="bottom"/>
          </w:tcPr>
          <w:p>
            <w:pPr>
              <w:ind w:left="580"/>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THE TORO COMPANY</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(Registrant)</w:t>
            </w:r>
          </w:p>
        </w:tc>
      </w:tr>
      <w:tr>
        <w:trPr>
          <w:trHeight w:val="509"/>
        </w:trPr>
        <w:tc>
          <w:tcPr>
            <w:tcW w:w="6320" w:type="dxa"/>
            <w:vAlign w:val="bottom"/>
          </w:tcPr>
          <w:p>
            <w:pPr>
              <w:spacing w:after="0"/>
              <w:rPr>
                <w:sz w:val="20"/>
                <w:szCs w:val="20"/>
                <w:color w:val="auto"/>
              </w:rPr>
            </w:pPr>
            <w:r>
              <w:rPr>
                <w:rFonts w:ascii="Arial" w:cs="Arial" w:eastAsia="Arial" w:hAnsi="Arial"/>
                <w:sz w:val="20"/>
                <w:szCs w:val="20"/>
                <w:color w:val="auto"/>
              </w:rPr>
              <w:t>Date: March 4,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33"/>
        </w:trPr>
        <w:tc>
          <w:tcPr>
            <w:tcW w:w="63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Renee J. Peterson</w:t>
            </w:r>
          </w:p>
        </w:tc>
      </w:tr>
      <w:tr>
        <w:trPr>
          <w:trHeight w:val="192"/>
        </w:trPr>
        <w:tc>
          <w:tcPr>
            <w:tcW w:w="6320" w:type="dxa"/>
            <w:vAlign w:val="bottom"/>
          </w:tcPr>
          <w:p>
            <w:pPr>
              <w:spacing w:after="0"/>
              <w:rPr>
                <w:sz w:val="16"/>
                <w:szCs w:val="16"/>
                <w:color w:val="auto"/>
              </w:rPr>
            </w:pPr>
          </w:p>
        </w:tc>
        <w:tc>
          <w:tcPr>
            <w:tcW w:w="4860" w:type="dxa"/>
            <w:vAlign w:val="bottom"/>
          </w:tcPr>
          <w:p>
            <w:pPr>
              <w:spacing w:after="0" w:line="192" w:lineRule="exact"/>
              <w:rPr>
                <w:sz w:val="20"/>
                <w:szCs w:val="20"/>
                <w:color w:val="auto"/>
              </w:rPr>
            </w:pPr>
            <w:r>
              <w:rPr>
                <w:rFonts w:ascii="Arial" w:cs="Arial" w:eastAsia="Arial" w:hAnsi="Arial"/>
                <w:sz w:val="20"/>
                <w:szCs w:val="20"/>
                <w:color w:val="auto"/>
              </w:rPr>
              <w:t>Vice President, Treasurer and</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20"/>
          </w:cols>
          <w:pgMar w:left="320" w:top="892"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Managing 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Strong First-Quarter Fiscal 2021 Results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Professional Landscape Contractor Sales and Residential Snow Products Drive Performance</w:t>
      </w:r>
    </w:p>
    <w:p>
      <w:pPr>
        <w:spacing w:after="0" w:line="263" w:lineRule="exact"/>
        <w:rPr>
          <w:sz w:val="20"/>
          <w:szCs w:val="20"/>
          <w:color w:val="auto"/>
        </w:rPr>
      </w:pPr>
    </w:p>
    <w:p>
      <w:pPr>
        <w:ind w:left="660" w:right="14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of $873.0 million, up 13.7% year over year; Professional segment net sales up 9.3%, Residential segment net sales up 31.3%</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diluted EPS of $1.02; *Adjusted diluted EPS of $0.85, up 32.8%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Resumed share repurchases given strong cash position</w:t>
      </w:r>
    </w:p>
    <w:p>
      <w:pPr>
        <w:spacing w:after="0" w:line="205"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b w:val="1"/>
          <w:bCs w:val="1"/>
          <w:color w:val="auto"/>
        </w:rPr>
        <w:t>BLOOMINGTON, Minn.—(BUSINESS WIRE) — March 4, 2021—</w:t>
      </w:r>
      <w:r>
        <w:rPr>
          <w:rFonts w:ascii="Arial" w:cs="Arial" w:eastAsia="Arial" w:hAnsi="Arial"/>
          <w:sz w:val="20"/>
          <w:szCs w:val="20"/>
          <w:color w:val="auto"/>
        </w:rPr>
        <w:t>The Toro Company (NYSE: TTC) today reported results for</w:t>
      </w:r>
      <w:r>
        <w:rPr>
          <w:rFonts w:ascii="Arial" w:cs="Arial" w:eastAsia="Arial" w:hAnsi="Arial"/>
          <w:sz w:val="20"/>
          <w:szCs w:val="20"/>
          <w:b w:val="1"/>
          <w:bCs w:val="1"/>
          <w:color w:val="auto"/>
        </w:rPr>
        <w:t xml:space="preserve"> </w:t>
      </w:r>
      <w:r>
        <w:rPr>
          <w:rFonts w:ascii="Arial" w:cs="Arial" w:eastAsia="Arial" w:hAnsi="Arial"/>
          <w:sz w:val="20"/>
          <w:szCs w:val="20"/>
          <w:color w:val="auto"/>
        </w:rPr>
        <w:t>its fiscal first quarter ended January 29, 2021.</w:t>
      </w:r>
    </w:p>
    <w:p>
      <w:pPr>
        <w:spacing w:after="0" w:line="7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“We began fiscal 2021 with strong momentum across our professional and residential businesses,” said Richard M. Olson, chairman and chief executive officer. “This drove double-digit top-line growth in the current dynamic environment, primarily due to higher shipments of professional landscape contractor zero-turn riding mowers and robust retail demand for residential snow equipment and Flex-Force battery-powered products. Incremental sales from the Venture Products acquisition also contributed to first-quarter growth. We expanded profitability in the quarter by executing on our productivity initiatives and through disciplined cost management. We continued to provide innovative products that align with the needs of our customers, and invested in key technology areas including alternative power, smart connected and autonomous, to drive long-term sustainable growth. We are grateful to our team and channel partners for their perseverance in serving our customers while remaining focused on keeping each other safe.”</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2021 FINANCIAL HIGHLIGHTS</w:t>
      </w:r>
    </w:p>
    <w:p>
      <w:pPr>
        <w:spacing w:after="0" w:line="15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sales of $873.0 million, up 13.7% from $767.5 million in the first quarter of fiscal 2020.</w:t>
      </w:r>
    </w:p>
    <w:p>
      <w:pPr>
        <w:spacing w:after="0" w:line="148" w:lineRule="exact"/>
        <w:rPr>
          <w:rFonts w:ascii="Arial" w:cs="Arial" w:eastAsia="Arial" w:hAnsi="Arial"/>
          <w:sz w:val="20"/>
          <w:szCs w:val="20"/>
          <w:color w:val="auto"/>
        </w:rPr>
      </w:pPr>
    </w:p>
    <w:p>
      <w:pPr>
        <w:ind w:left="660" w:right="30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earnings of $111.3 million, up 58.8% from $70.1 million in the first quarter of fiscal 2020; *adjusted net earnings of $93.2 million, up 33.8% from $69.7 million in the first quarter of fiscal 2020.</w:t>
      </w:r>
    </w:p>
    <w:p>
      <w:pPr>
        <w:spacing w:after="0" w:line="122" w:lineRule="exact"/>
        <w:rPr>
          <w:rFonts w:ascii="Arial" w:cs="Arial" w:eastAsia="Arial" w:hAnsi="Arial"/>
          <w:sz w:val="20"/>
          <w:szCs w:val="20"/>
          <w:color w:val="auto"/>
        </w:rPr>
      </w:pPr>
    </w:p>
    <w:p>
      <w:pPr>
        <w:jc w:val="both"/>
        <w:ind w:left="660" w:right="660" w:hanging="328"/>
        <w:spacing w:after="0" w:line="272"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Reported EPS of $1.02 per diluted share, up 56.9% from $0.65 per diluted share in the first quarter of fiscal 2020; *adjusted EPS of $0.85 per diluted share, up 32.8% from $0.64 per diluted share in the first quarter of fiscal 2020.</w:t>
      </w:r>
    </w:p>
    <w:p>
      <w:pPr>
        <w:spacing w:after="0" w:line="112" w:lineRule="exact"/>
        <w:rPr>
          <w:rFonts w:ascii="Arial" w:cs="Arial" w:eastAsia="Arial" w:hAnsi="Arial"/>
          <w:sz w:val="19"/>
          <w:szCs w:val="19"/>
          <w:color w:val="auto"/>
        </w:rPr>
      </w:pPr>
    </w:p>
    <w:p>
      <w:pPr>
        <w:ind w:left="660" w:right="26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Deployed $90.0 million to pay down debt and returned $59.8 million to shareholders through regular dividends and the resumption of share repurchases; liquidity of approximately $1.0 billion as of January 29, 2021.</w:t>
      </w:r>
    </w:p>
    <w:p>
      <w:pPr>
        <w:sectPr>
          <w:pgSz w:w="11900" w:h="16838" w:orient="portrait"/>
          <w:cols w:equalWidth="0" w:num="1">
            <w:col w:w="11240"/>
          </w:cols>
          <w:pgMar w:left="320" w:top="144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2"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“Looking ahead to the remainder of the fiscal year, we are encouraged by continuing positive demand trends. As we enter the key selling season for many of our professional businesses, we are well positioned with our suite of new products to capitalize on the recovery occurring across core markets. We also expect to see ongoing retail demand for our innovative residential segment all-season product lineup. Our guidance is based on current visibility and certain potential effects of COVID-19. We are actively managing a dynamic supply chain and cost inflation environment. We intend to deliver profitable growth by focusing on our enterprise strategic priorities and the needs of our customers,” concluded Olson.</w:t>
      </w:r>
    </w:p>
    <w:p>
      <w:pPr>
        <w:spacing w:after="0" w:line="128"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The Company is reaffirming its full-year fiscal 2021 guidance of total net sales growth in the range of 6.0% to 8.0% and *adjusted EPS in the range of $3.35 to $3.45 per diluted share. The *adjusted diluted EPS guidance range excludes the benefit of the excess tax deduction for share-based compensation and the favorable one-time legal settlement in the first quarter of fiscal 2021.</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2" w:lineRule="exact"/>
        <w:rPr>
          <w:sz w:val="20"/>
          <w:szCs w:val="20"/>
          <w:color w:val="auto"/>
        </w:rPr>
      </w:pPr>
    </w:p>
    <w:p>
      <w:pPr>
        <w:ind w:left="660" w:right="80" w:hanging="328"/>
        <w:spacing w:after="0" w:line="244"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9"/>
          <w:szCs w:val="19"/>
          <w:color w:val="auto"/>
        </w:rPr>
        <w:t>Professional segment net sales for the first quarter were $650.2 million, up 9.3% compared with $594.7 million in the same period last year. The increase was primarily due to higher shipments of landscape contractor zero-turn riding mowers and incremental sales from the Venture Products acquisition, partially offset by decreased sales of underground construction equipment to oil and gas markets and timing of international shipments of golf and grounds equipment.</w:t>
      </w:r>
    </w:p>
    <w:p>
      <w:pPr>
        <w:spacing w:after="0" w:line="218" w:lineRule="exact"/>
        <w:rPr>
          <w:rFonts w:ascii="Arial" w:cs="Arial" w:eastAsia="Arial" w:hAnsi="Arial"/>
          <w:sz w:val="19"/>
          <w:szCs w:val="19"/>
          <w:color w:val="auto"/>
        </w:rPr>
      </w:pPr>
    </w:p>
    <w:p>
      <w:pPr>
        <w:ind w:left="660" w:right="160" w:hanging="328"/>
        <w:spacing w:after="0" w:line="23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$116.8 million, up 14.0% compared with $102.5 million in the same period last year, and when expressed as a percentage of net sales, up 80 basis points to 18.0% from 17.2%. The increase was primarily due to sales volume leverage and productivity and synergy initiatives, partially offset by manufacturing cost pressures and product mix.</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45" w:lineRule="exact"/>
        <w:rPr>
          <w:sz w:val="20"/>
          <w:szCs w:val="20"/>
          <w:color w:val="auto"/>
        </w:rPr>
      </w:pPr>
    </w:p>
    <w:p>
      <w:pPr>
        <w:ind w:left="660" w:right="420" w:hanging="328"/>
        <w:spacing w:after="0" w:line="23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$217.7 million, up 31.3% compared with $165.8 million in the same period last year. The increase was primarily due to strong retail demand for snow equipment and Flex-Force battery-powered products, as well as increased shipments of walk power mowers.</w:t>
      </w:r>
    </w:p>
    <w:p>
      <w:pPr>
        <w:spacing w:after="0" w:line="129" w:lineRule="exact"/>
        <w:rPr>
          <w:rFonts w:ascii="Arial" w:cs="Arial" w:eastAsia="Arial" w:hAnsi="Arial"/>
          <w:sz w:val="20"/>
          <w:szCs w:val="20"/>
          <w:color w:val="auto"/>
        </w:rPr>
      </w:pPr>
    </w:p>
    <w:p>
      <w:pPr>
        <w:ind w:left="660" w:hanging="328"/>
        <w:spacing w:after="0" w:line="23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$32.1 million, up 48.9% compared with $21.6 million in the same period last year, and when expressed as a percentage of net sales, up 170 basis points to 14.7% from 13.0% a year ago. The increase was primarily due to sales volume leverage and productivity and synergy initiatives, partially offset by manufacturing cost pressures and product mix.</w:t>
      </w:r>
    </w:p>
    <w:p>
      <w:pPr>
        <w:sectPr>
          <w:pgSz w:w="11900" w:h="16838" w:orient="portrait"/>
          <w:cols w:equalWidth="0" w:num="1">
            <w:col w:w="11240"/>
          </w:cols>
          <w:pgMar w:left="320" w:top="922"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2" w:lineRule="exact"/>
        <w:rPr>
          <w:sz w:val="20"/>
          <w:szCs w:val="20"/>
          <w:color w:val="auto"/>
        </w:rPr>
      </w:pPr>
    </w:p>
    <w:p>
      <w:pPr>
        <w:ind w:right="420"/>
        <w:spacing w:after="0" w:line="230" w:lineRule="auto"/>
        <w:rPr>
          <w:sz w:val="20"/>
          <w:szCs w:val="20"/>
          <w:color w:val="auto"/>
        </w:rPr>
      </w:pPr>
      <w:r>
        <w:rPr>
          <w:rFonts w:ascii="Arial" w:cs="Arial" w:eastAsia="Arial" w:hAnsi="Arial"/>
          <w:sz w:val="20"/>
          <w:szCs w:val="20"/>
          <w:color w:val="auto"/>
        </w:rPr>
        <w:t>Gross margin for the first quarter was 36.1%, down 140 basis points compared with 37.5% for the same prior-year period. *Adjusted gross margin for the first quarter was 36.1%, down 150 basis points compared with 37.6% for the same prior-year period. The decreases in gross margin and adjusted gross margin were primarily due to manufacturing cost pressures and product mix, partially offset by productivity and synergy initiatives.</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SG&amp;A as a percentage of net sales for the first quarter decreased 570 basis points to 19.9% from 25.6% in the prior-year period. The decrease was primarily due to sales volume leverage, a favorable one-time legal settlement and lower indirect marketing expenses as a result of reduced meeting, travel and entertainment costs.</w:t>
      </w:r>
    </w:p>
    <w:p>
      <w:pPr>
        <w:spacing w:after="0" w:line="125" w:lineRule="exact"/>
        <w:rPr>
          <w:sz w:val="20"/>
          <w:szCs w:val="20"/>
          <w:color w:val="auto"/>
        </w:rPr>
      </w:pPr>
    </w:p>
    <w:p>
      <w:pPr>
        <w:ind w:right="520"/>
        <w:spacing w:after="0" w:line="243" w:lineRule="auto"/>
        <w:rPr>
          <w:sz w:val="20"/>
          <w:szCs w:val="20"/>
          <w:color w:val="auto"/>
        </w:rPr>
      </w:pPr>
      <w:r>
        <w:rPr>
          <w:rFonts w:ascii="Arial" w:cs="Arial" w:eastAsia="Arial" w:hAnsi="Arial"/>
          <w:sz w:val="20"/>
          <w:szCs w:val="20"/>
          <w:color w:val="auto"/>
        </w:rPr>
        <w:t>Operating earnings as a percentage of net sales increased 430 basis points to 16.2% for the first quarter of fiscal 2021. *Adjusted operating earnings as a percentage of net sales increased 210 basis points to 14.2% for the first quarter of fiscal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was down $0.6 million for the first quarter of fiscal 2021, driven by lower interest rates.</w:t>
      </w:r>
    </w:p>
    <w:p>
      <w:pPr>
        <w:spacing w:after="0" w:line="12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The reported effective tax rate for the first quarter was 18.1% compared with 18.6% for the same period in fiscal 2020, primarily driven by higher tax benefits from the excess tax deduction for share-based compensation. The *adjusted effective tax rate for the first quarter was 21.5% compared with 21.0% for the first quarter of fiscal 2020, primarily driven by the geographic mix of earnings.</w:t>
      </w:r>
    </w:p>
    <w:p>
      <w:pPr>
        <w:spacing w:after="0" w:line="303"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5" w:lineRule="auto"/>
        <w:rPr>
          <w:sz w:val="20"/>
          <w:szCs w:val="20"/>
          <w:color w:val="auto"/>
        </w:rPr>
      </w:pPr>
      <w:r>
        <w:rPr>
          <w:rFonts w:ascii="Arial" w:cs="Arial" w:eastAsia="Arial" w:hAnsi="Arial"/>
          <w:sz w:val="20"/>
          <w:szCs w:val="20"/>
          <w:b w:val="1"/>
          <w:bCs w:val="1"/>
          <w:color w:val="auto"/>
        </w:rPr>
        <w:t>March 4, 2021 at 10:00 a.m. CST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March 4, 2021.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59"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$3.4 billion in fiscal 2020, The Toro Company’s global presence extends to more than 125 countries through a family of brands that includes Toro, Ditch Witch, Exmark, BOSS Snowplow, Ventrac, American Augers, Subsite Electronics, HammerHead, Trencor, Unique Lighting Systems, Irritrol, Hayter, Pope, Perrot, Lawn-Boy and Radius HDD.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ectPr>
          <w:pgSz w:w="11900" w:h="16838" w:orient="portrait"/>
          <w:cols w:equalWidth="0" w:num="1">
            <w:col w:w="11240"/>
          </w:cols>
          <w:pgMar w:left="320" w:top="922"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22" w:right="39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9"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This press release and our related earnings call references certain financial measures that are not calculated or presented in accordance with U.S. GAAP ("non-GAAP financial measures"), as information supplemental and in addition to the most directly comparable financial measures calculated and presented in accordance with U.S. GAAP. The non-GAAP financial measures included within this press release and our related earnings call consist of gross profit, gross margin, operating earnings, earnings before income taxes, net earnings, net earnings per diluted share, and the effective tax rate, each as adjusted, and free cash flow and free cash flow conversion.</w:t>
      </w:r>
    </w:p>
    <w:p>
      <w:pPr>
        <w:spacing w:after="0" w:line="173"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The Toro Company uses these non-GAAP financial measures in making operating decisions because it believes they provide meaningful supplemental information regarding core operational performance and provide the Company with a better understanding of how to allocate resources to both ongoing and prospective business initiatives. Additionally, these non-GAAP financial measures facilitate its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or dispositions; legal judgments, settlements, or other matters; and tax positions. Further, the Company believes that these non-GAAP financial measures, when considered in conjunction with the financial measures prepared in accordance with U.S. GAAP, provide investors with useful supplemental financial information to better understand its core operational performance.</w:t>
      </w:r>
    </w:p>
    <w:p>
      <w:pPr>
        <w:spacing w:after="0" w:line="16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Reconciliations of historical non-GAAP financial measures to the most directly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8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acquisition-related costs, net litigation settlement and tax impact of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w:t>
      </w:r>
    </w:p>
    <w:p>
      <w:pPr>
        <w:sectPr>
          <w:pgSz w:w="11900" w:h="16838" w:orient="portrait"/>
          <w:cols w:equalWidth="0" w:num="1">
            <w:col w:w="11180"/>
          </w:cols>
          <w:pgMar w:left="320" w:top="922" w:right="39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those projected or implied. Forward-looking statements in this release include the Company's fiscal 2021 financial guidance. Particular risks and uncertainties that may affect the Company’s operating results or financial position include: COVID-19 related factors, risks and challenges, including among others, the severity of COVID-19, its effect on the demand for the Company’s products and services, the ability of dealers, retailers, and other channel partners that sell the Company’s products to remain open, availability of employees and their ability to conduct work away from normal working locations and/or under revised protocols, the ability to receive commodities, components, parts, and accessories on a timely basis through its supply chain and at anticipated costs, and the ability of the Company to continue its production operations; adverse worldwide economic conditions, including weakened consumer confidence;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including political, economic and/or social instability and conflict, tax and trade policies, trade regulation and/or antidumping and countervailing duties petitions; foreign currency exchange rate fluctuations; financial viability of and/or relationships with the Company’s distribution channel partners; risks associated with acquisitions, including those related to the recent acquisitions of Charles Machine Works and Venture Products, Inc.; impairment of goodwill or other intangible assets; delays or failures in implementing, and unanticipated charges, as a result of, restructuring activities; management of alliances or joint ventures, including Red Iron Acceptance, LLC; impact of laws, regulations and standards,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w:t>
      </w:r>
    </w:p>
    <w:p>
      <w:pPr>
        <w:spacing w:after="0" w:line="2" w:lineRule="exact"/>
        <w:rPr>
          <w:sz w:val="20"/>
          <w:szCs w:val="20"/>
          <w:color w:val="auto"/>
        </w:rPr>
      </w:pPr>
    </w:p>
    <w:p>
      <w:pPr>
        <w:jc w:val="both"/>
        <w:ind w:right="100"/>
        <w:spacing w:after="0" w:line="243" w:lineRule="auto"/>
        <w:rPr>
          <w:sz w:val="20"/>
          <w:szCs w:val="20"/>
          <w:color w:val="auto"/>
        </w:rPr>
      </w:pPr>
      <w:r>
        <w:rPr>
          <w:rFonts w:ascii="Arial" w:cs="Arial" w:eastAsia="Arial" w:hAnsi="Arial"/>
          <w:sz w:val="20"/>
          <w:szCs w:val="20"/>
          <w:color w:val="auto"/>
        </w:rPr>
        <w:t>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922"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color w:val="auto"/>
        </w:rPr>
        <w:t>6 -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54"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2"/>
              </w:rPr>
              <w:t>January 29, 2021</w:t>
            </w: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2"/>
              </w:rPr>
              <w:t>January 31, 2020</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872,986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767,483</w:t>
            </w:r>
          </w:p>
        </w:tc>
      </w:tr>
      <w:tr>
        <w:trPr>
          <w:trHeight w:val="216"/>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557,950</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479,395</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315,036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288,088</w:t>
            </w:r>
          </w:p>
        </w:tc>
      </w:tr>
      <w:tr>
        <w:trPr>
          <w:trHeight w:val="216"/>
        </w:trPr>
        <w:tc>
          <w:tcPr>
            <w:tcW w:w="662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1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36.1 %</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37.5 %</w:t>
            </w:r>
          </w:p>
        </w:tc>
      </w:tr>
      <w:tr>
        <w:trPr>
          <w:trHeight w:val="216"/>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4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173,571</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196,959</w:t>
            </w:r>
          </w:p>
        </w:tc>
      </w:tr>
      <w:tr>
        <w:trPr>
          <w:trHeight w:val="209"/>
        </w:trPr>
        <w:tc>
          <w:tcPr>
            <w:tcW w:w="662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1440" w:type="dxa"/>
            <w:vAlign w:val="bottom"/>
          </w:tcPr>
          <w:p>
            <w:pPr>
              <w:spacing w:after="0"/>
              <w:rPr>
                <w:sz w:val="18"/>
                <w:szCs w:val="18"/>
                <w:color w:val="auto"/>
              </w:rPr>
            </w:pPr>
          </w:p>
        </w:tc>
        <w:tc>
          <w:tcPr>
            <w:tcW w:w="1520" w:type="dxa"/>
            <w:vAlign w:val="bottom"/>
          </w:tcPr>
          <w:p>
            <w:pPr>
              <w:jc w:val="right"/>
              <w:ind w:right="175"/>
              <w:spacing w:after="0"/>
              <w:rPr>
                <w:sz w:val="20"/>
                <w:szCs w:val="20"/>
                <w:color w:val="auto"/>
              </w:rPr>
            </w:pPr>
            <w:r>
              <w:rPr>
                <w:rFonts w:ascii="Arial" w:cs="Arial" w:eastAsia="Arial" w:hAnsi="Arial"/>
                <w:sz w:val="17"/>
                <w:szCs w:val="17"/>
                <w:color w:val="auto"/>
              </w:rPr>
              <w:t>141,465</w:t>
            </w:r>
          </w:p>
        </w:tc>
        <w:tc>
          <w:tcPr>
            <w:tcW w:w="2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91,129</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(7,522)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(8,156)</w:t>
            </w:r>
          </w:p>
        </w:tc>
      </w:tr>
      <w:tr>
        <w:trPr>
          <w:trHeight w:val="216"/>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1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1,883</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3,166</w:t>
            </w:r>
          </w:p>
        </w:tc>
      </w:tr>
      <w:tr>
        <w:trPr>
          <w:trHeight w:val="209"/>
        </w:trPr>
        <w:tc>
          <w:tcPr>
            <w:tcW w:w="6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135,826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86,139</w:t>
            </w:r>
          </w:p>
        </w:tc>
      </w:tr>
      <w:tr>
        <w:trPr>
          <w:trHeight w:val="216"/>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1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24,545</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16,048</w:t>
            </w:r>
          </w:p>
        </w:tc>
      </w:tr>
      <w:tr>
        <w:trPr>
          <w:trHeight w:val="235"/>
        </w:trPr>
        <w:tc>
          <w:tcPr>
            <w:tcW w:w="6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111,281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70,091</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0.65</w:t>
            </w:r>
          </w:p>
        </w:tc>
      </w:tr>
      <w:tr>
        <w:trPr>
          <w:trHeight w:val="237"/>
        </w:trPr>
        <w:tc>
          <w:tcPr>
            <w:tcW w:w="66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0.65</w:t>
            </w:r>
          </w:p>
        </w:tc>
      </w:tr>
      <w:tr>
        <w:trPr>
          <w:trHeight w:val="237"/>
        </w:trPr>
        <w:tc>
          <w:tcPr>
            <w:tcW w:w="6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108,122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107,423</w:t>
            </w:r>
          </w:p>
        </w:tc>
      </w:tr>
      <w:tr>
        <w:trPr>
          <w:trHeight w:val="257"/>
        </w:trPr>
        <w:tc>
          <w:tcPr>
            <w:tcW w:w="6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6"/>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4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109,194</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108,655</w:t>
            </w: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54" w:lineRule="exact"/>
        <w:rPr>
          <w:sz w:val="20"/>
          <w:szCs w:val="20"/>
          <w:color w:val="auto"/>
        </w:rPr>
      </w:pPr>
    </w:p>
    <w:p>
      <w:pPr>
        <w:ind w:left="892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29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January 29, 2021</w:t>
            </w: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1"/>
              </w:rPr>
              <w:t>January 31, 2020</w:t>
            </w: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650,223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594,721</w:t>
            </w:r>
          </w:p>
        </w:tc>
      </w:tr>
      <w:tr>
        <w:trPr>
          <w:trHeight w:val="216"/>
        </w:trPr>
        <w:tc>
          <w:tcPr>
            <w:tcW w:w="53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29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217,700</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165,848</w:t>
            </w:r>
          </w:p>
        </w:tc>
      </w:tr>
      <w:tr>
        <w:trPr>
          <w:trHeight w:val="216"/>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9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5,063</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6,914</w:t>
            </w:r>
          </w:p>
        </w:tc>
      </w:tr>
      <w:tr>
        <w:trPr>
          <w:trHeight w:val="20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872,986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767,483</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6"/>
        </w:trPr>
        <w:tc>
          <w:tcPr>
            <w:tcW w:w="5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191,681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175,835</w:t>
            </w:r>
          </w:p>
        </w:tc>
      </w:tr>
      <w:tr>
        <w:trPr>
          <w:trHeight w:val="478"/>
        </w:trPr>
        <w:tc>
          <w:tcPr>
            <w:tcW w:w="5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r>
      <w:tr>
        <w:trPr>
          <w:trHeight w:val="211"/>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w:t>
            </w:r>
          </w:p>
        </w:tc>
        <w:tc>
          <w:tcPr>
            <w:tcW w:w="2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January 29, 2021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1"/>
              </w:rPr>
              <w:t>January 31, 2020</w:t>
            </w: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116,816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102,474</w:t>
            </w:r>
          </w:p>
        </w:tc>
      </w:tr>
      <w:tr>
        <w:trPr>
          <w:trHeight w:val="216"/>
        </w:trPr>
        <w:tc>
          <w:tcPr>
            <w:tcW w:w="53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29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32,108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21,566</w:t>
            </w:r>
          </w:p>
        </w:tc>
      </w:tr>
      <w:tr>
        <w:trPr>
          <w:trHeight w:val="216"/>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9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(13,098)</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(37,901)</w:t>
            </w:r>
          </w:p>
        </w:tc>
      </w:tr>
      <w:tr>
        <w:trPr>
          <w:trHeight w:val="21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135,826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86,139</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t>7 -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gridSpan w:val="2"/>
            <w:vMerge w:val="restart"/>
          </w:tcPr>
          <w:p>
            <w:pPr>
              <w:jc w:val="right"/>
              <w:ind w:right="15"/>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tcBorders>
              <w:top w:val="single" w:sz="8" w:color="auto"/>
            </w:tcBorders>
            <w:gridSpan w:val="2"/>
            <w:vMerge w:val="restart"/>
          </w:tcPr>
          <w:p>
            <w:pPr>
              <w:jc w:val="right"/>
              <w:ind w:right="15"/>
              <w:spacing w:after="0"/>
              <w:rPr>
                <w:sz w:val="20"/>
                <w:szCs w:val="20"/>
                <w:color w:val="auto"/>
              </w:rPr>
            </w:pPr>
            <w:r>
              <w:rPr>
                <w:rFonts w:ascii="Arial" w:cs="Arial" w:eastAsia="Arial" w:hAnsi="Arial"/>
                <w:sz w:val="17"/>
                <w:szCs w:val="17"/>
                <w:b w:val="1"/>
                <w:bCs w:val="1"/>
                <w:color w:val="auto"/>
                <w:w w:val="99"/>
              </w:rPr>
              <w:t>January 31, 2020</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75"/>
              <w:spacing w:after="0" w:line="176" w:lineRule="exact"/>
              <w:rPr>
                <w:sz w:val="20"/>
                <w:szCs w:val="20"/>
                <w:color w:val="auto"/>
              </w:rPr>
            </w:pPr>
            <w:r>
              <w:rPr>
                <w:rFonts w:ascii="Arial" w:cs="Arial" w:eastAsia="Arial" w:hAnsi="Arial"/>
                <w:sz w:val="17"/>
                <w:szCs w:val="17"/>
                <w:b w:val="1"/>
                <w:bCs w:val="1"/>
                <w:color w:val="auto"/>
                <w:w w:val="96"/>
              </w:rPr>
              <w:t>October 31,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2"/>
            <w:vMerge w:val="continue"/>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20" w:type="dxa"/>
            <w:vAlign w:val="bottom"/>
            <w:gridSpan w:val="4"/>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2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Cash and cash equivalents</w:t>
            </w:r>
          </w:p>
        </w:tc>
        <w:tc>
          <w:tcPr>
            <w:tcW w:w="20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433,394</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108,914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479,892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306,865</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321,192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Inventories, net</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675,307</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738,960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652,433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41,177</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51,442</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34,188</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assets</w:t>
            </w:r>
          </w:p>
        </w:tc>
        <w:tc>
          <w:tcPr>
            <w:tcW w:w="2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1,456,743</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1,220,508</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1,427,648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Property, plant, and equipment, net</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457,147</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431,253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467,919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Goodwill</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422,163</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362,136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Other intangible assets, net</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410,587</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347,643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408,305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75,467</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73,137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Investment in finance affiliate</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22,955</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25,455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19,745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9,658</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6,161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Other assets</w:t>
            </w:r>
          </w:p>
        </w:tc>
        <w:tc>
          <w:tcPr>
            <w:tcW w:w="2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20,418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25,316</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20,318</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Total assets</w:t>
            </w:r>
          </w:p>
        </w:tc>
        <w:tc>
          <w:tcPr>
            <w:tcW w:w="20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2,875,138</w:t>
            </w:r>
          </w:p>
        </w:tc>
        <w:tc>
          <w:tcPr>
            <w:tcW w:w="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2,491,609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7"/>
                <w:szCs w:val="17"/>
                <w:color w:val="auto"/>
                <w:w w:val="99"/>
              </w:rPr>
              <w:t>LIABILITIES AND STOCKHOLDERS’ EQUITY</w:t>
            </w:r>
          </w:p>
        </w:tc>
        <w:tc>
          <w:tcPr>
            <w:tcW w:w="17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Current portion of long-term debt</w:t>
            </w:r>
          </w:p>
        </w:tc>
        <w:tc>
          <w:tcPr>
            <w:tcW w:w="20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9,992</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113,903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99,873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364,361</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348,003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Accrued liabilities</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429,820</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348,027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376,524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20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15,368</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14,374</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liabilities</w:t>
            </w:r>
          </w:p>
        </w:tc>
        <w:tc>
          <w:tcPr>
            <w:tcW w:w="2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819,541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824,307</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855,797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Long-term debt, less current portion</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691,356</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601,016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691,250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63,469</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62,015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71,970</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50,676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70,435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49,080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41,545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w w:val="93"/>
              </w:rPr>
              <w:t>Stockholders’ equity:</w:t>
            </w:r>
          </w:p>
        </w:tc>
        <w:tc>
          <w:tcPr>
            <w:tcW w:w="3740" w:type="dxa"/>
            <w:vAlign w:val="bottom"/>
            <w:tcBorders>
              <w:bottom w:val="single" w:sz="8" w:color="CCEEFF"/>
            </w:tcBorders>
            <w:gridSpan w:val="2"/>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ind w:left="120"/>
              <w:spacing w:after="0"/>
              <w:rPr>
                <w:sz w:val="20"/>
                <w:szCs w:val="20"/>
                <w:color w:val="auto"/>
              </w:rPr>
            </w:pPr>
            <w:r>
              <w:rPr>
                <w:rFonts w:ascii="Arial" w:cs="Arial" w:eastAsia="Arial" w:hAnsi="Arial"/>
                <w:sz w:val="17"/>
                <w:szCs w:val="17"/>
                <w:color w:val="auto"/>
              </w:rPr>
              <w:t>Preferred stock</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107,613</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106,977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ind w:left="120"/>
              <w:spacing w:after="0"/>
              <w:rPr>
                <w:sz w:val="20"/>
                <w:szCs w:val="20"/>
                <w:color w:val="auto"/>
              </w:rPr>
            </w:pPr>
            <w:r>
              <w:rPr>
                <w:rFonts w:ascii="Arial" w:cs="Arial" w:eastAsia="Arial" w:hAnsi="Arial"/>
                <w:sz w:val="17"/>
                <w:szCs w:val="17"/>
                <w:color w:val="auto"/>
              </w:rPr>
              <w:t>Retained earnings</w:t>
            </w:r>
          </w:p>
        </w:tc>
        <w:tc>
          <w:tcPr>
            <w:tcW w:w="20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1,104,285</w:t>
            </w:r>
          </w:p>
        </w:tc>
        <w:tc>
          <w:tcPr>
            <w:tcW w:w="4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837,194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1,041,507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4"/>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20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(32,176)</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(32,121)</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4"/>
          </w:tcPr>
          <w:p>
            <w:pPr>
              <w:ind w:left="220"/>
              <w:spacing w:after="0"/>
              <w:rPr>
                <w:sz w:val="20"/>
                <w:szCs w:val="20"/>
                <w:color w:val="auto"/>
              </w:rPr>
            </w:pPr>
            <w:r>
              <w:rPr>
                <w:rFonts w:ascii="Arial" w:cs="Arial" w:eastAsia="Arial" w:hAnsi="Arial"/>
                <w:sz w:val="17"/>
                <w:szCs w:val="17"/>
                <w:color w:val="auto"/>
              </w:rPr>
              <w:t>Total stockholders’ equity</w:t>
            </w:r>
          </w:p>
        </w:tc>
        <w:tc>
          <w:tcPr>
            <w:tcW w:w="2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1,179,722</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912,050</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0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2,875,138</w:t>
            </w:r>
          </w:p>
        </w:tc>
        <w:tc>
          <w:tcPr>
            <w:tcW w:w="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2,491,609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14" w:lineRule="exact"/>
        <w:rPr>
          <w:sz w:val="20"/>
          <w:szCs w:val="20"/>
          <w:color w:val="auto"/>
        </w:rPr>
      </w:pPr>
    </w:p>
    <w:p>
      <w:pPr>
        <w:ind w:left="904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rPr>
              <w:t>January 29, 2021</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January 31, 2020</w:t>
            </w: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4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111,281</w:t>
            </w:r>
          </w:p>
        </w:tc>
        <w:tc>
          <w:tcPr>
            <w:tcW w:w="48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70,091</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(used in) operating activities: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(1,283)</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(1,751)</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(Contributions to) distributions from finance affiliate, net</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4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19,173</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18,089</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4,894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4,714</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14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470</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4,516</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14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1,232</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1,080</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6"/>
        </w:trPr>
        <w:tc>
          <w:tcPr>
            <w:tcW w:w="73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(46,159)</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(53,044)</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(25,594)</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(88,557)</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16"/>
        </w:trPr>
        <w:tc>
          <w:tcPr>
            <w:tcW w:w="7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30,606</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21,734</w:t>
            </w:r>
          </w:p>
        </w:tc>
      </w:tr>
      <w:tr>
        <w:trPr>
          <w:trHeight w:val="209"/>
        </w:trPr>
        <w:tc>
          <w:tcPr>
            <w:tcW w:w="7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(used in) operating activities</w:t>
            </w:r>
          </w:p>
        </w:tc>
        <w:tc>
          <w:tcPr>
            <w:tcW w:w="1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95,025</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(23,299)</w:t>
            </w:r>
          </w:p>
        </w:tc>
      </w:tr>
      <w:tr>
        <w:trPr>
          <w:trHeight w:val="237"/>
        </w:trPr>
        <w:tc>
          <w:tcPr>
            <w:tcW w:w="7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(10,504)</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(11,821)</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acquisition, net of cash acquired</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(4,542)</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14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74</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1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12,886</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3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(11,796)</w:t>
            </w:r>
          </w:p>
        </w:tc>
      </w:tr>
      <w:tr>
        <w:trPr>
          <w:trHeight w:val="237"/>
        </w:trPr>
        <w:tc>
          <w:tcPr>
            <w:tcW w:w="7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Borrowings under debt arrangements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82,025</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Repayments under debt arrangements</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(90,000)</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(68,025)</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7,714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w:t>
            </w:r>
          </w:p>
        </w:tc>
      </w:tr>
      <w:tr>
        <w:trPr>
          <w:trHeight w:val="216"/>
        </w:trPr>
        <w:tc>
          <w:tcPr>
            <w:tcW w:w="7360" w:type="dxa"/>
            <w:vAlign w:val="bottom"/>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(941)</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(1,361)</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TTC common stock</w:t>
            </w: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(31,351)</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Dividends paid on TTC common stock</w:t>
            </w:r>
          </w:p>
        </w:tc>
        <w:tc>
          <w:tcPr>
            <w:tcW w:w="1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(28,411)</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(26,856)</w:t>
            </w:r>
          </w:p>
        </w:tc>
      </w:tr>
      <w:tr>
        <w:trPr>
          <w:trHeight w:val="210"/>
        </w:trPr>
        <w:tc>
          <w:tcPr>
            <w:tcW w:w="7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(142,989)</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(7,507)</w:t>
            </w:r>
          </w:p>
        </w:tc>
      </w:tr>
      <w:tr>
        <w:trPr>
          <w:trHeight w:val="236"/>
        </w:trPr>
        <w:tc>
          <w:tcPr>
            <w:tcW w:w="7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3,552</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r>
      <w:tr>
        <w:trPr>
          <w:trHeight w:val="236"/>
        </w:trPr>
        <w:tc>
          <w:tcPr>
            <w:tcW w:w="7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(46,498)</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(42,914)</w:t>
            </w: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479,892</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151,828</w:t>
            </w:r>
          </w:p>
        </w:tc>
      </w:tr>
      <w:tr>
        <w:trPr>
          <w:trHeight w:val="235"/>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433,394</w:t>
            </w:r>
          </w:p>
        </w:tc>
        <w:tc>
          <w:tcPr>
            <w:tcW w:w="4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108,914</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t>9 -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because the company believes they provide meaningful supplemental information regarding the company's core operational performance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and benefits not related to the company's regular, ongoing business, including, without limitation, certain non-cash, large, and/or unpredictable charges and benefits; acquisitions or dispositions; legal judgments, settlements or other matters; and tax positions.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These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provides a reconciliation of financial measures calculated and reported in accordance with U.S. GAAP to the most directly comparable non-GAAP financial measures included within the accompanying press release for the three month periods ended January 29, 2021 and January 31, 2020:</w:t>
      </w:r>
    </w:p>
    <w:p>
      <w:pPr>
        <w:spacing w:after="0" w:line="143"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6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2"/>
              </w:rPr>
              <w:t>January 29, 2021</w:t>
            </w: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2"/>
              </w:rPr>
              <w:t>January 31, 2020</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315,036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288,088</w:t>
            </w:r>
          </w:p>
        </w:tc>
      </w:tr>
      <w:tr>
        <w:trPr>
          <w:trHeight w:val="216"/>
        </w:trPr>
        <w:tc>
          <w:tcPr>
            <w:tcW w:w="54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470</w:t>
            </w:r>
          </w:p>
        </w:tc>
      </w:tr>
      <w:tr>
        <w:trPr>
          <w:trHeight w:val="21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gross profit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315,036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288,558</w:t>
            </w:r>
          </w:p>
        </w:tc>
      </w:tr>
      <w:tr>
        <w:trPr>
          <w:trHeight w:val="142"/>
        </w:trPr>
        <w:tc>
          <w:tcPr>
            <w:tcW w:w="54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36.1 %</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37.5 %</w:t>
            </w:r>
          </w:p>
        </w:tc>
      </w:tr>
      <w:tr>
        <w:trPr>
          <w:trHeight w:val="216"/>
        </w:trPr>
        <w:tc>
          <w:tcPr>
            <w:tcW w:w="54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r>
      <w:tr>
        <w:trPr>
          <w:trHeight w:val="21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gross margin</w:t>
            </w:r>
          </w:p>
        </w:tc>
        <w:tc>
          <w:tcPr>
            <w:tcW w:w="26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36.1 %</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37.6 %</w:t>
            </w:r>
          </w:p>
        </w:tc>
      </w:tr>
      <w:tr>
        <w:trPr>
          <w:trHeight w:val="142"/>
        </w:trPr>
        <w:tc>
          <w:tcPr>
            <w:tcW w:w="54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141,465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91,129</w:t>
            </w:r>
          </w:p>
        </w:tc>
      </w:tr>
      <w:tr>
        <w:trPr>
          <w:trHeight w:val="216"/>
        </w:trPr>
        <w:tc>
          <w:tcPr>
            <w:tcW w:w="546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60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Arial" w:cs="Arial" w:eastAsia="Arial" w:hAnsi="Arial"/>
                <w:sz w:val="17"/>
                <w:szCs w:val="17"/>
                <w:color w:val="auto"/>
              </w:rPr>
              <w:t>(17,075)</w:t>
            </w:r>
          </w:p>
        </w:tc>
        <w:tc>
          <w:tcPr>
            <w:tcW w:w="2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4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6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2,018</w:t>
            </w:r>
          </w:p>
        </w:tc>
      </w:tr>
      <w:tr>
        <w:trPr>
          <w:trHeight w:val="21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operating earnings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124,390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93,147</w:t>
            </w:r>
          </w:p>
        </w:tc>
      </w:tr>
      <w:tr>
        <w:trPr>
          <w:trHeight w:val="142"/>
        </w:trPr>
        <w:tc>
          <w:tcPr>
            <w:tcW w:w="54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135,826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86,139</w:t>
            </w:r>
          </w:p>
        </w:tc>
      </w:tr>
      <w:tr>
        <w:trPr>
          <w:trHeight w:val="216"/>
        </w:trPr>
        <w:tc>
          <w:tcPr>
            <w:tcW w:w="546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60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Arial" w:cs="Arial" w:eastAsia="Arial" w:hAnsi="Arial"/>
                <w:sz w:val="17"/>
                <w:szCs w:val="17"/>
                <w:color w:val="auto"/>
              </w:rPr>
              <w:t>(17,075)</w:t>
            </w:r>
          </w:p>
        </w:tc>
        <w:tc>
          <w:tcPr>
            <w:tcW w:w="2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4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6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2,018</w:t>
            </w:r>
          </w:p>
        </w:tc>
      </w:tr>
      <w:tr>
        <w:trPr>
          <w:trHeight w:val="21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earnings before income taxes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118,751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88,157</w:t>
            </w:r>
          </w:p>
        </w:tc>
      </w:tr>
      <w:tr>
        <w:trPr>
          <w:trHeight w:val="142"/>
        </w:trPr>
        <w:tc>
          <w:tcPr>
            <w:tcW w:w="54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111,281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70,091</w:t>
            </w:r>
          </w:p>
        </w:tc>
      </w:tr>
      <w:tr>
        <w:trPr>
          <w:trHeight w:val="216"/>
        </w:trPr>
        <w:tc>
          <w:tcPr>
            <w:tcW w:w="546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60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Arial" w:cs="Arial" w:eastAsia="Arial" w:hAnsi="Arial"/>
                <w:sz w:val="17"/>
                <w:szCs w:val="17"/>
                <w:color w:val="auto"/>
              </w:rPr>
              <w:t>(13,455)</w:t>
            </w:r>
          </w:p>
        </w:tc>
        <w:tc>
          <w:tcPr>
            <w:tcW w:w="2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4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1,633</w:t>
            </w:r>
          </w:p>
        </w:tc>
      </w:tr>
      <w:tr>
        <w:trPr>
          <w:trHeight w:val="216"/>
        </w:trPr>
        <w:tc>
          <w:tcPr>
            <w:tcW w:w="54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(4,578)</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(2,035)</w:t>
            </w:r>
          </w:p>
        </w:tc>
      </w:tr>
      <w:tr>
        <w:trPr>
          <w:trHeight w:val="235"/>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earnings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93,248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69,689</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Strong First-Quarter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2"/>
              </w:rPr>
              <w:t>January 29, 2021</w:t>
            </w: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2"/>
              </w:rPr>
              <w:t>January 31, 2020</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0.65</w:t>
            </w:r>
          </w:p>
        </w:tc>
      </w:tr>
      <w:tr>
        <w:trPr>
          <w:trHeight w:val="216"/>
        </w:trPr>
        <w:tc>
          <w:tcPr>
            <w:tcW w:w="546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60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Arial" w:cs="Arial" w:eastAsia="Arial" w:hAnsi="Arial"/>
                <w:sz w:val="17"/>
                <w:szCs w:val="17"/>
                <w:color w:val="auto"/>
              </w:rPr>
              <w:t>(0.13)</w:t>
            </w:r>
          </w:p>
        </w:tc>
        <w:tc>
          <w:tcPr>
            <w:tcW w:w="2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4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0.01</w:t>
            </w:r>
          </w:p>
        </w:tc>
      </w:tr>
      <w:tr>
        <w:trPr>
          <w:trHeight w:val="216"/>
        </w:trPr>
        <w:tc>
          <w:tcPr>
            <w:tcW w:w="54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(0.04)</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(0.02)</w:t>
            </w:r>
          </w:p>
        </w:tc>
      </w:tr>
      <w:tr>
        <w:trPr>
          <w:trHeight w:val="234"/>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diluted EPS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0.64</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6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2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18.1 %</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18.6 %</w:t>
            </w:r>
          </w:p>
        </w:tc>
      </w:tr>
      <w:tr>
        <w:trPr>
          <w:trHeight w:val="216"/>
        </w:trPr>
        <w:tc>
          <w:tcPr>
            <w:tcW w:w="54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26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1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effective tax rate</w:t>
            </w:r>
          </w:p>
        </w:tc>
        <w:tc>
          <w:tcPr>
            <w:tcW w:w="2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21.5 %</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right="320" w:hanging="170"/>
        <w:spacing w:after="0" w:line="257" w:lineRule="auto"/>
        <w:tabs>
          <w:tab w:leader="none" w:pos="394"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 Accordingly, litigation settlement, net represents the net amount recorded in selling, general and administrative expense within the Condensed Consolidated Statements of Earnings for the settlement of the Infringement Action during the three month period ended January 29, 2021.</w:t>
      </w:r>
    </w:p>
    <w:p>
      <w:pPr>
        <w:spacing w:after="0" w:line="81" w:lineRule="exact"/>
        <w:rPr>
          <w:sz w:val="20"/>
          <w:szCs w:val="20"/>
          <w:color w:val="auto"/>
        </w:rPr>
      </w:pPr>
    </w:p>
    <w:p>
      <w:pPr>
        <w:jc w:val="both"/>
        <w:ind w:left="340" w:right="340" w:hanging="170"/>
        <w:spacing w:after="0" w:line="248" w:lineRule="auto"/>
        <w:tabs>
          <w:tab w:leader="none" w:pos="3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On March 2, 2020, the company completed the acquisition of Venture Products, Inc. ("Venture Products") and on April 1, 2019, the company completed the acquisition of The Charles Machine Works, Inc. ("CMW"). Acquisition-related costs for the three month period ended January 31, 2020 represent costs incurred related to our acquisition of Venture Products, as well as integration costs and charges incurred for the take-down of the inventory fair value step-up amount resulting from purchase accounting adjustments related to our acquisition of CMW. No acquisition-related costs were incurred during the three month period ended January 29, 2021.</w:t>
      </w:r>
    </w:p>
    <w:p>
      <w:pPr>
        <w:spacing w:after="0" w:line="85" w:lineRule="exact"/>
        <w:rPr>
          <w:sz w:val="20"/>
          <w:szCs w:val="20"/>
          <w:color w:val="auto"/>
        </w:rPr>
      </w:pPr>
    </w:p>
    <w:p>
      <w:pPr>
        <w:jc w:val="both"/>
        <w:ind w:left="340" w:right="320" w:hanging="170"/>
        <w:spacing w:after="0" w:line="233" w:lineRule="auto"/>
        <w:tabs>
          <w:tab w:leader="none" w:pos="381"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share-based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diluted EPS, and effective tax rate. These amounts represent the discrete tax benefits recorded as excess tax deductions for share-based compensation during the three month periods ended January 29, 2021 and January 31, 2020.</w:t>
      </w:r>
    </w:p>
    <w:p>
      <w:pPr>
        <w:spacing w:after="0" w:line="200" w:lineRule="exact"/>
        <w:rPr>
          <w:sz w:val="20"/>
          <w:szCs w:val="20"/>
          <w:color w:val="auto"/>
        </w:rPr>
      </w:pP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10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2021-03-04T07:37:43Z</dcterms:created>
  <dcterms:modified xsi:type="dcterms:W3CDTF">2021-03-04T07:37:43Z</dcterms:modified>
</cp:coreProperties>
</file>