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26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Redetzke Darren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26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26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9"/>
              <w:spacing w:after="0"/>
              <w:rPr>
                <w:sz w:val="20"/>
                <w:szCs w:val="20"/>
                <w:color w:val="auto"/>
              </w:rPr>
            </w:pPr>
            <w:r>
              <w:rPr>
                <w:rFonts w:ascii="Arial" w:cs="Arial" w:eastAsia="Arial" w:hAnsi="Arial"/>
                <w:sz w:val="12"/>
                <w:szCs w:val="12"/>
                <w:b w:val="1"/>
                <w:bCs w:val="1"/>
                <w:color w:val="auto"/>
                <w:w w:val="95"/>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4,681</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9,638</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12/07/2017</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Pr>
          <w:p>
            <w:pPr>
              <w:jc w:val="right"/>
              <w:ind w:right="52"/>
              <w:spacing w:after="0"/>
              <w:rPr>
                <w:sz w:val="20"/>
                <w:szCs w:val="20"/>
                <w:color w:val="auto"/>
              </w:rPr>
            </w:pPr>
            <w:r>
              <w:rPr>
                <w:rFonts w:ascii="Arial" w:cs="Arial" w:eastAsia="Arial" w:hAnsi="Arial"/>
                <w:sz w:val="18"/>
                <w:szCs w:val="18"/>
                <w:color w:val="0000FF"/>
              </w:rPr>
              <w:t>1,573</w:t>
            </w:r>
          </w:p>
        </w:tc>
        <w:tc>
          <w:tcPr>
            <w:tcW w:w="660" w:type="dxa"/>
            <w:vAlign w:val="bottom"/>
          </w:tcPr>
          <w:p>
            <w:pPr>
              <w:ind w:left="28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jc w:val="right"/>
              <w:ind w:right="4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65.5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4"/>
              </w:rPr>
              <w:t>8,065</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8,157.064</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32,558.598</w:t>
            </w:r>
            <w:r>
              <w:rPr>
                <w:rFonts w:ascii="Arial" w:cs="Arial" w:eastAsia="Arial" w:hAnsi="Arial"/>
                <w:sz w:val="22"/>
                <w:szCs w:val="22"/>
                <w:color w:val="008000"/>
                <w:w w:val="85"/>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22,336.25</w:t>
            </w:r>
            <w:r>
              <w:rPr>
                <w:rFonts w:ascii="Arial" w:cs="Arial" w:eastAsia="Arial" w:hAnsi="Arial"/>
                <w:sz w:val="22"/>
                <w:szCs w:val="22"/>
                <w:color w:val="008000"/>
                <w:w w:val="83"/>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65.93</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12/08/2017</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9,900</w:t>
            </w:r>
          </w:p>
        </w:tc>
        <w:tc>
          <w:tcPr>
            <w:tcW w:w="3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0000FF"/>
                <w:w w:val="96"/>
              </w:rPr>
              <w:t>12/08/2027</w:t>
            </w: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9,900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9,900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2015 to Fiscal 2017 Performance Period under The Toro Company Amended and Restated 2010 Equity and Incentive Plan, as amended and restated (the "Amended and Restated 2010 Plan"), as approved by the issuer's Compensation &amp; Human Resources Committee of its Board of Directors on December 5, 2017, and which was conditioned upon and subject to confirmation by the issuer's Fiscal 2017 financial results that were released on December 7, 2017.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42.755 shares of common stock acquired by the reporting person since the date of his last report under a dividend reinvestment feature of the account in which the shares are held.</w:t>
      </w:r>
    </w:p>
    <w:p>
      <w:pPr>
        <w:spacing w:after="0" w:line="64"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169.819 net shares of common stock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116.638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2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2019-12-23T21:11:50Z</dcterms:created>
  <dcterms:modified xsi:type="dcterms:W3CDTF">2019-12-23T21:11:50Z</dcterms:modified>
</cp:coreProperties>
</file>