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433705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392430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52"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January 28, 2022</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7" w:lineRule="exact"/>
        <w:rPr>
          <w:sz w:val="24"/>
          <w:szCs w:val="24"/>
          <w:color w:val="auto"/>
        </w:rPr>
      </w:pPr>
    </w:p>
    <w:p>
      <w:pPr>
        <w:jc w:val="right"/>
        <w:ind w:right="4400"/>
        <w:spacing w:after="0"/>
        <w:tabs>
          <w:tab w:leader="none" w:pos="3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 w:lineRule="exact"/>
        <w:rPr>
          <w:sz w:val="24"/>
          <w:szCs w:val="24"/>
          <w:color w:val="auto"/>
        </w:rPr>
      </w:pPr>
    </w:p>
    <w:p>
      <w:pPr>
        <w:jc w:val="right"/>
        <w:ind w:right="44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1-8649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60"/>
          </w:cols>
          <w:pgMar w:left="320" w:top="230" w:right="319" w:bottom="1440" w:gutter="0" w:footer="0" w:header="0"/>
        </w:sectPr>
      </w:pPr>
    </w:p>
    <w:p>
      <w:pPr>
        <w:spacing w:after="0" w:line="108"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58" w:lineRule="exact"/>
        <w:rPr>
          <w:sz w:val="24"/>
          <w:szCs w:val="24"/>
          <w:color w:val="auto"/>
        </w:rPr>
      </w:pPr>
    </w:p>
    <w:p>
      <w:pPr>
        <w:sectPr>
          <w:pgSz w:w="11900" w:h="16838" w:orient="portrait"/>
          <w:cols w:equalWidth="0" w:num="2">
            <w:col w:w="8080" w:space="720"/>
            <w:col w:w="2460"/>
          </w:cols>
          <w:pgMar w:left="320" w:top="230" w:right="31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7" w:lineRule="exact"/>
        <w:rPr>
          <w:sz w:val="24"/>
          <w:szCs w:val="24"/>
          <w:color w:val="auto"/>
        </w:rPr>
      </w:pPr>
    </w:p>
    <w:p>
      <w:pPr>
        <w:sectPr>
          <w:pgSz w:w="11900" w:h="16838" w:orient="portrait"/>
          <w:cols w:equalWidth="0" w:num="2">
            <w:col w:w="7420" w:space="720"/>
            <w:col w:w="3120"/>
          </w:cols>
          <w:pgMar w:left="320" w:top="230" w:right="319" w:bottom="1440" w:gutter="0" w:footer="0" w:header="0"/>
          <w:type w:val="continuous"/>
        </w:sectPr>
      </w:pPr>
    </w:p>
    <w:p>
      <w:pPr>
        <w:spacing w:after="0" w:line="133"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8111 Lyndale Avenue South</w:t>
      </w:r>
    </w:p>
    <w:p>
      <w:pPr>
        <w:spacing w:after="0" w:line="3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New York Stock Exchange</w:t>
            </w:r>
          </w:p>
        </w:tc>
      </w:tr>
    </w:tbl>
    <w:p>
      <w:pPr>
        <w:spacing w:after="0" w:line="298" w:lineRule="exact"/>
        <w:rPr>
          <w:sz w:val="24"/>
          <w:szCs w:val="24"/>
          <w:color w:val="auto"/>
        </w:rPr>
      </w:pPr>
    </w:p>
    <w:p>
      <w:pPr>
        <w:jc w:val="both"/>
        <w:ind w:right="2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92" w:lineRule="exact"/>
        <w:rPr>
          <w:sz w:val="24"/>
          <w:szCs w:val="24"/>
          <w:color w:val="auto"/>
        </w:rPr>
      </w:pPr>
    </w:p>
    <w:p>
      <w:pPr>
        <w:ind w:right="20"/>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360"/>
        <w:spacing w:after="0" w:line="21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February 24, 2022 was 104,537,567.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709295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90170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1">
              <w:r>
                <w:rPr>
                  <w:rFonts w:ascii="Arial" w:cs="Arial" w:eastAsia="Arial" w:hAnsi="Arial"/>
                  <w:sz w:val="17"/>
                  <w:szCs w:val="17"/>
                  <w:color w:val="0000FF"/>
                  <w:w w:val="89"/>
                </w:rPr>
                <w:t>Table of Contents</w:t>
              </w:r>
            </w:hyperlink>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1"/>
          </w:tcPr>
          <w:p>
            <w:pPr>
              <w:jc w:val="center"/>
              <w:ind w:right="2200"/>
              <w:spacing w:after="0"/>
              <w:rPr>
                <w:sz w:val="20"/>
                <w:szCs w:val="20"/>
                <w:color w:val="auto"/>
              </w:rPr>
            </w:pPr>
            <w:r>
              <w:rPr>
                <w:rFonts w:ascii="Arial" w:cs="Arial" w:eastAsia="Arial" w:hAnsi="Arial"/>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1"/>
          </w:tcPr>
          <w:p>
            <w:pPr>
              <w:jc w:val="center"/>
              <w:ind w:right="2180"/>
              <w:spacing w:after="0"/>
              <w:rPr>
                <w:sz w:val="20"/>
                <w:szCs w:val="20"/>
                <w:color w:val="auto"/>
              </w:rPr>
            </w:pPr>
            <w:r>
              <w:rPr>
                <w:rFonts w:ascii="Arial" w:cs="Arial" w:eastAsia="Arial" w:hAnsi="Arial"/>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1"/>
          </w:tcPr>
          <w:p>
            <w:pPr>
              <w:jc w:val="center"/>
              <w:ind w:right="2200"/>
              <w:spacing w:after="0"/>
              <w:rPr>
                <w:sz w:val="20"/>
                <w:szCs w:val="20"/>
                <w:color w:val="auto"/>
              </w:rPr>
            </w:pPr>
            <w:r>
              <w:rPr>
                <w:rFonts w:ascii="Arial" w:cs="Arial" w:eastAsia="Arial" w:hAnsi="Arial"/>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760" w:type="dxa"/>
            <w:vAlign w:val="bottom"/>
            <w:gridSpan w:val="31"/>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CAUTIONARY NOTE REGARDING FORWARD-LOOKING STATEMENTS</w:t>
              </w:r>
            </w:hyperlink>
          </w:p>
        </w:tc>
        <w:tc>
          <w:tcPr>
            <w:tcW w:w="2460" w:type="dxa"/>
            <w:vAlign w:val="bottom"/>
            <w:gridSpan w:val="4"/>
          </w:tcPr>
          <w:p>
            <w:pPr>
              <w:jc w:val="right"/>
              <w:ind w:right="20"/>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tcBorders>
              <w:top w:val="single" w:sz="8" w:color="0000FF"/>
            </w:tcBorders>
            <w:gridSpan w:val="5"/>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w:t>
              </w:r>
            </w:hyperlink>
          </w:p>
        </w:tc>
        <w:tc>
          <w:tcPr>
            <w:tcW w:w="1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18"/>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FINANCIAL INFORMATION:</w:t>
              </w:r>
            </w:hyperlink>
          </w:p>
        </w:tc>
        <w:tc>
          <w:tcPr>
            <w:tcW w:w="2920" w:type="dxa"/>
            <w:vAlign w:val="bottom"/>
            <w:gridSpan w:val="7"/>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5">
              <w:r>
                <w:rPr>
                  <w:rFonts w:ascii="Arial" w:cs="Arial" w:eastAsia="Arial" w:hAnsi="Arial"/>
                  <w:sz w:val="17"/>
                  <w:szCs w:val="17"/>
                  <w:b w:val="1"/>
                  <w:bCs w:val="1"/>
                  <w:color w:val="0000FF"/>
                  <w:w w:val="92"/>
                </w:rPr>
                <w:t>Item 1.</w:t>
              </w:r>
            </w:hyperlink>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Statements</w:t>
              </w:r>
            </w:hyperlink>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19"/>
          </w:tcPr>
          <w:p>
            <w:pPr>
              <w:spacing w:after="0"/>
              <w:rPr>
                <w:rFonts w:ascii="Arial" w:cs="Arial" w:eastAsia="Arial" w:hAnsi="Arial"/>
                <w:sz w:val="17"/>
                <w:szCs w:val="17"/>
                <w:color w:val="0000FF"/>
                <w:w w:val="94"/>
              </w:rPr>
            </w:pPr>
            <w:hyperlink w:anchor="page5">
              <w:r>
                <w:rPr>
                  <w:rFonts w:ascii="Arial" w:cs="Arial" w:eastAsia="Arial" w:hAnsi="Arial"/>
                  <w:sz w:val="17"/>
                  <w:szCs w:val="17"/>
                  <w:color w:val="0000FF"/>
                  <w:w w:val="94"/>
                </w:rPr>
                <w:t>Condensed Consolidated Statements of Earnings (Unaudited)</w:t>
              </w:r>
            </w:hyperlink>
          </w:p>
        </w:tc>
        <w:tc>
          <w:tcPr>
            <w:tcW w:w="2640" w:type="dxa"/>
            <w:vAlign w:val="bottom"/>
            <w:gridSpan w:val="5"/>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Comprehensive Income (Unaudited)</w:t>
              </w:r>
            </w:hyperlink>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5"/>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Condensed Consolidated Balance Sheets (Unaudited)</w:t>
              </w:r>
            </w:hyperlink>
          </w:p>
        </w:tc>
        <w:tc>
          <w:tcPr>
            <w:tcW w:w="2060" w:type="dxa"/>
            <w:vAlign w:val="bottom"/>
            <w:gridSpan w:val="8"/>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 (Unaudited)</w:t>
              </w:r>
            </w:hyperlink>
          </w:p>
        </w:tc>
        <w:tc>
          <w:tcPr>
            <w:tcW w:w="246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Stockholders' Equity (Unaudited)</w:t>
              </w:r>
            </w:hyperlink>
          </w:p>
        </w:tc>
        <w:tc>
          <w:tcPr>
            <w:tcW w:w="246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7"/>
                <w:szCs w:val="17"/>
                <w:color w:val="0000FF"/>
                <w:w w:val="90"/>
              </w:rPr>
            </w:pPr>
            <w:hyperlink w:anchor="page8">
              <w:r>
                <w:rPr>
                  <w:rFonts w:ascii="Arial" w:cs="Arial" w:eastAsia="Arial" w:hAnsi="Arial"/>
                  <w:sz w:val="17"/>
                  <w:szCs w:val="17"/>
                  <w:color w:val="0000FF"/>
                  <w:w w:val="90"/>
                </w:rPr>
                <w:t>Notes to Condensed Consolidated Financial Statements (Unaudited)</w:t>
              </w:r>
            </w:hyperlink>
          </w:p>
        </w:tc>
        <w:tc>
          <w:tcPr>
            <w:tcW w:w="340" w:type="dxa"/>
            <w:vAlign w:val="bottom"/>
          </w:tcPr>
          <w:p>
            <w:pPr>
              <w:spacing w:after="0"/>
              <w:rPr>
                <w:sz w:val="24"/>
                <w:szCs w:val="24"/>
                <w:color w:val="auto"/>
              </w:rPr>
            </w:pPr>
          </w:p>
        </w:tc>
        <w:tc>
          <w:tcPr>
            <w:tcW w:w="2020" w:type="dxa"/>
            <w:vAlign w:val="bottom"/>
            <w:gridSpan w:val="3"/>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27">
              <w:r>
                <w:rPr>
                  <w:rFonts w:ascii="Arial" w:cs="Arial" w:eastAsia="Arial" w:hAnsi="Arial"/>
                  <w:sz w:val="17"/>
                  <w:szCs w:val="17"/>
                  <w:b w:val="1"/>
                  <w:bCs w:val="1"/>
                  <w:color w:val="0000FF"/>
                  <w:w w:val="92"/>
                </w:rPr>
                <w:t>Item 2.</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Management’s Discussion and Analysis of Financial Condition and 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rFonts w:ascii="Arial" w:cs="Arial" w:eastAsia="Arial" w:hAnsi="Arial"/>
                <w:sz w:val="17"/>
                <w:szCs w:val="17"/>
                <w:color w:val="0000FF"/>
                <w:w w:val="90"/>
              </w:rPr>
            </w:pPr>
            <w:hyperlink w:anchor="page28">
              <w:r>
                <w:rPr>
                  <w:rFonts w:ascii="Arial" w:cs="Arial" w:eastAsia="Arial" w:hAnsi="Arial"/>
                  <w:sz w:val="17"/>
                  <w:szCs w:val="17"/>
                  <w:color w:val="0000FF"/>
                  <w:w w:val="90"/>
                </w:rPr>
                <w:t>Company Overview</w:t>
              </w:r>
            </w:hyperlink>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28">
              <w:r>
                <w:rPr>
                  <w:rFonts w:ascii="Arial" w:cs="Arial" w:eastAsia="Arial" w:hAnsi="Arial"/>
                  <w:sz w:val="17"/>
                  <w:szCs w:val="17"/>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86"/>
              </w:rPr>
            </w:pPr>
            <w:hyperlink w:anchor="page32">
              <w:r>
                <w:rPr>
                  <w:rFonts w:ascii="Arial" w:cs="Arial" w:eastAsia="Arial" w:hAnsi="Arial"/>
                  <w:sz w:val="17"/>
                  <w:szCs w:val="17"/>
                  <w:color w:val="0000FF"/>
                  <w:w w:val="86"/>
                </w:rPr>
                <w:t>Business Segments</w:t>
              </w:r>
            </w:hyperlink>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97"/>
              </w:rPr>
            </w:pPr>
            <w:hyperlink w:anchor="page33">
              <w:r>
                <w:rPr>
                  <w:rFonts w:ascii="Arial" w:cs="Arial" w:eastAsia="Arial" w:hAnsi="Arial"/>
                  <w:sz w:val="17"/>
                  <w:szCs w:val="17"/>
                  <w:color w:val="0000FF"/>
                  <w:w w:val="97"/>
                </w:rPr>
                <w:t>Financial Position</w:t>
              </w:r>
            </w:hyperlink>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Non-GAAP Financial Measures</w:t>
              </w:r>
            </w:hyperlink>
          </w:p>
        </w:tc>
        <w:tc>
          <w:tcPr>
            <w:tcW w:w="2440" w:type="dxa"/>
            <w:vAlign w:val="bottom"/>
            <w:gridSpan w:val="3"/>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Critical Accounting Policies and Estimates</w:t>
              </w:r>
            </w:hyperlink>
          </w:p>
        </w:tc>
        <w:tc>
          <w:tcPr>
            <w:tcW w:w="2440" w:type="dxa"/>
            <w:vAlign w:val="bottom"/>
            <w:gridSpan w:val="3"/>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37">
              <w:r>
                <w:rPr>
                  <w:rFonts w:ascii="Arial" w:cs="Arial" w:eastAsia="Arial" w:hAnsi="Arial"/>
                  <w:sz w:val="17"/>
                  <w:szCs w:val="17"/>
                  <w:b w:val="1"/>
                  <w:bCs w:val="1"/>
                  <w:color w:val="0000FF"/>
                  <w:w w:val="92"/>
                </w:rPr>
                <w:t>Item 3.</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Quantitative and Qualitative Disclosures about Market Risk</w:t>
              </w:r>
            </w:hyperlink>
          </w:p>
        </w:tc>
        <w:tc>
          <w:tcPr>
            <w:tcW w:w="2440" w:type="dxa"/>
            <w:vAlign w:val="bottom"/>
            <w:gridSpan w:val="3"/>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39">
              <w:r>
                <w:rPr>
                  <w:rFonts w:ascii="Arial" w:cs="Arial" w:eastAsia="Arial" w:hAnsi="Arial"/>
                  <w:sz w:val="17"/>
                  <w:szCs w:val="17"/>
                  <w:b w:val="1"/>
                  <w:bCs w:val="1"/>
                  <w:color w:val="0000FF"/>
                  <w:w w:val="92"/>
                </w:rPr>
                <w:t>Item 4.</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rFonts w:ascii="Arial" w:cs="Arial" w:eastAsia="Arial" w:hAnsi="Arial"/>
                <w:sz w:val="17"/>
                <w:szCs w:val="17"/>
                <w:color w:val="0000FF"/>
                <w:w w:val="88"/>
              </w:rPr>
            </w:pPr>
            <w:hyperlink w:anchor="page39">
              <w:r>
                <w:rPr>
                  <w:rFonts w:ascii="Arial" w:cs="Arial" w:eastAsia="Arial" w:hAnsi="Arial"/>
                  <w:sz w:val="17"/>
                  <w:szCs w:val="17"/>
                  <w:color w:val="0000FF"/>
                  <w:w w:val="88"/>
                </w:rPr>
                <w:t>Controls and Procedures</w:t>
              </w:r>
            </w:hyperlink>
          </w:p>
        </w:tc>
        <w:tc>
          <w:tcPr>
            <w:tcW w:w="2420" w:type="dxa"/>
            <w:vAlign w:val="bottom"/>
            <w:gridSpan w:val="7"/>
          </w:tcPr>
          <w:p>
            <w:pPr>
              <w:spacing w:after="0"/>
              <w:rPr>
                <w:sz w:val="24"/>
                <w:szCs w:val="24"/>
                <w:color w:val="auto"/>
              </w:rPr>
            </w:pPr>
          </w:p>
        </w:tc>
        <w:tc>
          <w:tcPr>
            <w:tcW w:w="3260" w:type="dxa"/>
            <w:vAlign w:val="bottom"/>
            <w:gridSpan w:val="9"/>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PART II.</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OTHER INFORMATION:</w:t>
              </w:r>
            </w:hyperlink>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40">
              <w:r>
                <w:rPr>
                  <w:rFonts w:ascii="Arial" w:cs="Arial" w:eastAsia="Arial" w:hAnsi="Arial"/>
                  <w:sz w:val="17"/>
                  <w:szCs w:val="17"/>
                  <w:b w:val="1"/>
                  <w:bCs w:val="1"/>
                  <w:color w:val="0000FF"/>
                  <w:w w:val="92"/>
                </w:rPr>
                <w:t>Item 1.</w:t>
              </w:r>
            </w:hyperlink>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FF"/>
            </w:tcBorders>
            <w:gridSpan w:val="5"/>
          </w:tcPr>
          <w:p>
            <w:pPr>
              <w:spacing w:after="0"/>
              <w:rPr>
                <w:rFonts w:ascii="Arial" w:cs="Arial" w:eastAsia="Arial" w:hAnsi="Arial"/>
                <w:sz w:val="17"/>
                <w:szCs w:val="17"/>
                <w:color w:val="0000FF"/>
                <w:w w:val="89"/>
              </w:rPr>
            </w:pPr>
            <w:hyperlink w:anchor="page40">
              <w:r>
                <w:rPr>
                  <w:rFonts w:ascii="Arial" w:cs="Arial" w:eastAsia="Arial" w:hAnsi="Arial"/>
                  <w:sz w:val="17"/>
                  <w:szCs w:val="17"/>
                  <w:color w:val="0000FF"/>
                  <w:w w:val="89"/>
                </w:rPr>
                <w:t>Legal Proceedings</w:t>
              </w:r>
            </w:hyperlink>
          </w:p>
        </w:tc>
        <w:tc>
          <w:tcPr>
            <w:tcW w:w="72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1A.</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Risk Factors</w:t>
              </w:r>
            </w:hyperlink>
          </w:p>
        </w:tc>
        <w:tc>
          <w:tcPr>
            <w:tcW w:w="2440" w:type="dxa"/>
            <w:vAlign w:val="bottom"/>
            <w:gridSpan w:val="3"/>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0">
              <w:r>
                <w:rPr>
                  <w:rFonts w:ascii="Arial" w:cs="Arial" w:eastAsia="Arial" w:hAnsi="Arial"/>
                  <w:sz w:val="17"/>
                  <w:szCs w:val="17"/>
                  <w:b w:val="1"/>
                  <w:bCs w:val="1"/>
                  <w:color w:val="0000FF"/>
                  <w:w w:val="92"/>
                </w:rPr>
                <w:t>Item 2.</w:t>
              </w:r>
            </w:hyperlink>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Unregistered Sales of Equity Securities and Use of Proceeds</w:t>
              </w:r>
            </w:hyperlink>
          </w:p>
        </w:tc>
        <w:tc>
          <w:tcPr>
            <w:tcW w:w="2440" w:type="dxa"/>
            <w:vAlign w:val="bottom"/>
            <w:gridSpan w:val="3"/>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20" w:type="dxa"/>
            <w:vAlign w:val="bottom"/>
            <w:gridSpan w:val="1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1">
              <w:r>
                <w:rPr>
                  <w:rFonts w:ascii="Arial" w:cs="Arial" w:eastAsia="Arial" w:hAnsi="Arial"/>
                  <w:sz w:val="17"/>
                  <w:szCs w:val="17"/>
                  <w:b w:val="1"/>
                  <w:bCs w:val="1"/>
                  <w:color w:val="0000FF"/>
                  <w:w w:val="92"/>
                </w:rPr>
                <w:t>Item 6.</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7"/>
                <w:szCs w:val="17"/>
                <w:color w:val="0000FF"/>
                <w:w w:val="94"/>
              </w:rPr>
            </w:pPr>
            <w:hyperlink w:anchor="page41">
              <w:r>
                <w:rPr>
                  <w:rFonts w:ascii="Arial" w:cs="Arial" w:eastAsia="Arial" w:hAnsi="Arial"/>
                  <w:sz w:val="17"/>
                  <w:szCs w:val="17"/>
                  <w:color w:val="0000FF"/>
                  <w:w w:val="94"/>
                </w:rPr>
                <w:t>Exhibits</w:t>
              </w:r>
            </w:hyperlink>
          </w:p>
        </w:tc>
        <w:tc>
          <w:tcPr>
            <w:tcW w:w="3580" w:type="dxa"/>
            <w:vAlign w:val="bottom"/>
            <w:gridSpan w:val="15"/>
          </w:tcPr>
          <w:p>
            <w:pPr>
              <w:spacing w:after="0"/>
              <w:rPr>
                <w:sz w:val="24"/>
                <w:szCs w:val="24"/>
                <w:color w:val="auto"/>
              </w:rPr>
            </w:pPr>
          </w:p>
        </w:tc>
        <w:tc>
          <w:tcPr>
            <w:tcW w:w="3220" w:type="dxa"/>
            <w:vAlign w:val="bottom"/>
            <w:gridSpan w:val="8"/>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1">
              <w:r>
                <w:rPr>
                  <w:rFonts w:ascii="Arial" w:cs="Arial" w:eastAsia="Arial" w:hAnsi="Arial"/>
                  <w:sz w:val="17"/>
                  <w:szCs w:val="17"/>
                  <w:color w:val="0000FF"/>
                </w:rPr>
                <w:t>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7"/>
                <w:szCs w:val="17"/>
                <w:color w:val="0000FF"/>
                <w:w w:val="88"/>
              </w:rPr>
            </w:pPr>
            <w:hyperlink w:anchor="page42">
              <w:r>
                <w:rPr>
                  <w:rFonts w:ascii="Arial" w:cs="Arial" w:eastAsia="Arial" w:hAnsi="Arial"/>
                  <w:sz w:val="17"/>
                  <w:szCs w:val="17"/>
                  <w:color w:val="0000FF"/>
                  <w:w w:val="88"/>
                </w:rPr>
                <w:t>Signatures</w:t>
              </w:r>
            </w:hyperlink>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2">
              <w:r>
                <w:rPr>
                  <w:rFonts w:ascii="Arial" w:cs="Arial" w:eastAsia="Arial" w:hAnsi="Arial"/>
                  <w:sz w:val="17"/>
                  <w:szCs w:val="17"/>
                  <w:color w:val="0000FF"/>
                </w:rPr>
                <w:t>43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Our forward-looking statements generally relate to our future performance, including our anticipated operating results, liquidity requirements, financial condition, the anticipated impacts of COVID-19, and the current global supply chain disruptions and inflationary environment; our business strategies, priorities, goals, and commitments; recent acquisitions and business initiatives; and the effect of laws, rules, policies, regulations, tax reform, new accounting pronouncements, and outstanding litigation on our business and future performance.</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9" w:lineRule="exact"/>
        <w:rPr>
          <w:sz w:val="20"/>
          <w:szCs w:val="20"/>
          <w:color w:val="auto"/>
        </w:rPr>
      </w:pPr>
    </w:p>
    <w:p>
      <w:pPr>
        <w:jc w:val="both"/>
        <w:ind w:left="620" w:hanging="307"/>
        <w:spacing w:after="0" w:line="25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including as a result of COVID-19, such as but not limited to business closures, slowdowns, suspensions or delays of production and commercial activity; slow or negative economic growth rates or recessionary conditions; reduced or negative consumer confidence; reduced consumer spending levels; increased or prolonged high unemployment rates; higher costs, longer lead times and reduced availability of commodities, components, parts, and accessories, including as a result of transportation-related costs, inflation, changing prices, foreign currency fluctuations, tariffs, and/or duties; inflationary or deflationary pressures; slowdowns or reductions in levels of interest in the game of golf or golf course activity, development, renovation or improvement; golf course closures; reduced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higher short-term, mortgage, and other interest rates; and general economic and political conditions and expectations;</w:t>
      </w:r>
    </w:p>
    <w:p>
      <w:pPr>
        <w:spacing w:after="0" w:line="3"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 of COVID-19, including governmental, business, and individual actions that have been, and continue to be, taken in response and the success of COVID-19 vaccines and their effectiveness against COVID-19 and additional variants, on (i) our business, financial condition, and operating results; (ii) our dealers, distributors, mass retailers, and other channel partners and customers; (iii) our suppliers and companies throughout our supply chain and any such supplier's ability to meet supply commitments, requirements, and/or demands; (iv) our ability to continue to obtain commodities, components, parts, and accessories on a timely basis through our supply chain and at anticipated costs; (v) the financial and credit markets and economic activity generally; (vi) our ability to access lending, capital markets, and other sources of liquidity when needed on reasonable terms or at all; and (v) other risks described herein and in our SEC reports, which could be heightened as a result of COVID-19;</w:t>
      </w:r>
    </w:p>
    <w:p>
      <w:pPr>
        <w:spacing w:after="0" w:line="3"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enhance existing products and develop and market new products that respond to customer needs and preferences and achieve market acceptance;</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 and/or shortages in the availability of and the cost of commodities, components, parts, or accessories used in our products for reasons other than may be related to adverse economic conditions or COVID-19;</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that weather conditions or climate change have on demand for our products and operations, including our supply chain;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of competition;</w:t>
      </w:r>
    </w:p>
    <w:p>
      <w:pPr>
        <w:spacing w:after="0" w:line="1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2" w:lineRule="exact"/>
        <w:rPr>
          <w:rFonts w:ascii="Arial" w:cs="Arial" w:eastAsia="Arial" w:hAnsi="Arial"/>
          <w:sz w:val="17"/>
          <w:szCs w:val="17"/>
          <w:color w:val="auto"/>
        </w:rPr>
      </w:pPr>
    </w:p>
    <w:p>
      <w:pPr>
        <w:jc w:val="both"/>
        <w:ind w:left="620" w:hanging="307"/>
        <w:spacing w:after="0" w:line="279"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2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inability to maintain appropriate inventory levels, including if we underestimate or overestimate demand for our products, and the effect of inventory management decisions of our distribution channel customers;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composition of, financial viability of, and the relationships with, our distribution channel customers;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international operations, including but not limited to the effect of foreign currency exchange rate fluctuations and compliance with foreign legal and regulatory requirements;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recent and any future acquisitions and alliances, joint ventures, investments or partnerships and our failure to successfully complete divestitures or other restructuring activities;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achieve our financial projections or other business initiatives in the time periods that we anticipate or at all;</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or tax standards and policies and/or assumptions utilized in determining accounting tax estimates;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of increased scrutiny on our environmental, social and governance practices.</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U.S. Securities and Exchange Commission ("SEC").</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and shares in thousands, except per share data)</w:t>
      </w:r>
    </w:p>
    <w:p>
      <w:pPr>
        <w:spacing w:after="0" w:line="11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2"/>
              </w:rPr>
              <w:t>January 28, 2022</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January 29, 2021</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932,650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872,986</w:t>
            </w:r>
          </w:p>
        </w:tc>
      </w:tr>
      <w:tr>
        <w:trPr>
          <w:trHeight w:val="20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632,174</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557,950</w:t>
            </w:r>
          </w:p>
        </w:tc>
      </w:tr>
      <w:tr>
        <w:trPr>
          <w:trHeight w:val="20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300,476</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315,036</w:t>
            </w:r>
          </w:p>
        </w:tc>
      </w:tr>
      <w:tr>
        <w:trPr>
          <w:trHeight w:val="20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208,850</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173,571</w:t>
            </w:r>
          </w:p>
        </w:tc>
      </w:tr>
      <w:tr>
        <w:trPr>
          <w:trHeight w:val="20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1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91,626</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141,465</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7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(7,013)</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(7,522)</w:t>
            </w:r>
          </w:p>
        </w:tc>
      </w:tr>
      <w:tr>
        <w:trPr>
          <w:trHeight w:val="20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7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2,534</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00"/>
        </w:trPr>
        <w:tc>
          <w:tcPr>
            <w:tcW w:w="670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170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87,147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135,826</w:t>
            </w:r>
          </w:p>
        </w:tc>
      </w:tr>
      <w:tr>
        <w:trPr>
          <w:trHeight w:val="20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7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17,637</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24,545</w:t>
            </w:r>
          </w:p>
        </w:tc>
      </w:tr>
      <w:tr>
        <w:trPr>
          <w:trHeight w:val="200"/>
        </w:trPr>
        <w:tc>
          <w:tcPr>
            <w:tcW w:w="6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69,510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111,281</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08"/>
        </w:trPr>
        <w:tc>
          <w:tcPr>
            <w:tcW w:w="6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earnings per share of common stock</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42"/>
        </w:trPr>
        <w:tc>
          <w:tcPr>
            <w:tcW w:w="6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0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net earnings per share of common stock</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22"/>
        </w:trPr>
        <w:tc>
          <w:tcPr>
            <w:tcW w:w="6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of common stock outstanding — Basic</w:t>
            </w:r>
          </w:p>
        </w:tc>
        <w:tc>
          <w:tcPr>
            <w:tcW w:w="1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105,037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108,122</w:t>
            </w:r>
          </w:p>
        </w:tc>
      </w:tr>
      <w:tr>
        <w:trPr>
          <w:trHeight w:val="142"/>
        </w:trPr>
        <w:tc>
          <w:tcPr>
            <w:tcW w:w="6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0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of common stock outstanding — Diluted</w:t>
            </w:r>
          </w:p>
        </w:tc>
        <w:tc>
          <w:tcPr>
            <w:tcW w:w="17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106,048</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109,194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2"/>
              </w:rPr>
              <w:t>January 28, 2022</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January 29, 2021</w:t>
            </w:r>
          </w:p>
        </w:tc>
      </w:tr>
      <w:tr>
        <w:trPr>
          <w:trHeight w:val="20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69,510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111,281</w:t>
            </w:r>
          </w:p>
        </w:tc>
      </w:tr>
      <w:tr>
        <w:trPr>
          <w:trHeight w:val="207"/>
        </w:trPr>
        <w:tc>
          <w:tcPr>
            <w:tcW w:w="6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8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10,396</w:t>
            </w:r>
          </w:p>
        </w:tc>
      </w:tr>
      <w:tr>
        <w:trPr>
          <w:trHeight w:val="207"/>
        </w:trPr>
        <w:tc>
          <w:tcPr>
            <w:tcW w:w="6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instruments, net of tax of $2,032 and $(2,792), respectively</w:t>
            </w:r>
          </w:p>
        </w:tc>
        <w:tc>
          <w:tcPr>
            <w:tcW w:w="1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6,372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r>
      <w:tr>
        <w:trPr>
          <w:trHeight w:val="200"/>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8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382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r>
      <w:tr>
        <w:trPr>
          <w:trHeight w:val="20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69,892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113,367</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2"/>
              </w:rPr>
              <w:t>January 28, 2022</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2"/>
              </w:rPr>
              <w:t>January 29, 2021</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October 31, 2021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91"/>
              </w:rPr>
              <w:t>ASSETS</w:t>
            </w:r>
          </w:p>
        </w:tc>
        <w:tc>
          <w:tcPr>
            <w:tcW w:w="602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192,959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433,394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405,612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366,270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306,865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832,072</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675,307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738,170</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45,962</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41,177</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35,124</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1,437,263</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1,456,743</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1,489,185</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507,549</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457,147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487,731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576,940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422,163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600,797</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410,587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420,041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78,306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75,467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Investment in finance affiliate</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24,119</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22,955</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20,671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3,938</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9,658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24,133</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20,418</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24,042</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3,253,045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2,875,138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62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color w:val="auto"/>
              </w:rPr>
              <w:t>LIABILITIES AND STOCKHOLDERS’ EQUITY</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portion of long-term debt</w:t>
            </w:r>
          </w:p>
        </w:tc>
        <w:tc>
          <w:tcPr>
            <w:tcW w:w="3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CEEFF"/>
            </w:tcBorders>
          </w:tcPr>
          <w:p>
            <w:pPr>
              <w:jc w:val="right"/>
              <w:ind w:right="38"/>
              <w:spacing w:after="0"/>
              <w:rPr>
                <w:sz w:val="20"/>
                <w:szCs w:val="20"/>
                <w:color w:val="auto"/>
              </w:rPr>
            </w:pPr>
            <w:r>
              <w:rPr>
                <w:rFonts w:ascii="Arial" w:cs="Arial" w:eastAsia="Arial" w:hAnsi="Arial"/>
                <w:sz w:val="16"/>
                <w:szCs w:val="16"/>
                <w:color w:val="auto"/>
              </w:rPr>
              <w:t>100,000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9,992</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474,483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364,361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395,739</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429,820</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419,620</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Short-term lease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15,842</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15,368</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986,064</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819,541</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937,019</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 less current portion</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991,354</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691,356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691,242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65,760</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63,469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50,382</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71,970</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50,397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39,936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49,080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gridSpan w:val="3"/>
          </w:tcPr>
          <w:p>
            <w:pPr>
              <w:ind w:left="120"/>
              <w:spacing w:after="0" w:line="155" w:lineRule="exact"/>
              <w:rPr>
                <w:sz w:val="20"/>
                <w:szCs w:val="20"/>
                <w:color w:val="auto"/>
              </w:rPr>
            </w:pPr>
            <w:r>
              <w:rPr>
                <w:rFonts w:ascii="Arial" w:cs="Arial" w:eastAsia="Arial" w:hAnsi="Arial"/>
                <w:sz w:val="16"/>
                <w:szCs w:val="16"/>
                <w:color w:val="auto"/>
                <w:w w:val="95"/>
              </w:rPr>
              <w:t>Preferred stock, par value $1.00 per share, authorized 1,000,000 voting and 850,000 non-voting</w:t>
            </w:r>
          </w:p>
        </w:tc>
        <w:tc>
          <w:tcPr>
            <w:tcW w:w="240" w:type="dxa"/>
            <w:vAlign w:val="bottom"/>
          </w:tcPr>
          <w:p>
            <w:pPr>
              <w:spacing w:after="0"/>
              <w:rPr>
                <w:sz w:val="13"/>
                <w:szCs w:val="13"/>
                <w:color w:val="auto"/>
              </w:rPr>
            </w:pPr>
          </w:p>
        </w:tc>
        <w:tc>
          <w:tcPr>
            <w:tcW w:w="1360" w:type="dxa"/>
            <w:vAlign w:val="bottom"/>
            <w:vMerge w:val="restart"/>
          </w:tcPr>
          <w:p>
            <w:pPr>
              <w:jc w:val="right"/>
              <w:ind w:right="3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6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shares, none issued and outstanding</w:t>
            </w:r>
          </w:p>
        </w:tc>
        <w:tc>
          <w:tcPr>
            <w:tcW w:w="2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2"/>
              </w:rPr>
              <w:t>Common stock, par value $1.00 per share, authorized 175,000,000 shares; issued and outstanding</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7"/>
              </w:rPr>
              <w:t>104,528,510 shares as of January 28, 2022, 107,613,431 shares as of January 29, 2021, and</w:t>
            </w:r>
          </w:p>
        </w:tc>
        <w:tc>
          <w:tcPr>
            <w:tcW w:w="24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104,529</w:t>
            </w:r>
          </w:p>
        </w:tc>
        <w:tc>
          <w:tcPr>
            <w:tcW w:w="16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107,613</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105,206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105,205,734 shares as of October 31, 2021</w:t>
            </w:r>
          </w:p>
        </w:tc>
        <w:tc>
          <w:tcPr>
            <w:tcW w:w="24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Arial" w:cs="Arial" w:eastAsia="Arial" w:hAnsi="Arial"/>
                <w:sz w:val="16"/>
                <w:szCs w:val="16"/>
                <w:color w:val="auto"/>
              </w:rPr>
              <w:t>1,040,634</w:t>
            </w:r>
          </w:p>
        </w:tc>
        <w:tc>
          <w:tcPr>
            <w:tcW w:w="16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1,104,285</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1,071,922</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1,119,549</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1,179,722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1,151,132</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3,253,045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2,875,138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92"/>
              </w:rPr>
              <w:t>January 28, 2022</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January 29, 2021</w:t>
            </w:r>
          </w:p>
        </w:tc>
      </w:tr>
      <w:tr>
        <w:trPr>
          <w:trHeight w:val="20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69,510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111,281</w:t>
            </w: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net cash (used in) provided by operating activities: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Non-cash income from finance affiliate</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(1,398)</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Contributions to finance affiliate, net</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24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18,487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19,173</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intangible assets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6,456</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Compensation cost for stock-based compensation awards</w:t>
            </w:r>
          </w:p>
        </w:tc>
        <w:tc>
          <w:tcPr>
            <w:tcW w:w="124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5,225</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4,516</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0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(50,599)</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(46,159)</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(25,594)</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(2,794)</w:t>
            </w:r>
          </w:p>
        </w:tc>
      </w:tr>
      <w:tr>
        <w:trPr>
          <w:trHeight w:val="207"/>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 liabilities</w:t>
            </w:r>
          </w:p>
        </w:tc>
        <w:tc>
          <w:tcPr>
            <w:tcW w:w="1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30,606</w:t>
            </w:r>
          </w:p>
        </w:tc>
      </w:tr>
      <w:tr>
        <w:trPr>
          <w:trHeight w:val="200"/>
        </w:trPr>
        <w:tc>
          <w:tcPr>
            <w:tcW w:w="71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provided by operating activities</w:t>
            </w: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(90,043)</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95,025</w:t>
            </w:r>
          </w:p>
        </w:tc>
      </w:tr>
      <w:tr>
        <w:trPr>
          <w:trHeight w:val="187"/>
        </w:trPr>
        <w:tc>
          <w:tcPr>
            <w:tcW w:w="7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(10,504)</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Business combinations, net of cash acquired</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(401,494)</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acquisition, net of cash acquired</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Proceeds from asset disposals</w:t>
            </w:r>
          </w:p>
        </w:tc>
        <w:tc>
          <w:tcPr>
            <w:tcW w:w="124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7"/>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 of a business</w:t>
            </w:r>
          </w:p>
        </w:tc>
        <w:tc>
          <w:tcPr>
            <w:tcW w:w="1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12,886</w:t>
            </w:r>
          </w:p>
        </w:tc>
      </w:tr>
      <w:tr>
        <w:trPr>
          <w:trHeight w:val="200"/>
        </w:trPr>
        <w:tc>
          <w:tcPr>
            <w:tcW w:w="71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(413,371)</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w:t>
            </w:r>
          </w:p>
        </w:tc>
      </w:tr>
      <w:tr>
        <w:trPr>
          <w:trHeight w:val="187"/>
        </w:trPr>
        <w:tc>
          <w:tcPr>
            <w:tcW w:w="7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debt arrangements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400,000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Repayments under debt arrangements</w:t>
            </w:r>
          </w:p>
        </w:tc>
        <w:tc>
          <w:tcPr>
            <w:tcW w:w="1240" w:type="dxa"/>
            <w:vAlign w:val="bottom"/>
          </w:tcPr>
          <w:p>
            <w:pPr>
              <w:spacing w:after="0"/>
              <w:rPr>
                <w:sz w:val="17"/>
                <w:szCs w:val="17"/>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1,150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7,714</w:t>
            </w:r>
          </w:p>
        </w:tc>
      </w:tr>
      <w:tr>
        <w:trPr>
          <w:trHeight w:val="207"/>
        </w:trPr>
        <w:tc>
          <w:tcPr>
            <w:tcW w:w="7160" w:type="dxa"/>
            <w:vAlign w:val="bottom"/>
          </w:tcPr>
          <w:p>
            <w:pPr>
              <w:ind w:left="140"/>
              <w:spacing w:after="0"/>
              <w:rPr>
                <w:sz w:val="20"/>
                <w:szCs w:val="20"/>
                <w:color w:val="auto"/>
              </w:rPr>
            </w:pPr>
            <w:r>
              <w:rPr>
                <w:rFonts w:ascii="Arial" w:cs="Arial" w:eastAsia="Arial" w:hAnsi="Arial"/>
                <w:sz w:val="16"/>
                <w:szCs w:val="16"/>
                <w:color w:val="auto"/>
              </w:rPr>
              <w:t>Payments of withholding taxes for stock awards</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(1,381)</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07"/>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TTC common stock</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w:t>
            </w:r>
          </w:p>
        </w:tc>
      </w:tr>
      <w:tr>
        <w:trPr>
          <w:trHeight w:val="207"/>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Dividends paid on TTC common stock</w:t>
            </w: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(31,469)</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(28,411)</w:t>
            </w:r>
          </w:p>
        </w:tc>
      </w:tr>
      <w:tr>
        <w:trPr>
          <w:trHeight w:val="200"/>
        </w:trPr>
        <w:tc>
          <w:tcPr>
            <w:tcW w:w="7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1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293,300</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(142,989)</w:t>
            </w:r>
          </w:p>
        </w:tc>
      </w:tr>
      <w:tr>
        <w:trPr>
          <w:trHeight w:val="187"/>
        </w:trPr>
        <w:tc>
          <w:tcPr>
            <w:tcW w:w="7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7"/>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r>
      <w:tr>
        <w:trPr>
          <w:trHeight w:val="187"/>
        </w:trPr>
        <w:tc>
          <w:tcPr>
            <w:tcW w:w="7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7"/>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(212,653)</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(46,498)</w:t>
            </w:r>
          </w:p>
        </w:tc>
      </w:tr>
      <w:tr>
        <w:trPr>
          <w:trHeight w:val="20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405,612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479,892</w:t>
            </w:r>
          </w:p>
        </w:tc>
      </w:tr>
      <w:tr>
        <w:trPr>
          <w:trHeight w:val="225"/>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end of the fiscal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192,959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433,394</w:t>
            </w:r>
          </w:p>
        </w:tc>
      </w:tr>
      <w:tr>
        <w:trPr>
          <w:trHeight w:val="20"/>
        </w:trPr>
        <w:tc>
          <w:tcPr>
            <w:tcW w:w="7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Arial" w:cs="Arial" w:eastAsia="Arial" w:hAnsi="Arial"/>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Arial" w:cs="Arial" w:eastAsia="Arial" w:hAnsi="Arial"/>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Arial" w:cs="Arial" w:eastAsia="Arial" w:hAnsi="Arial"/>
                <w:sz w:val="16"/>
                <w:szCs w:val="16"/>
                <w:b w:val="1"/>
                <w:bCs w:val="1"/>
                <w:color w:val="auto"/>
                <w:w w:val="93"/>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w w:val="96"/>
              </w:rPr>
              <w:t>Total Stockholders'</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w w:val="96"/>
              </w:rPr>
              <w:t>Comprehensive Loss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105,206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1,151,132</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6"/>
                <w:szCs w:val="16"/>
                <w:color w:val="auto"/>
              </w:rPr>
              <w:t>Cash dividends paid on common stock - $0.30 per share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(31,469)</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(31,469)</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Issuance of 109,658 shares of common stock under The Toro Company</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1,074</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Amended and Restated 2010 Equity and Incentive Plan</w:t>
            </w: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5,225</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5,225</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Contribution of 33,162 shares of common stock to a deferred compensation</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Purchase of 752,519 shares of common stock</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(75,628)</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(76,381)</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382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69,510</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69,510</w:t>
            </w:r>
          </w:p>
        </w:tc>
        <w:tc>
          <w:tcPr>
            <w:tcW w:w="0" w:type="dxa"/>
            <w:vAlign w:val="bottom"/>
          </w:tcPr>
          <w:p>
            <w:pPr>
              <w:spacing w:after="0"/>
              <w:rPr>
                <w:sz w:val="1"/>
                <w:szCs w:val="1"/>
                <w:color w:val="auto"/>
              </w:rPr>
            </w:pPr>
          </w:p>
        </w:tc>
      </w:tr>
      <w:tr>
        <w:trPr>
          <w:trHeight w:val="199"/>
        </w:trPr>
        <w:tc>
          <w:tcPr>
            <w:tcW w:w="5160" w:type="dxa"/>
            <w:vAlign w:val="bottom"/>
            <w:tcBorders>
              <w:bottom w:val="single" w:sz="8" w:color="auto"/>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Balance as of January 28, 2022</w:t>
            </w:r>
          </w:p>
        </w:tc>
        <w:tc>
          <w:tcPr>
            <w:tcW w:w="320" w:type="dxa"/>
            <w:vAlign w:val="bottom"/>
            <w:tcBorders>
              <w:bottom w:val="single" w:sz="8" w:color="auto"/>
            </w:tcBorders>
            <w:shd w:val="clear" w:color="auto" w:fill="CCEEFF"/>
          </w:tcPr>
          <w:p>
            <w:pPr>
              <w:jc w:val="right"/>
              <w:ind w:right="38"/>
              <w:spacing w:after="0" w:line="174"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104,529</w:t>
            </w:r>
          </w:p>
        </w:tc>
        <w:tc>
          <w:tcPr>
            <w:tcW w:w="280" w:type="dxa"/>
            <w:vAlign w:val="bottom"/>
            <w:tcBorders>
              <w:bottom w:val="single" w:sz="8" w:color="auto"/>
            </w:tcBorders>
            <w:shd w:val="clear" w:color="auto" w:fill="CCEEFF"/>
          </w:tcPr>
          <w:p>
            <w:pPr>
              <w:jc w:val="right"/>
              <w:ind w:right="58"/>
              <w:spacing w:after="0" w:line="174"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1,040,634</w:t>
            </w:r>
          </w:p>
        </w:tc>
        <w:tc>
          <w:tcPr>
            <w:tcW w:w="1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(25,614)</w:t>
            </w:r>
          </w:p>
        </w:tc>
        <w:tc>
          <w:tcPr>
            <w:tcW w:w="340" w:type="dxa"/>
            <w:vAlign w:val="bottom"/>
            <w:tcBorders>
              <w:bottom w:val="single" w:sz="8" w:color="auto"/>
            </w:tcBorders>
            <w:shd w:val="clear" w:color="auto" w:fill="CCEEFF"/>
          </w:tcPr>
          <w:p>
            <w:pPr>
              <w:jc w:val="right"/>
              <w:ind w:right="118"/>
              <w:spacing w:after="0" w:line="174"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1,119,549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107,583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1,041,507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1,114,828</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6"/>
                <w:szCs w:val="16"/>
                <w:color w:val="auto"/>
              </w:rPr>
              <w:t>Cash dividends paid on common stock - $0.2625 per share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(28,411)</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(28,411)</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351,178 shares of common stock for exercised stock options and</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350</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5,879</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restricted stock units and performance share awards</w:t>
            </w: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4,516</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155"/>
        </w:trPr>
        <w:tc>
          <w:tcPr>
            <w:tcW w:w="5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Contribution of 22,700 shares of common stock to a deferred compensation</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1,462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Purchase of 343,117 shares of common stock</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(31,949)</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(32,292)</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2,086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111,281</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111,281</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29, 2021</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107,613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1,104,285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1,179,722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January 28, 2022</w:t>
      </w:r>
    </w:p>
    <w:p>
      <w:pPr>
        <w:spacing w:after="0" w:line="345" w:lineRule="exact"/>
        <w:rPr>
          <w:sz w:val="20"/>
          <w:szCs w:val="20"/>
          <w:color w:val="auto"/>
        </w:rPr>
      </w:pPr>
    </w:p>
    <w:p>
      <w:pPr>
        <w:ind w:left="600" w:hanging="579"/>
        <w:spacing w:after="0"/>
        <w:tabs>
          <w:tab w:leader="none" w:pos="600" w:val="left"/>
        </w:tabs>
        <w:numPr>
          <w:ilvl w:val="0"/>
          <w:numId w:val="5"/>
        </w:numPr>
        <w:rPr>
          <w:rFonts w:ascii="Arial" w:cs="Arial" w:eastAsia="Arial" w:hAnsi="Arial"/>
          <w:sz w:val="41"/>
          <w:szCs w:val="41"/>
          <w:b w:val="1"/>
          <w:bCs w:val="1"/>
          <w:color w:val="auto"/>
        </w:rPr>
      </w:pPr>
      <w:r>
        <w:rPr>
          <w:rFonts w:ascii="Arial" w:cs="Arial" w:eastAsia="Arial" w:hAnsi="Arial"/>
          <w:sz w:val="19"/>
          <w:szCs w:val="19"/>
          <w:b w:val="1"/>
          <w:bCs w:val="1"/>
          <w:color w:val="auto"/>
        </w:rPr>
        <w:t>Basis of Presentation</w:t>
      </w:r>
    </w:p>
    <w:p>
      <w:pPr>
        <w:spacing w:after="0" w:line="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and the current COVID-19 pandemic, among other factors, operating results for the three months ended January 28, 2022 cannot be annualized to determine the expected results for the fiscal year ending October 31, 2022.</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2021. The policies described in that report are used for preparing the company's quarterly reports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 Pandemic</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The continuing implications of COVID-19 on the company remain uncertain and will depend on future developments, including any adverse impact due to additional variants of the virus; its impact on market demand for the company's products; its impact on the company's employees, customers, and suppliers; the range of government mandated restrictions and other measures; and the success of the COVID-19 vaccines and their effectiveness against the virus and related variants. This uncertainty could have a material impact on accounting estimates and assumptions utilized to prepare the Condensed Consolidated Financial Statements as of and for the three months ended January 28, 2022 and in future reporting periods, which could result in a material adverse impact on the company's consolidated financial position, results of operations, and cash flows.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 and Estimates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including those impacted by COVID-19, actual amounts could differ significantly from those estimated at the time the Condensed Consolidated Financial Statements are prepared.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Adopted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eliminates certain exceptions related to the approach for intraperiod tax allocation, the methodology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amended guidance was adopted in the first quarter of fiscal 2022 and did not have a material impact on the company's Condensed Consolidated Financial Statements.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 - Equity Securities (Topic 321), Investments - Equity Method and Joint Ventures (Topic 323),</w:t>
      </w:r>
      <w:r>
        <w:rPr>
          <w:rFonts w:ascii="Arial" w:cs="Arial" w:eastAsia="Arial" w:hAnsi="Arial"/>
          <w:sz w:val="17"/>
          <w:szCs w:val="17"/>
          <w:color w:val="auto"/>
        </w:rPr>
        <w:t xml:space="preserve"> </w:t>
      </w:r>
      <w:r>
        <w:rPr>
          <w:rFonts w:ascii="Arial" w:cs="Arial" w:eastAsia="Arial" w:hAnsi="Arial"/>
          <w:sz w:val="17"/>
          <w:szCs w:val="17"/>
          <w:i w:val="1"/>
          <w:iCs w:val="1"/>
          <w:color w:val="auto"/>
        </w:rPr>
        <w:t>and Derivatives and Hedging (Topic 815)</w:t>
      </w:r>
      <w:r>
        <w:rPr>
          <w:rFonts w:ascii="Arial" w:cs="Arial" w:eastAsia="Arial" w:hAnsi="Arial"/>
          <w:sz w:val="17"/>
          <w:szCs w:val="17"/>
          <w:color w:val="auto"/>
        </w:rPr>
        <w:t>, which clarified that before applying or upon discontinuing the equity method of accounting for an investment in equity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 entity should consider observable transactions that require it to apply or discontinue the equity method of accounting for the purposes of applying the fair value measurement alternative. The amended guidance was adopted in the first quarter of fiscal 2022 and did not have a material impact on the company's Condensed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Not Yet Adopted</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 Facilitation of the Effects of Reference Rate Reform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which provides temporary optional guidance to ease the potential burden of accounting for reference rate reform due to the cessation of the London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Interbank Offered Rate, commonly referred to as "LIBOR." The temporary guidance provides optional expedients and exceptions for applying U.S. GAAP to contracts, relationships, and transactions affected by reference rate reform if certain criteria are met. The guidance was effective upon issuance on March 12, 2020 and the provisions of the temporary optional guidance provided by the ASU may be elected on a prospective basis from the beginning of an interim period that includes the issuance date of the ASU through December 31, 2022, when the reference rate reform activity is expected to be substantially complete. In January 2021, the FASB issued ASU 2021-01, </w:t>
      </w:r>
      <w:r>
        <w:rPr>
          <w:rFonts w:ascii="Arial" w:cs="Arial" w:eastAsia="Arial" w:hAnsi="Arial"/>
          <w:sz w:val="15"/>
          <w:szCs w:val="15"/>
          <w:i w:val="1"/>
          <w:iCs w:val="1"/>
          <w:color w:val="auto"/>
        </w:rPr>
        <w:t>Reference Rate Reform (Topic 848): Scope</w:t>
      </w:r>
      <w:r>
        <w:rPr>
          <w:rFonts w:ascii="Arial" w:cs="Arial" w:eastAsia="Arial" w:hAnsi="Arial"/>
          <w:sz w:val="15"/>
          <w:szCs w:val="15"/>
          <w:color w:val="auto"/>
        </w:rPr>
        <w:t>, to provide supplemental guidance and to further clarify the scope of the amended guidance. At this time, the company does not have receivables, hedging relationships, or operating lease agreements that reference LIBOR or another reference rate expected to be discontinued; and therefore, the company has not applied the optional practical expedients under this ASU to these classes of assets. On October 5, 2021, the company entered into an amended and restated credit agreement and at such time, the company concluded that the optional practical expedients provided by the ASU would not be elected as the required criteria were not met. The amended and restated credit agreement includes a transition clause in the event LIBOR is discontinued and the company's other fixed-rate financing agreements do not reference LIBOR or another reference rate expected to be discontinued. As such, the company does not expect the transition of LIBOR to have a material impact on the company's Condensed Consolidated Financial Statements; however, a review of other contracts and agreements is underway and is expected to be completed prior to December 31, 2022.</w:t>
      </w:r>
    </w:p>
    <w:p>
      <w:pPr>
        <w:spacing w:after="0" w:line="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92" w:lineRule="exact"/>
        <w:rPr>
          <w:sz w:val="20"/>
          <w:szCs w:val="20"/>
          <w:color w:val="auto"/>
        </w:rPr>
      </w:pPr>
    </w:p>
    <w:p>
      <w:pPr>
        <w:ind w:left="600" w:hanging="579"/>
        <w:spacing w:after="0"/>
        <w:tabs>
          <w:tab w:leader="none" w:pos="600" w:val="left"/>
        </w:tabs>
        <w:numPr>
          <w:ilvl w:val="0"/>
          <w:numId w:val="6"/>
        </w:numPr>
        <w:rPr>
          <w:rFonts w:ascii="Arial" w:cs="Arial" w:eastAsia="Arial" w:hAnsi="Arial"/>
          <w:sz w:val="41"/>
          <w:szCs w:val="41"/>
          <w:b w:val="1"/>
          <w:bCs w:val="1"/>
          <w:color w:val="auto"/>
        </w:rPr>
      </w:pPr>
      <w:r>
        <w:rPr>
          <w:rFonts w:ascii="Arial" w:cs="Arial" w:eastAsia="Arial" w:hAnsi="Arial"/>
          <w:sz w:val="19"/>
          <w:szCs w:val="19"/>
          <w:b w:val="1"/>
          <w:bCs w:val="1"/>
          <w:color w:val="auto"/>
        </w:rPr>
        <w:t>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Intimidator Group</w:t>
      </w:r>
    </w:p>
    <w:p>
      <w:pPr>
        <w:spacing w:after="0" w:line="1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January 13, 2022 ("closing date"), pursuant to an equity interest purchase agreement ("equity agreement"), the company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reportable segment and expanded its manufacturing footprint and dealer network.</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Intimidator acquisition was structured as an equity purchase, pursuant to which the company acquired 100 percent of the equity interests of the legal entities that comprised Intimidator, with the legal entities continuing as surviving entities and wholly-owned subsidiaries of the company. As part of the acquisition, the company also acquired the real property used by Intimidator that was owned by an affiliate of Intimidator. The aggregate preliminary cash consideration was $398.9 million ("purchase price") and remains subject to certain customary adjustments based on, among other things, the amount of actual cash, debt, and working capital in the business of Intimidator at the closing date. Such customary adjustments are expected to be completed during fiscal 2022. Additionally, the aggregate preliminary cash consideration remains subject to contingent consideration through the end of calendar year 2022, in the event of certain qualifying tax changes. As a result, the company could be subject to additional cash purchase consideration for an amount not to exceed $15.0 million and remittance of such contingent consideration, if required, is due by March 15, 2023. As of January 28, 2022, no liability was recorded within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Condensed Consolidated Balance Sheets for the contingent consideration as the contingency is not probable or estimable. If amounts were recorded for the contingent consideration during the 12 month provisional measurement period allowed under the accounting standards codification guidance for business combinations as a result of a qualifying tax change, the aggregate preliminary cash consideration would be increased by the amount of the contingent consideration with a corresponding increase in the goodwill recognized for the acquisition. The company funded the preliminary purchase price with borrowings under its existing unsecured senior revolving credit facility and cash provided by operating activities. For additional information regarding the company's unsecured senior revolving credit facility utilized to fund the purchase price, refer to Note 6, </w:t>
      </w:r>
      <w:r>
        <w:rPr>
          <w:rFonts w:ascii="Arial" w:cs="Arial" w:eastAsia="Arial" w:hAnsi="Arial"/>
          <w:sz w:val="17"/>
          <w:szCs w:val="17"/>
          <w:i w:val="1"/>
          <w:iCs w:val="1"/>
          <w:color w:val="auto"/>
        </w:rPr>
        <w:t>Indebtedness</w:t>
      </w:r>
      <w:r>
        <w:rPr>
          <w:rFonts w:ascii="Arial" w:cs="Arial" w:eastAsia="Arial" w:hAnsi="Arial"/>
          <w:sz w:val="17"/>
          <w:szCs w:val="17"/>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aggregate preliminary purchase price was allocated to the acquired net tangible and intangible assets of Intimidator based on their fair values as of the closing date. The company believes that the information available as of the closing date provides a reasonable basis for estimating fair values of the assets acquired and liabilities assumed; however, the company is continuing to finalize these amounts. Thus, the preliminary measurements of the fair values of the assets acquired and liabilities assumed within the preliminary purchase price allocation are subject to change as additional information becomes available and as additional analysis is performed. The company expects to finalize its preliminary valuation and complete the allocation of the preliminary purchase price as soon as practicable, but no later than one year from the closing date of the acquisition, as required.</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summarizes the allocation of the preliminary purchase price to the fair values assigned to the assets acquired and liabilities assumed. These preliminary fair values are based on internal company and independent external third-party valuations and are subject to change as certain asset and liability valuations are finalized: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5"/>
              </w:rPr>
              <w:t>January 13, 2022</w:t>
            </w:r>
          </w:p>
        </w:tc>
      </w:tr>
      <w:tr>
        <w:trPr>
          <w:trHeight w:val="20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6,788</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36,006</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26,825</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155,638</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Indefinite-lived trade name</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trade names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3,260</w:t>
            </w: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Finite-lived customer-related</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liabilities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401,475</w:t>
            </w:r>
          </w:p>
        </w:tc>
      </w:tr>
      <w:tr>
        <w:trPr>
          <w:trHeight w:val="205"/>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cash and cash equivalents acquired</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preliminary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398,874</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and is the primary driver for the increase in the company's Professional segment goodwill to $566.4 million as of January 28, 2022. The acquisition was considered an asset acquisition for income tax purposes and as a result, the goodwill arising from the transaction is deductible.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 Acquired</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allocation of the preliminary purchase price to the net assets acquired resulted in the recognition of $185.9 million of preliminary value for other intangible assets as of the closing date. The preliminary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preliminary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preliminary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of the acquisition, the weighted-average useful life of the customer-related and backlog intangible assets were determined to be 9.7 years and 9 months,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Results of Operations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Intimidator's results of operations are included within the company's Professional reportable segment in the company's Condensed Consolidated Financial Statements from the closing date. Intimidator's operations had an immaterial impact on the company's Professional reportable segment net sales and segment earnings for the three month period ended January 28, 2022. Unaudited pro forma financial information is not disclosed as the Intimidator acquisition was not considered material to the company's consolidated results of operations.</w:t>
      </w:r>
    </w:p>
    <w:p>
      <w:pPr>
        <w:spacing w:after="0" w:line="110" w:lineRule="exact"/>
        <w:rPr>
          <w:sz w:val="20"/>
          <w:szCs w:val="20"/>
          <w:color w:val="auto"/>
        </w:rPr>
      </w:pPr>
    </w:p>
    <w:p>
      <w:pPr>
        <w:ind w:left="600" w:hanging="579"/>
        <w:spacing w:after="0"/>
        <w:tabs>
          <w:tab w:leader="none" w:pos="600" w:val="left"/>
        </w:tabs>
        <w:numPr>
          <w:ilvl w:val="0"/>
          <w:numId w:val="7"/>
        </w:numPr>
        <w:rPr>
          <w:rFonts w:ascii="Arial" w:cs="Arial" w:eastAsia="Arial" w:hAnsi="Arial"/>
          <w:sz w:val="41"/>
          <w:szCs w:val="41"/>
          <w:b w:val="1"/>
          <w:bCs w:val="1"/>
          <w:color w:val="auto"/>
        </w:rPr>
      </w:pPr>
      <w:r>
        <w:rPr>
          <w:rFonts w:ascii="Arial" w:cs="Arial" w:eastAsia="Arial" w:hAnsi="Arial"/>
          <w:sz w:val="19"/>
          <w:szCs w:val="19"/>
          <w:b w:val="1"/>
          <w:bCs w:val="1"/>
          <w:color w:val="auto"/>
        </w:rPr>
        <w:t>Segment Data</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summarized financial information concerning the company’s reportable business segments and Other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January 28, 2022</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672,885</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255,402</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4,363</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932,650</w:t>
            </w:r>
          </w:p>
        </w:tc>
      </w:tr>
      <w:tr>
        <w:trPr>
          <w:trHeight w:val="205"/>
        </w:trPr>
        <w:tc>
          <w:tcPr>
            <w:tcW w:w="39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5,417</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(5,432)</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93,272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(37,885)</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87,147</w:t>
            </w:r>
          </w:p>
        </w:tc>
      </w:tr>
      <w:tr>
        <w:trPr>
          <w:trHeight w:val="20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2,486,201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444,549</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322,295</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3,253,045</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January 29, 2021</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650,223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217,700</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5,063</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872,986</w:t>
            </w:r>
          </w:p>
        </w:tc>
      </w:tr>
      <w:tr>
        <w:trPr>
          <w:trHeight w:val="205"/>
        </w:trPr>
        <w:tc>
          <w:tcPr>
            <w:tcW w:w="39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6,642</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(6,658)</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135,826</w:t>
            </w:r>
          </w:p>
        </w:tc>
      </w:tr>
      <w:tr>
        <w:trPr>
          <w:trHeight w:val="20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1,952,536</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345,185</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577,417</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2,875,138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operating loss before income taxes for the company's Other activities: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28, 2022</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(11,303)</w:t>
            </w:r>
          </w:p>
        </w:tc>
      </w:tr>
      <w:tr>
        <w:trPr>
          <w:trHeight w:val="205"/>
        </w:trPr>
        <w:tc>
          <w:tcPr>
            <w:tcW w:w="6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5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(7,013)</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(7,522)</w:t>
            </w:r>
          </w:p>
        </w:tc>
      </w:tr>
      <w:tr>
        <w:trPr>
          <w:trHeight w:val="207"/>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from wholly-owned domestic distribution companies and other income, net</w:t>
            </w:r>
          </w:p>
        </w:tc>
        <w:tc>
          <w:tcPr>
            <w:tcW w:w="15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1,956</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5,727</w:t>
            </w:r>
          </w:p>
        </w:tc>
      </w:tr>
      <w:tr>
        <w:trPr>
          <w:trHeight w:val="20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loss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0" w:hanging="579"/>
        <w:spacing w:after="0"/>
        <w:tabs>
          <w:tab w:leader="none" w:pos="600" w:val="left"/>
        </w:tabs>
        <w:numPr>
          <w:ilvl w:val="0"/>
          <w:numId w:val="8"/>
        </w:numPr>
        <w:rPr>
          <w:rFonts w:ascii="Arial" w:cs="Arial" w:eastAsia="Arial" w:hAnsi="Arial"/>
          <w:sz w:val="41"/>
          <w:szCs w:val="41"/>
          <w:b w:val="1"/>
          <w:bCs w:val="1"/>
          <w:color w:val="auto"/>
        </w:rPr>
      </w:pPr>
      <w:r>
        <w:rPr>
          <w:rFonts w:ascii="Arial" w:cs="Arial" w:eastAsia="Arial" w:hAnsi="Arial"/>
          <w:sz w:val="19"/>
          <w:szCs w:val="19"/>
          <w:b w:val="1"/>
          <w:bCs w:val="1"/>
          <w:color w:val="auto"/>
        </w:rPr>
        <w:t>Revenue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January 28, 2022</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6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570,871</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244,589</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3,147</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818,607</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10,813</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1,216</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114,043</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672,885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255,402</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4,363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932,650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530,734</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202,567</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4,363</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737,664</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142,151</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52,835</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194,986</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672,885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255,402</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4,363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932,650</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January 29, 2021</w:t>
            </w:r>
          </w:p>
        </w:tc>
        <w:tc>
          <w:tcPr>
            <w:tcW w:w="1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6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575,775</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205,923</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3,942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785,640</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74,448</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1,121</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87,346</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650,223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217,700</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5,063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872,986</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501,860</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174,382</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5,063</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681,305</w:t>
            </w:r>
          </w:p>
        </w:tc>
      </w:tr>
      <w:tr>
        <w:trPr>
          <w:trHeight w:val="207"/>
        </w:trPr>
        <w:tc>
          <w:tcPr>
            <w:tcW w:w="3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148,363</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43,318</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191,681</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650,223</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217,700</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5,063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872,986</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January 28, 2022 and October 31, 2021, $24.6 million and $24.1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January 28, 2022, the company recognized $2.5 million of the October 31, 2021 deferred revenue balance within net sales in the Condensed Consolidated Statements of Earnings. The company expects to recognize approximately $8.6 million of the October 31, 2021 deferred revenue amount within net sales throughout the remainder of fiscal 2022, $7.7 million in fiscal 2023, and $5.3 million thereafter.</w:t>
      </w:r>
    </w:p>
    <w:p>
      <w:pPr>
        <w:spacing w:after="0" w:line="94" w:lineRule="exact"/>
        <w:rPr>
          <w:sz w:val="20"/>
          <w:szCs w:val="20"/>
          <w:color w:val="auto"/>
        </w:rPr>
      </w:pPr>
    </w:p>
    <w:p>
      <w:pPr>
        <w:ind w:left="600" w:hanging="579"/>
        <w:spacing w:after="0"/>
        <w:tabs>
          <w:tab w:leader="none" w:pos="600" w:val="left"/>
        </w:tabs>
        <w:numPr>
          <w:ilvl w:val="0"/>
          <w:numId w:val="9"/>
        </w:numPr>
        <w:rPr>
          <w:rFonts w:ascii="Arial" w:cs="Arial" w:eastAsia="Arial" w:hAnsi="Arial"/>
          <w:sz w:val="41"/>
          <w:szCs w:val="41"/>
          <w:b w:val="1"/>
          <w:bCs w:val="1"/>
          <w:color w:val="auto"/>
        </w:rPr>
      </w:pPr>
      <w:r>
        <w:rPr>
          <w:rFonts w:ascii="Arial" w:cs="Arial" w:eastAsia="Arial" w:hAnsi="Arial"/>
          <w:sz w:val="19"/>
          <w:szCs w:val="19"/>
          <w:b w:val="1"/>
          <w:bCs w:val="1"/>
          <w:color w:val="auto"/>
        </w:rPr>
        <w:t>Goodwill and Other Intangible Assets, Net</w:t>
      </w:r>
    </w:p>
    <w:p>
      <w:pPr>
        <w:spacing w:after="0" w:line="87"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 xml:space="preserve">The company's acquisition of Intimidator on January 13, 2022 resulted in the recognition of $155.6 million and $185.9 million of preliminary goodwill and other intangible assets, respectively. For additional information on the company's acquisition of Intimidator, refer to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reportable segment for the first three months of fiscal 2022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Residential</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411,079</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10,601</w:t>
            </w:r>
          </w:p>
        </w:tc>
        <w:tc>
          <w:tcPr>
            <w:tcW w:w="110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421,680</w:t>
            </w: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Goodwill acquired</w:t>
            </w:r>
          </w:p>
        </w:tc>
        <w:tc>
          <w:tcPr>
            <w:tcW w:w="18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155,638</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155,638</w:t>
            </w:r>
          </w:p>
        </w:tc>
      </w:tr>
      <w:tr>
        <w:trPr>
          <w:trHeight w:val="207"/>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8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0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January 28, 2022</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566,396</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10,544</w:t>
            </w:r>
          </w:p>
        </w:tc>
        <w:tc>
          <w:tcPr>
            <w:tcW w:w="110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576,940</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intangible assets, net as of January 28, 2022, January 29, 2021, and October 31,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January 28, 2022</w:t>
            </w:r>
          </w:p>
        </w:tc>
        <w:tc>
          <w:tcPr>
            <w:tcW w:w="3040" w:type="dxa"/>
            <w:vAlign w:val="bottom"/>
            <w:tcBorders>
              <w:top w:val="single" w:sz="8" w:color="auto"/>
            </w:tcBorders>
          </w:tcPr>
          <w:p>
            <w:pPr>
              <w:jc w:val="right"/>
              <w:ind w:right="40"/>
              <w:spacing w:after="0" w:line="168" w:lineRule="exact"/>
              <w:rPr>
                <w:sz w:val="20"/>
                <w:szCs w:val="20"/>
                <w:color w:val="auto"/>
              </w:rPr>
            </w:pPr>
            <w:r>
              <w:rPr>
                <w:rFonts w:ascii="Arial" w:cs="Arial" w:eastAsia="Arial" w:hAnsi="Arial"/>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Useful Life in Years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18,291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(14,858)</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6,921</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(6,885)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322,296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(66,325)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255,971</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87,427</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(45,748)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41,679</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10,762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6,640</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452,337</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(141,244)</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311,093</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289,704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289,704</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742,041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(141,244)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600,797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January 29, 2021</w:t>
            </w:r>
          </w:p>
        </w:tc>
        <w:tc>
          <w:tcPr>
            <w:tcW w:w="3040" w:type="dxa"/>
            <w:vAlign w:val="bottom"/>
            <w:tcBorders>
              <w:top w:val="single" w:sz="8" w:color="auto"/>
            </w:tcBorders>
          </w:tcPr>
          <w:p>
            <w:pPr>
              <w:jc w:val="right"/>
              <w:ind w:right="40"/>
              <w:spacing w:after="0" w:line="168" w:lineRule="exact"/>
              <w:rPr>
                <w:sz w:val="20"/>
                <w:szCs w:val="20"/>
                <w:color w:val="auto"/>
              </w:rPr>
            </w:pPr>
            <w:r>
              <w:rPr>
                <w:rFonts w:ascii="Arial" w:cs="Arial" w:eastAsia="Arial" w:hAnsi="Arial"/>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Useful Life in Years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18,275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(14,123)</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6,908</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(6,851)</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239,816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188,069</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59,017</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(36,230)</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22,787</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7,563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335,969</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(116,025)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219,944</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190,643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190,643</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526,612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(116,025)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410,587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October 31, 2021</w:t>
            </w:r>
          </w:p>
        </w:tc>
        <w:tc>
          <w:tcPr>
            <w:tcW w:w="3040" w:type="dxa"/>
            <w:vAlign w:val="bottom"/>
            <w:tcBorders>
              <w:top w:val="single" w:sz="8" w:color="auto"/>
            </w:tcBorders>
          </w:tcPr>
          <w:p>
            <w:pPr>
              <w:jc w:val="right"/>
              <w:ind w:right="40"/>
              <w:spacing w:after="0" w:line="168" w:lineRule="exact"/>
              <w:rPr>
                <w:sz w:val="20"/>
                <w:szCs w:val="20"/>
                <w:color w:val="auto"/>
              </w:rPr>
            </w:pPr>
            <w:r>
              <w:rPr>
                <w:rFonts w:ascii="Arial" w:cs="Arial" w:eastAsia="Arial" w:hAnsi="Arial"/>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Useful Life in Years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18,283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6,914</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(6,872)</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239,679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(62,617)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177,062</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87,473</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(43,348)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44,125</w:t>
            </w: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7,524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364,263</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(134,866)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229,397</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190,644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190,644</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554,907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(134,866)</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420,041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Amortization expense for finite-lived intangible assets for the three months ended January 28, 2022 and January 29, 2021 were $6.5 million and $4.9 million, respectively. Estimated amortization expense for the remainder of fiscal 2022 and succeeding fiscal years is as follows: fiscal 2022 (remainder), $27.2 million; fiscal 2023, $32.7 million; fiscal 2024, $30.7 million; fiscal 2025, $28.2 million; fiscal 2026, $27.2 million; fiscal 2027, $22.7 million; and after fiscal 2027, $142.4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420" w:type="dxa"/>
            <w:vAlign w:val="bottom"/>
          </w:tcPr>
          <w:p>
            <w:pPr>
              <w:ind w:left="20"/>
              <w:spacing w:after="0"/>
              <w:rPr>
                <w:sz w:val="20"/>
                <w:szCs w:val="20"/>
                <w:color w:val="auto"/>
              </w:rPr>
            </w:pPr>
            <w:r>
              <w:rPr>
                <w:rFonts w:ascii="Arial" w:cs="Arial" w:eastAsia="Arial" w:hAnsi="Arial"/>
                <w:sz w:val="41"/>
                <w:szCs w:val="41"/>
                <w:b w:val="1"/>
                <w:bCs w:val="1"/>
                <w:color w:val="auto"/>
              </w:rPr>
              <w:t>6</w:t>
            </w:r>
          </w:p>
        </w:tc>
        <w:tc>
          <w:tcPr>
            <w:tcW w:w="5240" w:type="dxa"/>
            <w:vAlign w:val="bottom"/>
          </w:tcPr>
          <w:p>
            <w:pPr>
              <w:ind w:left="180"/>
              <w:spacing w:after="0"/>
              <w:rPr>
                <w:sz w:val="20"/>
                <w:szCs w:val="20"/>
                <w:color w:val="auto"/>
              </w:rPr>
            </w:pPr>
            <w:r>
              <w:rPr>
                <w:rFonts w:ascii="Arial" w:cs="Arial" w:eastAsia="Arial" w:hAnsi="Arial"/>
                <w:sz w:val="19"/>
                <w:szCs w:val="19"/>
                <w:b w:val="1"/>
                <w:bCs w:val="1"/>
                <w:color w:val="auto"/>
              </w:rPr>
              <w:t>Indebtedness</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5660" w:type="dxa"/>
            <w:vAlign w:val="bottom"/>
            <w:gridSpan w:val="2"/>
          </w:tcPr>
          <w:p>
            <w:pPr>
              <w:spacing w:after="0"/>
              <w:rPr>
                <w:sz w:val="20"/>
                <w:szCs w:val="20"/>
                <w:color w:val="auto"/>
              </w:rPr>
            </w:pPr>
            <w:r>
              <w:rPr>
                <w:rFonts w:ascii="Arial" w:cs="Arial" w:eastAsia="Arial" w:hAnsi="Arial"/>
                <w:sz w:val="17"/>
                <w:szCs w:val="17"/>
                <w:color w:val="auto"/>
              </w:rPr>
              <w:t>The following is a summary of the company's indebtedness:</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9"/>
        </w:trPr>
        <w:tc>
          <w:tcPr>
            <w:tcW w:w="5660" w:type="dxa"/>
            <w:vAlign w:val="bottom"/>
            <w:tcBorders>
              <w:bottom w:val="single" w:sz="8" w:color="auto"/>
            </w:tcBorders>
            <w:gridSpan w:val="2"/>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00"/>
        </w:trPr>
        <w:tc>
          <w:tcPr>
            <w:tcW w:w="5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October 2026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$270 million term loan, due October 2026</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270,000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270,000</w:t>
            </w:r>
          </w:p>
        </w:tc>
      </w:tr>
      <w:tr>
        <w:trPr>
          <w:trHeight w:val="208"/>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million term loan, due April 2022</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$300 million term loan, due April 2024</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6.625% senior notes, due May 2037</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124,055</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123,993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124,040</w:t>
            </w:r>
          </w:p>
        </w:tc>
      </w:tr>
      <w:tr>
        <w:trPr>
          <w:trHeight w:val="207"/>
        </w:trPr>
        <w:tc>
          <w:tcPr>
            <w:tcW w:w="5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2,701</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r>
      <w:tr>
        <w:trPr>
          <w:trHeight w:val="200"/>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Total long-term debt</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1,091,354</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701,348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691,242</w:t>
            </w:r>
          </w:p>
        </w:tc>
      </w:tr>
      <w:tr>
        <w:trPr>
          <w:trHeight w:val="207"/>
        </w:trPr>
        <w:tc>
          <w:tcPr>
            <w:tcW w:w="5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9,992</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Long-term debt, less current portion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991,354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691,242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Principal payments required on the company's outstanding indebtedness, based on the maturity dates defined within the company's debt arrangements, for the remainder of fiscal 2022 and succeeding fiscal years are as follows: fiscal 2022 (remainder), $0.0 million; fiscal 2023, $0.0 million; fiscal 2024, $0.0 million; fiscal 2025, $27.0 million; fiscal 2026, $643.0 million; fiscal 2027, $0.0 million; and after fiscal 2027, $425.0 million. Typically, the company's revolving credit facility is classified as long-term debt within the Condensed Consolidated Balance Sheets as the company has the ability to extend the outstanding borrowings under the revolving credit facility for the full-term of the facility. However, if the company intends to prepay a portion of the outstanding balance under the revolving credit facility within the next twelve months, the company reclassifies the portion of outstanding borrowings under the revolving credit facility that the company intends to repay within the next twelve months to current portion of long-term debt within the Condensed Consolidated Balance Sheets. As of January 28, 2022, the company reclassified $100.0 million of outstanding borrowings under the revolving credit facility to current portion of long-term debt within the Condensed Consolidated Balance Sheets as the company currently intends to repay this amount within the next twelve months.</w:t>
      </w:r>
    </w:p>
    <w:p>
      <w:pPr>
        <w:spacing w:after="0" w:line="103" w:lineRule="exact"/>
        <w:rPr>
          <w:sz w:val="20"/>
          <w:szCs w:val="20"/>
          <w:color w:val="auto"/>
        </w:rPr>
      </w:pPr>
    </w:p>
    <w:p>
      <w:pPr>
        <w:ind w:left="600" w:hanging="579"/>
        <w:spacing w:after="0"/>
        <w:tabs>
          <w:tab w:leader="none" w:pos="600" w:val="left"/>
        </w:tabs>
        <w:numPr>
          <w:ilvl w:val="0"/>
          <w:numId w:val="10"/>
        </w:numPr>
        <w:rPr>
          <w:rFonts w:ascii="Arial" w:cs="Arial" w:eastAsia="Arial" w:hAnsi="Arial"/>
          <w:sz w:val="41"/>
          <w:szCs w:val="41"/>
          <w:b w:val="1"/>
          <w:bCs w:val="1"/>
          <w:color w:val="auto"/>
        </w:rPr>
      </w:pPr>
      <w:r>
        <w:rPr>
          <w:rFonts w:ascii="Arial" w:cs="Arial" w:eastAsia="Arial" w:hAnsi="Arial"/>
          <w:sz w:val="19"/>
          <w:szCs w:val="19"/>
          <w:b w:val="1"/>
          <w:bCs w:val="1"/>
          <w:color w:val="auto"/>
        </w:rPr>
        <w:t>Inventories, Net</w:t>
      </w:r>
    </w:p>
    <w:p>
      <w:pPr>
        <w:spacing w:after="0" w:line="8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Inventories are valued at the lower of cost or net realizable value, with cost determined by the first-in, first-out ("FIFO") and average cost methods for a majority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On January 13, 2022, with the acquisition of Intimidator, the company acquired $36.0 million of inventory, based on preliminary fair value purchase accounting adjustments. For additional information on the company's acquisition of Intimidator, refer to Note 2, </w:t>
      </w:r>
      <w:r>
        <w:rPr>
          <w:rFonts w:ascii="Arial" w:cs="Arial" w:eastAsia="Arial" w:hAnsi="Arial"/>
          <w:sz w:val="17"/>
          <w:szCs w:val="17"/>
          <w:i w:val="1"/>
          <w:iCs w:val="1"/>
          <w:color w:val="auto"/>
        </w:rPr>
        <w:t>Business Combination</w:t>
      </w:r>
      <w:r>
        <w:rPr>
          <w:rFonts w:ascii="Arial" w:cs="Arial" w:eastAsia="Arial" w:hAnsi="Arial"/>
          <w:sz w:val="17"/>
          <w:szCs w:val="17"/>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work in process</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383,285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226,979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335,325</w:t>
            </w:r>
          </w:p>
        </w:tc>
      </w:tr>
      <w:tr>
        <w:trPr>
          <w:trHeight w:val="20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 and service parts</w:t>
            </w:r>
          </w:p>
        </w:tc>
        <w:tc>
          <w:tcPr>
            <w:tcW w:w="2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584,274</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530,415</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538,332</w:t>
            </w:r>
          </w:p>
        </w:tc>
      </w:tr>
      <w:tr>
        <w:trPr>
          <w:trHeight w:val="201"/>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FIFO and average cost value</w:t>
            </w:r>
          </w:p>
        </w:tc>
        <w:tc>
          <w:tcPr>
            <w:tcW w:w="2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967,559</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757,394</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873,657</w:t>
            </w:r>
          </w:p>
        </w:tc>
      </w:tr>
      <w:tr>
        <w:trPr>
          <w:trHeight w:val="20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adjustment to LIFO value</w:t>
            </w:r>
          </w:p>
        </w:tc>
        <w:tc>
          <w:tcPr>
            <w:tcW w:w="2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135,487</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82,087</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135,487</w:t>
            </w:r>
          </w:p>
        </w:tc>
      </w:tr>
      <w:tr>
        <w:trPr>
          <w:trHeight w:val="225"/>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832,072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675,307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738,170</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0" w:hanging="579"/>
        <w:spacing w:after="0"/>
        <w:tabs>
          <w:tab w:leader="none" w:pos="600" w:val="left"/>
        </w:tabs>
        <w:numPr>
          <w:ilvl w:val="0"/>
          <w:numId w:val="11"/>
        </w:numPr>
        <w:rPr>
          <w:rFonts w:ascii="Arial" w:cs="Arial" w:eastAsia="Arial" w:hAnsi="Arial"/>
          <w:sz w:val="41"/>
          <w:szCs w:val="41"/>
          <w:b w:val="1"/>
          <w:bCs w:val="1"/>
          <w:color w:val="auto"/>
        </w:rPr>
      </w:pPr>
      <w:r>
        <w:rPr>
          <w:rFonts w:ascii="Arial" w:cs="Arial" w:eastAsia="Arial" w:hAnsi="Arial"/>
          <w:sz w:val="19"/>
          <w:szCs w:val="19"/>
          <w:b w:val="1"/>
          <w:bCs w:val="1"/>
          <w:color w:val="auto"/>
        </w:rPr>
        <w:t>Property, Plant and Equipment, Net</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6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On January 13, 2022, with the acquisition of Intimidator, the company acquired $26.8 million of property, plant, and equipment, based on preliminary fair value purchase accounting adjustments. For additional information on the company's acquisition of Intimidator, refer to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57,924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57,690</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2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326,137</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299,566</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308,217</w:t>
            </w:r>
          </w:p>
        </w:tc>
      </w:tr>
      <w:tr>
        <w:trPr>
          <w:trHeight w:val="208"/>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529,289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500,410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522,012</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Tooling</w:t>
            </w:r>
          </w:p>
        </w:tc>
        <w:tc>
          <w:tcPr>
            <w:tcW w:w="22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221,646</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231,728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220,966</w:t>
            </w:r>
          </w:p>
        </w:tc>
      </w:tr>
      <w:tr>
        <w:trPr>
          <w:trHeight w:val="208"/>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2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97,629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97,485</w:t>
            </w: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process</w:t>
            </w:r>
          </w:p>
        </w:tc>
        <w:tc>
          <w:tcPr>
            <w:tcW w:w="2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95,448</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58,346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85,722</w:t>
            </w:r>
          </w:p>
        </w:tc>
      </w:tr>
      <w:tr>
        <w:trPr>
          <w:trHeight w:val="201"/>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1,328,073</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1,249,215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1,292,092</w:t>
            </w: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820,524</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792,068</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804,361</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507,549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487,731</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0" w:hanging="579"/>
        <w:spacing w:after="0"/>
        <w:tabs>
          <w:tab w:leader="none" w:pos="600" w:val="left"/>
        </w:tabs>
        <w:numPr>
          <w:ilvl w:val="0"/>
          <w:numId w:val="12"/>
        </w:numPr>
        <w:rPr>
          <w:rFonts w:ascii="Arial" w:cs="Arial" w:eastAsia="Arial" w:hAnsi="Arial"/>
          <w:sz w:val="41"/>
          <w:szCs w:val="41"/>
          <w:b w:val="1"/>
          <w:bCs w:val="1"/>
          <w:color w:val="auto"/>
        </w:rPr>
      </w:pPr>
      <w:r>
        <w:rPr>
          <w:rFonts w:ascii="Arial" w:cs="Arial" w:eastAsia="Arial" w:hAnsi="Arial"/>
          <w:sz w:val="19"/>
          <w:szCs w:val="19"/>
          <w:b w:val="1"/>
          <w:bCs w:val="1"/>
          <w:color w:val="auto"/>
        </w:rPr>
        <w:t>Product Warranty Guarantees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accrued warranties were as follows: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28, 2022</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107,121</w:t>
            </w:r>
          </w:p>
        </w:tc>
      </w:tr>
      <w:tr>
        <w:trPr>
          <w:trHeight w:val="205"/>
        </w:trPr>
        <w:tc>
          <w:tcPr>
            <w:tcW w:w="492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34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17,194</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16,695</w:t>
            </w:r>
          </w:p>
        </w:tc>
      </w:tr>
      <w:tr>
        <w:trPr>
          <w:trHeight w:val="208"/>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920" w:type="dxa"/>
            <w:vAlign w:val="bottom"/>
          </w:tcPr>
          <w:p>
            <w:pPr>
              <w:ind w:left="20"/>
              <w:spacing w:after="0"/>
              <w:rPr>
                <w:sz w:val="20"/>
                <w:szCs w:val="20"/>
                <w:color w:val="auto"/>
              </w:rPr>
            </w:pPr>
            <w:r>
              <w:rPr>
                <w:rFonts w:ascii="Arial" w:cs="Arial" w:eastAsia="Arial" w:hAnsi="Arial"/>
                <w:sz w:val="16"/>
                <w:szCs w:val="16"/>
                <w:color w:val="auto"/>
              </w:rPr>
              <w:t>Claims</w:t>
            </w:r>
          </w:p>
        </w:tc>
        <w:tc>
          <w:tcPr>
            <w:tcW w:w="34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(15,911)</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(15,186)</w:t>
            </w:r>
          </w:p>
        </w:tc>
      </w:tr>
      <w:tr>
        <w:trPr>
          <w:trHeight w:val="20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estimates</w:t>
            </w:r>
          </w:p>
        </w:tc>
        <w:tc>
          <w:tcPr>
            <w:tcW w:w="34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119,860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108,783</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10 </w:t>
      </w:r>
      <w:r>
        <w:rPr>
          <w:rFonts w:ascii="Arial" w:cs="Arial" w:eastAsia="Arial" w:hAnsi="Arial"/>
          <w:sz w:val="18"/>
          <w:szCs w:val="18"/>
          <w:b w:val="1"/>
          <w:bCs w:val="1"/>
          <w:color w:val="auto"/>
        </w:rPr>
        <w:t>Investment in Finance Affiliate</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and TCF Inventory Finance, Inc. ("TCFIF"), a subsidiary of The Huntington National Bank, are parties to the Red Iron joint venture ("Red Iron"), the primary purpose of which is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three months ended January 28, 2022 and January 29, 2021.</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three months ended January 28, 2022 and January 29, 2021 were $528.1 million and $511.3 million, respectively. As of January 28, 2022, Red Iron’s total assets were $496.9 million and total liabilities were $443.3 million. The total amount of receivables due from Red Iron to the company as of January 28, 2022, January 29, 2021, and October 31, 2021 were $28.1 million, $13.1 million and $31.0 million, respectively.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January 28, 2022, January 29, 2021, and October 31, 2021 was $24.1 million, $23.0 million, and $20.7 million, respectively. The company has not guaranteed the outstanding indebtedness of Red Iron.</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11 </w:t>
      </w: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costs related to stock-based compensation awards were as follows: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r>
      <w:tr>
        <w:trPr>
          <w:trHeight w:val="205"/>
        </w:trPr>
        <w:tc>
          <w:tcPr>
            <w:tcW w:w="6160" w:type="dxa"/>
            <w:vAlign w:val="bottom"/>
          </w:tcPr>
          <w:p>
            <w:pPr>
              <w:ind w:left="20"/>
              <w:spacing w:after="0"/>
              <w:rPr>
                <w:sz w:val="20"/>
                <w:szCs w:val="20"/>
                <w:color w:val="auto"/>
              </w:rPr>
            </w:pPr>
            <w:r>
              <w:rPr>
                <w:rFonts w:ascii="Arial" w:cs="Arial" w:eastAsia="Arial" w:hAnsi="Arial"/>
                <w:sz w:val="16"/>
                <w:szCs w:val="16"/>
                <w:color w:val="auto"/>
              </w:rPr>
              <w:t>Performance share awards</w:t>
            </w:r>
          </w:p>
        </w:tc>
        <w:tc>
          <w:tcPr>
            <w:tcW w:w="2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0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 awards</w:t>
            </w:r>
          </w:p>
        </w:tc>
        <w:tc>
          <w:tcPr>
            <w:tcW w:w="2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0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Unrestricted common stock awards</w:t>
            </w:r>
          </w:p>
        </w:tc>
        <w:tc>
          <w:tcPr>
            <w:tcW w:w="2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r>
        <w:trPr>
          <w:trHeight w:val="225"/>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 for stock-based compensation awards</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4,516</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55"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The table below illustrates the weighted-average valuation assumptions used under the Black-Scholes valuation method for options granted in the first three months of the following fiscal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Arial" w:cs="Arial" w:eastAsia="Arial" w:hAnsi="Arial"/>
                <w:sz w:val="16"/>
                <w:szCs w:val="16"/>
                <w:b w:val="1"/>
                <w:bCs w:val="1"/>
                <w:color w:val="auto"/>
              </w:rPr>
              <w:t>Fiscal 2022</w:t>
            </w: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Fiscal 2021</w:t>
            </w:r>
          </w:p>
        </w:tc>
      </w:tr>
      <w:tr>
        <w:trPr>
          <w:trHeight w:val="20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9"/>
              </w:rPr>
              <w:t>6.19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6.21</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23.76%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23.26%</w:t>
            </w:r>
          </w:p>
        </w:tc>
      </w:tr>
      <w:tr>
        <w:trPr>
          <w:trHeight w:val="20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8"/>
              </w:rPr>
              <w:t>1.30%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0.55%</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0.93%</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0.86%</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Arial" w:cs="Arial" w:eastAsia="Arial" w:hAnsi="Arial"/>
                <w:sz w:val="16"/>
                <w:szCs w:val="16"/>
                <w:color w:val="auto"/>
                <w:w w:val="89"/>
              </w:rPr>
              <w:t>$22.58</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$19.38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2022 and 2021 was $98.41 and $90.59,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Under the 2010 plan, 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2022 and 2021 was $99.94 and $91.51,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Unrestricted Common Stock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first quarter of fiscal 2022 and 2021, 6,453 and 8,070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our Board members may elect to convert a portion or all of their calendar year annual retainers otherwise payable in cash into shares of the company's common stock.</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12 </w:t>
      </w:r>
      <w:r>
        <w:rPr>
          <w:rFonts w:ascii="Arial" w:cs="Arial" w:eastAsia="Arial" w:hAnsi="Arial"/>
          <w:sz w:val="18"/>
          <w:szCs w:val="18"/>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components of accumulated other comprehensive loss ("AOCL"), net of tax, within the Condensed Consolidated Statements of Stockholders' Equity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28, 2022</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19,535</w:t>
            </w:r>
          </w:p>
        </w:tc>
      </w:tr>
      <w:tr>
        <w:trPr>
          <w:trHeight w:val="205"/>
        </w:trPr>
        <w:tc>
          <w:tcPr>
            <w:tcW w:w="482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206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3,899</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5,106</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3,899</w:t>
            </w:r>
          </w:p>
        </w:tc>
      </w:tr>
      <w:tr>
        <w:trPr>
          <w:trHeight w:val="207"/>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derivative instruments</w:t>
            </w:r>
          </w:p>
        </w:tc>
        <w:tc>
          <w:tcPr>
            <w:tcW w:w="20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12,958</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r>
      <w:tr>
        <w:trPr>
          <w:trHeight w:val="20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25,614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25,996</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and activity of AOCL, net of tax, for the three month periods ended January 28, 2022 and January 29, 2021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19,535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5,990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(6,641)</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5,990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28,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25,525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24,508</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(10,396)</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6,312</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1,998</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(10,396)</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8,310</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29,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14,112</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12,958</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13 </w:t>
      </w:r>
      <w:r>
        <w:rPr>
          <w:rFonts w:ascii="Arial" w:cs="Arial" w:eastAsia="Arial" w:hAnsi="Arial"/>
          <w:sz w:val="18"/>
          <w:szCs w:val="18"/>
          <w:b w:val="1"/>
          <w:bCs w:val="1"/>
          <w:color w:val="auto"/>
        </w:rPr>
        <w:t>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number of shares of common stock outstanding were as follows: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top w:val="single" w:sz="8" w:color="auto"/>
              <w:bottom w:val="single" w:sz="8" w:color="auto"/>
            </w:tcBorders>
          </w:tcPr>
          <w:p>
            <w:pPr>
              <w:spacing w:after="0"/>
              <w:rPr>
                <w:sz w:val="17"/>
                <w:szCs w:val="17"/>
                <w:color w:val="auto"/>
              </w:rPr>
            </w:pPr>
          </w:p>
        </w:tc>
        <w:tc>
          <w:tcPr>
            <w:tcW w:w="66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in thousands)</w:t>
            </w:r>
          </w:p>
        </w:tc>
        <w:tc>
          <w:tcPr>
            <w:tcW w:w="31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January 28, 2022</w:t>
            </w:r>
          </w:p>
        </w:tc>
        <w:tc>
          <w:tcPr>
            <w:tcW w:w="14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9"/>
              </w:rPr>
              <w:t>January 29, 2021</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86"/>
              </w:rPr>
              <w:t>Basic</w:t>
            </w:r>
          </w:p>
        </w:tc>
        <w:tc>
          <w:tcPr>
            <w:tcW w:w="6260" w:type="dxa"/>
            <w:vAlign w:val="bottom"/>
            <w:tcBorders>
              <w:bottom w:val="single" w:sz="8" w:color="CCEEFF"/>
            </w:tcBorders>
            <w:gridSpan w:val="2"/>
            <w:shd w:val="clear" w:color="auto" w:fill="CCEEFF"/>
          </w:tcPr>
          <w:p>
            <w:pPr>
              <w:spacing w:after="0"/>
              <w:rPr>
                <w:sz w:val="15"/>
                <w:szCs w:val="15"/>
                <w:color w:val="auto"/>
              </w:rPr>
            </w:pPr>
          </w:p>
        </w:tc>
        <w:tc>
          <w:tcPr>
            <w:tcW w:w="3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w:t>
            </w:r>
          </w:p>
        </w:tc>
        <w:tc>
          <w:tcPr>
            <w:tcW w:w="3160" w:type="dxa"/>
            <w:vAlign w:val="bottom"/>
          </w:tcPr>
          <w:p>
            <w:pPr>
              <w:jc w:val="right"/>
              <w:ind w:right="60"/>
              <w:spacing w:after="0"/>
              <w:rPr>
                <w:sz w:val="20"/>
                <w:szCs w:val="20"/>
                <w:color w:val="auto"/>
              </w:rPr>
            </w:pPr>
            <w:r>
              <w:rPr>
                <w:rFonts w:ascii="Arial" w:cs="Arial" w:eastAsia="Arial" w:hAnsi="Arial"/>
                <w:sz w:val="16"/>
                <w:szCs w:val="16"/>
                <w:color w:val="auto"/>
              </w:rPr>
              <w:t>105,015</w:t>
            </w:r>
          </w:p>
        </w:tc>
        <w:tc>
          <w:tcPr>
            <w:tcW w:w="1440" w:type="dxa"/>
            <w:vAlign w:val="bottom"/>
          </w:tcPr>
          <w:p>
            <w:pPr>
              <w:jc w:val="right"/>
              <w:spacing w:after="0"/>
              <w:rPr>
                <w:sz w:val="20"/>
                <w:szCs w:val="20"/>
                <w:color w:val="auto"/>
              </w:rPr>
            </w:pPr>
            <w:r>
              <w:rPr>
                <w:rFonts w:ascii="Arial" w:cs="Arial" w:eastAsia="Arial" w:hAnsi="Arial"/>
                <w:sz w:val="16"/>
                <w:szCs w:val="16"/>
                <w:color w:val="auto"/>
              </w:rPr>
              <w:t>108,103</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Assumed issuance of contingent shares</w:t>
            </w:r>
          </w:p>
        </w:tc>
        <w:tc>
          <w:tcPr>
            <w:tcW w:w="3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Weighted-average number of shares of common stock outstanding - Basic</w:t>
            </w:r>
          </w:p>
        </w:tc>
        <w:tc>
          <w:tcPr>
            <w:tcW w:w="3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105,037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108,122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1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2"/>
              </w:rPr>
              <w:t>Diluted</w:t>
            </w:r>
          </w:p>
        </w:tc>
        <w:tc>
          <w:tcPr>
            <w:tcW w:w="614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 outstanding - Basic</w:t>
            </w:r>
          </w:p>
        </w:tc>
        <w:tc>
          <w:tcPr>
            <w:tcW w:w="3160" w:type="dxa"/>
            <w:vAlign w:val="bottom"/>
          </w:tcPr>
          <w:p>
            <w:pPr>
              <w:jc w:val="right"/>
              <w:ind w:right="60"/>
              <w:spacing w:after="0"/>
              <w:rPr>
                <w:sz w:val="20"/>
                <w:szCs w:val="20"/>
                <w:color w:val="auto"/>
              </w:rPr>
            </w:pPr>
            <w:r>
              <w:rPr>
                <w:rFonts w:ascii="Arial" w:cs="Arial" w:eastAsia="Arial" w:hAnsi="Arial"/>
                <w:sz w:val="16"/>
                <w:szCs w:val="16"/>
                <w:color w:val="auto"/>
              </w:rPr>
              <w:t>105,037</w:t>
            </w:r>
          </w:p>
        </w:tc>
        <w:tc>
          <w:tcPr>
            <w:tcW w:w="1440" w:type="dxa"/>
            <w:vAlign w:val="bottom"/>
          </w:tcPr>
          <w:p>
            <w:pPr>
              <w:jc w:val="right"/>
              <w:spacing w:after="0"/>
              <w:rPr>
                <w:sz w:val="20"/>
                <w:szCs w:val="20"/>
                <w:color w:val="auto"/>
              </w:rPr>
            </w:pPr>
            <w:r>
              <w:rPr>
                <w:rFonts w:ascii="Arial" w:cs="Arial" w:eastAsia="Arial" w:hAnsi="Arial"/>
                <w:sz w:val="16"/>
                <w:szCs w:val="16"/>
                <w:color w:val="auto"/>
              </w:rPr>
              <w:t>108,122</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Effect of dilutive shares</w:t>
            </w:r>
          </w:p>
        </w:tc>
        <w:tc>
          <w:tcPr>
            <w:tcW w:w="3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1,011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Weighted-average number of shares of common stock outstanding - Diluted</w:t>
            </w:r>
          </w:p>
        </w:tc>
        <w:tc>
          <w:tcPr>
            <w:tcW w:w="3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106,048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109,194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effect of dilutive shares from stock option awards and restricted stock unit awards is computed under the treasury stock method. Stock option awards to purchase 466,338 and 268,778 shares of common stock during the first quarter of fiscal 2022 and 2021, respectively, were excluded from the computation of diluted net earnings per share of common stock because they were anti-dilutive.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14 </w:t>
      </w:r>
      <w:r>
        <w:rPr>
          <w:rFonts w:ascii="Arial" w:cs="Arial" w:eastAsia="Arial" w:hAnsi="Arial"/>
          <w:sz w:val="18"/>
          <w:szCs w:val="18"/>
          <w:b w:val="1"/>
          <w:bCs w:val="1"/>
          <w:color w:val="auto"/>
        </w:rPr>
        <w:t>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Litigation Settlement</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15 </w:t>
      </w: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color w:val="auto"/>
              </w:rPr>
              <w:t>Short-term lease expense</w:t>
            </w:r>
          </w:p>
        </w:tc>
        <w:tc>
          <w:tcPr>
            <w:tcW w:w="3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1,415</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07"/>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34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5,571</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8"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for amounts included in the measurement of lease liabilities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w:t>
            </w:r>
          </w:p>
        </w:tc>
      </w:tr>
      <w:tr>
        <w:trPr>
          <w:trHeight w:val="20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lease information related to the company's operating leases: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January 28, 2022</w:t>
            </w:r>
          </w:p>
        </w:tc>
        <w:tc>
          <w:tcPr>
            <w:tcW w:w="16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9"/>
              </w:rPr>
              <w:t>January 29, 2021</w:t>
            </w:r>
          </w:p>
        </w:tc>
        <w:tc>
          <w:tcPr>
            <w:tcW w:w="14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9"/>
              </w:rPr>
              <w:t>October 31, 2021</w:t>
            </w:r>
          </w:p>
        </w:tc>
      </w:tr>
      <w:tr>
        <w:trPr>
          <w:trHeight w:val="20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of operating leases in years</w:t>
            </w:r>
          </w:p>
        </w:tc>
        <w:tc>
          <w:tcPr>
            <w:tcW w:w="2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6.9</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 of operating leases</w:t>
            </w:r>
          </w:p>
        </w:tc>
        <w:tc>
          <w:tcPr>
            <w:tcW w:w="2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2.56 %</w:t>
            </w: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2.78 %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2.71 %</w:t>
            </w:r>
          </w:p>
        </w:tc>
      </w:tr>
    </w:tbl>
    <w:p>
      <w:pPr>
        <w:spacing w:after="0" w:line="194"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January 28,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28, 2022</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w:t>
            </w:r>
          </w:p>
        </w:tc>
        <w:tc>
          <w:tcPr>
            <w:tcW w:w="3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2023</w:t>
            </w:r>
          </w:p>
        </w:tc>
        <w:tc>
          <w:tcPr>
            <w:tcW w:w="3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16,571</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15,101</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2025</w:t>
            </w:r>
          </w:p>
        </w:tc>
        <w:tc>
          <w:tcPr>
            <w:tcW w:w="34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12,992</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7,965</w:t>
            </w:r>
          </w:p>
        </w:tc>
      </w:tr>
      <w:tr>
        <w:trPr>
          <w:trHeight w:val="20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23,862</w:t>
            </w: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operating lease payments</w:t>
            </w:r>
          </w:p>
        </w:tc>
        <w:tc>
          <w:tcPr>
            <w:tcW w:w="34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90,109</w:t>
            </w:r>
          </w:p>
        </w:tc>
      </w:tr>
      <w:tr>
        <w:trPr>
          <w:trHeight w:val="205"/>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imputed interest</w:t>
            </w:r>
          </w:p>
        </w:tc>
        <w:tc>
          <w:tcPr>
            <w:tcW w:w="34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81,602</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16 </w:t>
      </w:r>
      <w:r>
        <w:rPr>
          <w:rFonts w:ascii="Arial" w:cs="Arial" w:eastAsia="Arial" w:hAnsi="Arial"/>
          <w:sz w:val="18"/>
          <w:szCs w:val="18"/>
          <w:b w:val="1"/>
          <w:bCs w:val="1"/>
          <w:color w:val="auto"/>
        </w:rPr>
        <w:t>Derivative Instruments and Hedging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 Objective of Using Derivatives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Hedging Instruments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28, 2022, the notional amount outstanding of forward currency contracts designated as cash flow hedging instruments was $287.5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Not Designated as Cash Flow Hedging Instruments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4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2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2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5,451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1,294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08"/>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1,491</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0"/>
        </w:trPr>
        <w:tc>
          <w:tcPr>
            <w:tcW w:w="5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2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2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08"/>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4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0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28, 2022</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29, 2021</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liabilities offsetting derivative assets</w:t>
            </w:r>
          </w:p>
        </w:tc>
        <w:tc>
          <w:tcPr>
            <w:tcW w:w="1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assets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49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assets offsetting derivative liabilities</w:t>
            </w:r>
          </w:p>
        </w:tc>
        <w:tc>
          <w:tcPr>
            <w:tcW w:w="1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liabilities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January 28, 2022 and January 29,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right"/>
              <w:ind w:right="20"/>
              <w:spacing w:after="0" w:line="150" w:lineRule="exact"/>
              <w:rPr>
                <w:sz w:val="20"/>
                <w:szCs w:val="20"/>
                <w:color w:val="auto"/>
              </w:rPr>
            </w:pPr>
            <w:r>
              <w:rPr>
                <w:rFonts w:ascii="Arial" w:cs="Arial" w:eastAsia="Arial" w:hAnsi="Arial"/>
                <w:sz w:val="16"/>
                <w:szCs w:val="16"/>
                <w:b w:val="1"/>
                <w:bCs w:val="1"/>
                <w:color w:val="auto"/>
                <w:w w:val="92"/>
              </w:rPr>
              <w:t>Gain (Loss) Reclassified from AOCL into</w:t>
            </w:r>
          </w:p>
        </w:tc>
        <w:tc>
          <w:tcPr>
            <w:tcW w:w="160" w:type="dxa"/>
            <w:vAlign w:val="bottom"/>
          </w:tcPr>
          <w:p>
            <w:pPr>
              <w:spacing w:after="0"/>
              <w:rPr>
                <w:sz w:val="13"/>
                <w:szCs w:val="13"/>
                <w:color w:val="auto"/>
              </w:rPr>
            </w:pPr>
          </w:p>
        </w:tc>
        <w:tc>
          <w:tcPr>
            <w:tcW w:w="2820" w:type="dxa"/>
            <w:vAlign w:val="bottom"/>
            <w:gridSpan w:val="3"/>
          </w:tcPr>
          <w:p>
            <w:pPr>
              <w:jc w:val="right"/>
              <w:ind w:right="220"/>
              <w:spacing w:after="0" w:line="150" w:lineRule="exact"/>
              <w:rPr>
                <w:sz w:val="20"/>
                <w:szCs w:val="20"/>
                <w:color w:val="auto"/>
              </w:rPr>
            </w:pPr>
            <w:r>
              <w:rPr>
                <w:rFonts w:ascii="Arial" w:cs="Arial" w:eastAsia="Arial" w:hAnsi="Arial"/>
                <w:sz w:val="16"/>
                <w:szCs w:val="16"/>
                <w:b w:val="1"/>
                <w:bCs w:val="1"/>
                <w:color w:val="auto"/>
                <w:w w:val="96"/>
              </w:rPr>
              <w:t>Gain (Loss) Recognized in OCI on</w:t>
            </w:r>
          </w:p>
        </w:tc>
      </w:tr>
      <w:tr>
        <w:trPr>
          <w:trHeight w:val="207"/>
        </w:trPr>
        <w:tc>
          <w:tcPr>
            <w:tcW w:w="5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6"/>
                <w:szCs w:val="16"/>
                <w:b w:val="1"/>
                <w:bCs w:val="1"/>
                <w:color w:val="auto"/>
              </w:rPr>
              <w:t>Derivatives</w:t>
            </w:r>
          </w:p>
        </w:tc>
      </w:tr>
      <w:tr>
        <w:trPr>
          <w:trHeight w:val="20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0"/>
              </w:rPr>
              <w:t>January 28, 2022</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5,670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(7,694)</w:t>
            </w:r>
          </w:p>
        </w:tc>
      </w:tr>
      <w:tr>
        <w:trPr>
          <w:trHeight w:val="205"/>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702</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(8,310)</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recognized immaterial gains and losses within other income, net in the Condensed Consolidated Statements of Earnings during the first quarter of fiscal 2022 and fiscal 2021, respectively, due to the discontinuance of cash flow hedge accounting on certain forward currency contracts designated as cash flow hedging instruments. As of January 28, 2022, the company expects to reclassify approximately $2.1 million of gains from AOCL to earnings during the next twelve months.</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6"/>
                <w:szCs w:val="16"/>
                <w:b w:val="1"/>
                <w:bCs w:val="1"/>
                <w:color w:val="auto"/>
              </w:rPr>
              <w:t>January 28, 2022</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6"/>
                <w:szCs w:val="16"/>
                <w:b w:val="1"/>
                <w:bCs w:val="1"/>
                <w:color w:val="auto"/>
              </w:rPr>
              <w:t>January 29, 2021</w:t>
            </w:r>
          </w:p>
        </w:tc>
        <w:tc>
          <w:tcPr>
            <w:tcW w:w="0" w:type="dxa"/>
            <w:vAlign w:val="bottom"/>
          </w:tcPr>
          <w:p>
            <w:pPr>
              <w:spacing w:after="0"/>
              <w:rPr>
                <w:sz w:val="1"/>
                <w:szCs w:val="1"/>
                <w:color w:val="auto"/>
              </w:rPr>
            </w:pPr>
          </w:p>
        </w:tc>
      </w:tr>
      <w:tr>
        <w:trPr>
          <w:trHeight w:val="20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5"/>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8"/>
              </w:rPr>
              <w:t>amounts in which the effects of cash flow hedging instruments are</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932,650</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(632,174)</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872,986</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(557,950)</w:t>
            </w: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30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56"/>
        </w:trPr>
        <w:tc>
          <w:tcPr>
            <w:tcW w:w="462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5"/>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9"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r>
      <w:tr>
        <w:trPr>
          <w:trHeight w:val="20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Gain (loss) on derivatives not designated as cash flow hedging instruments</w:t>
            </w:r>
          </w:p>
        </w:tc>
        <w:tc>
          <w:tcPr>
            <w:tcW w:w="1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672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w:t>
            </w:r>
          </w:p>
        </w:tc>
      </w:tr>
      <w:tr>
        <w:trPr>
          <w:trHeight w:val="20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gain (loss) on derivatives not designated as cash flow hedging instruments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17 </w:t>
      </w: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Observable inputs other than Level 1 prices, such as quoted prices for similar assets or liabilities in active markets; quoted prices for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reflecting management’s assumptions about the inputs used in pricing the asset or liability.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34" w:lineRule="exact"/>
        <w:rPr>
          <w:sz w:val="20"/>
          <w:szCs w:val="20"/>
          <w:color w:val="auto"/>
        </w:rPr>
      </w:pPr>
    </w:p>
    <w:p>
      <w:pPr>
        <w:spacing w:after="0" w:line="353" w:lineRule="auto"/>
        <w:rPr>
          <w:sz w:val="20"/>
          <w:szCs w:val="20"/>
          <w:color w:val="auto"/>
        </w:rPr>
      </w:pPr>
      <w:r>
        <w:rPr>
          <w:rFonts w:ascii="Arial" w:cs="Arial" w:eastAsia="Arial" w:hAnsi="Arial"/>
          <w:sz w:val="15"/>
          <w:szCs w:val="15"/>
          <w:color w:val="auto"/>
        </w:rPr>
        <w:t>The following tables present, by level within the fair value hierarchy, the company's financial assets and liabilities that are measured at fair value on a recurring basis as of January 28, 2022, January 29, 2021, and October 31, 2021, according to the valuation technique utilized to determine their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30480</wp:posOffset>
            </wp:positionV>
            <wp:extent cx="3216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January 28, 2022</w:t>
            </w: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4"/>
              </w:rPr>
              <w:t>6,942</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6,942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January 29, 2021</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1,472</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16,963</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16,963</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131445</wp:posOffset>
            </wp:positionV>
            <wp:extent cx="3216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2021</w:t>
            </w:r>
          </w:p>
        </w:tc>
        <w:tc>
          <w:tcPr>
            <w:tcW w:w="2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4"/>
              </w:rPr>
              <w:t>2,132</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4"/>
              </w:rPr>
              <w:t>2,132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and asset acquisitions, when applicable. For additional information on the company's business combination and the related non-recurring fair value measurement of the assets acquired and liabilities assumed, refer to Note 2, </w:t>
      </w:r>
      <w:r>
        <w:rPr>
          <w:rFonts w:ascii="Arial" w:cs="Arial" w:eastAsia="Arial" w:hAnsi="Arial"/>
          <w:sz w:val="17"/>
          <w:szCs w:val="17"/>
          <w:i w:val="1"/>
          <w:iCs w:val="1"/>
          <w:color w:val="auto"/>
        </w:rPr>
        <w:t>Business Combination</w:t>
      </w:r>
      <w:r>
        <w:rPr>
          <w:rFonts w:ascii="Arial" w:cs="Arial" w:eastAsia="Arial" w:hAnsi="Arial"/>
          <w:sz w:val="17"/>
          <w:szCs w:val="17"/>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January 28, 2022, January 29, 2021 and October 31, 2021, the company's long-term debt included $424.1 million, $424.0 million and $424.0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January 28, 2022, the estimated gross fair value of long-term debt with fixed interest rates was $499.1 million compared to its gross carrying amount of $424.1 million. As of January 29, 2021, the estimated gross fair value of long-term debt with fixed interest rates was $524.3 million compared to its gross carrying amount of $424.0 million. As of October 31, 2021, the estimated gross fair value of long-term debt with fixed interest rates was $517.9 million compared to its gross carrying amount of $424.0 million. For additional information regarding long-term debt with fixed interest rates, refer to Note 6, </w:t>
      </w:r>
      <w:r>
        <w:rPr>
          <w:rFonts w:ascii="Arial" w:cs="Arial" w:eastAsia="Arial" w:hAnsi="Arial"/>
          <w:sz w:val="16"/>
          <w:szCs w:val="16"/>
          <w:i w:val="1"/>
          <w:iCs w:val="1"/>
          <w:color w:val="auto"/>
        </w:rPr>
        <w:t>Indebtedness.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18 </w:t>
      </w:r>
      <w:r>
        <w:rPr>
          <w:rFonts w:ascii="Arial" w:cs="Arial" w:eastAsia="Arial" w:hAnsi="Arial"/>
          <w:sz w:val="18"/>
          <w:szCs w:val="18"/>
          <w:b w:val="1"/>
          <w:bCs w:val="1"/>
          <w:color w:val="auto"/>
        </w:rPr>
        <w:t>Subsequent Events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2021. Unless expressly stated otherwise, the comparisons presented in this MD&amp;A refer to the same period in the prior fiscal year. Our MD&amp;A is presented as follows:</w:t>
      </w:r>
    </w:p>
    <w:p>
      <w:pPr>
        <w:spacing w:after="0" w:line="78"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Company Overview</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Business Segments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Financial Position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Non-GAAP Financial Measures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Throughout this MD&amp;A, we have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Toro Company is in the business of designing, manufacturing, marketing, and selling professional turf maintenance equipment and services; turf irrigation systems; landscaping equipment and lighting products; snow and ice management products; ag-irrigation systems; rental, specialty, and underground construction equipment; and residential yard and snow thrower products. Our purpose is to help our customers enrich the beauty, productivity, and sustainability of the land. Sustainability is the foundation of our enterprise strategic priorities of accelerating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5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Intimidator Group</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January 13, 2022, during the first quarter of fiscal 2022, we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aggregate preliminary cash consideration was $398.9 million ("purchase price") and remains subject to certain customary adjustments based on, among other things, the amount of actual cash, debt, and working capital in the business of Intimidator at the closing date. Such customary adjustments are expected to be completed during fiscal 2022. Additionally, the aggregate preliminary cash consideration remains subject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contingent consideration through the end of calendar year 2022, in the event of certain qualifying tax changes. As a result, we could be subject to additional cash purchase consideration for an amount not to exceed $15.0 million and remittance of such contingent consideration, if required, is due by March 15, 2023. As of January 28, 2022, no liability was recorded within the Condensed Consolidated Balance Sheets for the contingent consideration as the contingency is not probable or estimable. We funded the preliminary purchase price with borrowings under our existing unsecured senior revolving credit facility and cash provided by operating activities. Intimidator's results of operations are included within our Professional reportable segment in our Condensed Consolidated Financial Statements from the closing date and had an immaterial impact on our Professional reportable segment net sales and segment earnings for the three month period ended January 28, 2022. For additional information regarding the acquisition, refer to Note 2, </w:t>
      </w:r>
      <w:r>
        <w:rPr>
          <w:rFonts w:ascii="Arial" w:cs="Arial" w:eastAsia="Arial" w:hAnsi="Arial"/>
          <w:sz w:val="16"/>
          <w:szCs w:val="16"/>
          <w:i w:val="1"/>
          <w:iCs w:val="1"/>
          <w:color w:val="auto"/>
        </w:rPr>
        <w:t>Business Combination</w:t>
      </w:r>
      <w:r>
        <w:rPr>
          <w:rFonts w:ascii="Arial" w:cs="Arial" w:eastAsia="Arial" w:hAnsi="Arial"/>
          <w:sz w:val="16"/>
          <w:szCs w:val="16"/>
          <w:color w:val="auto"/>
        </w:rPr>
        <w:t>, in the Notes to Condensed Consolidated Financial Statements included in Part I, Item 1 of this Quarterly Report on Form 10-Q.</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Our main focus from the onset of the pandemic has been, and will continue to be, the health, safety, and well-being of our employees, customers, suppliers and communities around the world. In support of continuing our global manufacturing and business operations, we have adopted, and continue to adhere to, certain rigorous and meaningful safety measures recommended by the U.S. Centers for Disease Control and Prevention, World Health Organization, and federal, state, local, and foreign authorities in an effort to protect our employees, customers, suppliers, and communities. In addition to our vigilant safety measures, we have also maintained our focus on our responsibility to meet the needs of our customers as we supply products that are critical to maintaining essential global infrastructure, agricultural food production, and the enablement of safe areas for outdoor spaces. Our ability to meet the needs of our customers has been challenged by the adverse impact of COVID-19 on the global supply chain. Although we regularly monitor the adequacy of the supply of commodities, components, parts, and accessories and the financial health of the companies in our supply chain, and use alternative suppliers when necessary and available,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has and could continue to cause a disruption in our ability to procure the commodities, components, and parts required to manufacture our products. Ongoing communication and prioritization continues with our suppliers in an attempt to identify and mitigate such risks and to proactively manage inventory levels of commodities, components, and parts to align with anticipated demand for our products and other government actions.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continuing implications of COVID-19 on our business and manufacturing operations remain uncertain and will depend on certain future developments, including any adverse impact due to additional variants of the virus; its impact on market demand for our products; its impact on the global supply chain; its impact on our employees, customers, and suppliers; the range of government mandated restrictions and other measures; and the success of the COVID-19 vaccines against the virus and related variants. As a result, the ultimate impact on our future business and manufacturing operations, as well as results of operations, financial position, and cash flows as a result of COVID-19 is unknown at this time. We continue to monitor the situation and the guidance from global government authorities, as well as federal, state, local and foreign public health authorities, and may take additional meaningful actions based on their requirements and recommendations in an attempt to protect the health and well-being of our employees, customers, suppliers, and communities. In these circumstances, there may be developments outside our control requiring us to adjust our operating plans and implement appropriate cost reduction measures. If the adverse impacts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the section titled "Cautionary Note Regarding Forward-Looking Statements" located at the beginning of this Quarterly Report on Form 10-Q and also refer to Part I, Item 1A, "Risk Factors", within our Annual Report on Form 10-K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During the first quarter of fiscal 2022, we continued to experience the strong demand environment across both our Professional and Residential segments and we realized favorable impacts to both our net sales and gross margins as a result of our strategic pricing actions across our product lines. For the first quarter of fiscal 2022, our sales cadence was driven more by our ability to produce product than historical demand patterns and seasonality. While the strong demand environment and favorable net price realization positively impacted our results of operations, we continued to experience headwinds associated with the challenging inflationary and supply chain environment that adversely impacted our gross margins for the first quarter of fiscal 2022. More specifically, we experienced a greater degree of inflationary cost pressures on commodity and component parts during the first quarter of fiscal 2022 as compared to the first quarter of fiscal 2021. Additionally, we continued to experience significant supply chain disruption during the first quarter of fiscal 2022 as compared to the first quarter of fiscal 2021, which resulted in challenging conditions for sourcing adequate amounts of certain commodity and component parts inventory and, in certain cases, limited the ability of our suppliers to meet our commodity and component parts demand requirements. We intend to continue our historical practice of prudently managing expenses and adjusting production levels as needed to align with anticipated sales volumes and availability of commodity and component parts inventories, while also prioritizing our productivity initiatives and other investments that support long-term sustainable growth across our businesses. However, given our current expectation of continuing supply chain disruptions, our ability to effectively and efficiently adjust production levels as needed may be limited.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Consolidated net sales for the first quarter of fiscal 2022 were $932.7 million, up 6.8 percent compared to $873.0 million in the first quarter of fiscal 2021. Professional segment net sales for the first quarter of fiscal 2022 were $672.9 million, an increase of 3.5 percent compared to $650.2 million in the first quarter of the prior fiscal year. Residential segment net sales for the first quarter of fiscal 2022 were $255.4 million, an increase of 17.3 percent compared to $217.7 million in the first quarter of the prior fiscal year.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Net earnings for the first quarter of fiscal 2022 were $69.5 million, or $0.66 per diluted share, compared to $111.3 million, or $1.02 per diluted share, for the first quarter of fiscal 2021. Non-GAAP net earnings for the first quarter of fiscal 2022 were $69.7 million, or $0.66 per diluted share, compared to $93.2 million, or $0.85 per diluted share, for the first quarter of fiscal 2021. Reconciliations of non-GAAP financial measures to the most directly comparable reported U.S. GAAP financial measures are included in the section titled "Non-GAAP Financial Measures" within this MD&amp;A.</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continued our history of paying quarterly cash dividends and increased our cash dividend for the first quarter of fiscal 2022 by 14.3 percent to $0.30 per share compared to $0.2625 per share paid in the first quarter of fiscal 2021. We also continued repurchasing shares of our common stock under our Board authorized repurchase plan during the first quarter of fiscal 2022. As a result of the combination of quarterly cash dividends and share repurchases, we returned $106.5 million of cash to our shareholders during the first quarter of fiscal 2022.</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Field inventory levels were lower as of the end of the first quarter of fiscal 2022 compared to the first quarter of fiscal 2021 across the majority of our businesses as a result of continued strong retail demand for our products that has exceeded our ability to produce certain products, most notably for Professional segment rental, specialty, and underground construction equipment and landscape contractor zero-turn riding mowers. The field inventory decrease was partially offset by higher levels of Residential segment zero-turn riding mower and walk power mower field inventory due to strong demand from channel partners ahead of their key selling seasons and our ability to produce product to meet the demand.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Consolidated net sales for the first quarter of fiscal 2022 were $932.7 million, up 6.8 percent compared to $873.0 million in the first quarter of fiscal 2021. This net sales increase was primarily driven by price increases across both Professional and Residential segment product lines, as well as increased shipments of Residential segment zero-turn riding mowers and walk power mowers ahead of our key selling season driven by continued strong demand. The increase in net sales was partially offset by supply chain challenges limiting product availability for Professional segment landscape contractor zero-turn riding mowers and golf and grounds products.</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Net sales in international markets increased by $3.3 million for the first quarter fiscal 2022 compared to the first quarter of fiscal 2021. Changes in foreign currency exchange rates resulted in a decrease in our net sales of approximately $1.0 million for the first quarter of fiscal 2022 compared to the first quarter of fiscal 2021. The international net sales increase for the quarter comparison was mainly driven by price increases across our product lines and increased shipments of Residential segment zero-turn riding mowers and Professional segment ag-irrigation products due to strong demand, partially offset by supply chain challenges limiting product availability for golf and grounds products and underground construction equipment.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consolidated net sales:</w:t>
      </w:r>
    </w:p>
    <w:p>
      <w:pPr>
        <w:spacing w:after="0" w:line="148"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top w:val="single" w:sz="8" w:color="auto"/>
              <w:bottom w:val="single" w:sz="8" w:color="auto"/>
            </w:tcBorders>
          </w:tcPr>
          <w:p>
            <w:pPr>
              <w:spacing w:after="0"/>
              <w:rPr>
                <w:sz w:val="17"/>
                <w:szCs w:val="17"/>
                <w:color w:val="auto"/>
              </w:rPr>
            </w:pPr>
          </w:p>
        </w:tc>
        <w:tc>
          <w:tcPr>
            <w:tcW w:w="42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January 28, 2022</w:t>
            </w:r>
          </w:p>
        </w:tc>
        <w:tc>
          <w:tcPr>
            <w:tcW w:w="15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January 29, 2021</w:t>
            </w: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100.0 %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42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(67.8)</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(63.9)</w:t>
            </w:r>
          </w:p>
        </w:tc>
      </w:tr>
      <w:tr>
        <w:trPr>
          <w:trHeight w:val="201"/>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42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32.2</w:t>
            </w: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36.1</w:t>
            </w:r>
          </w:p>
        </w:tc>
      </w:tr>
      <w:tr>
        <w:trPr>
          <w:trHeight w:val="20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42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(22.4)</w:t>
            </w: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(19.9)</w:t>
            </w:r>
          </w:p>
        </w:tc>
      </w:tr>
      <w:tr>
        <w:trPr>
          <w:trHeight w:val="201"/>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42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9.8</w:t>
            </w:r>
          </w:p>
        </w:tc>
        <w:tc>
          <w:tcPr>
            <w:tcW w:w="15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r>
      <w:tr>
        <w:trPr>
          <w:trHeight w:val="205"/>
        </w:trPr>
        <w:tc>
          <w:tcPr>
            <w:tcW w:w="5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0" w:type="dxa"/>
            <w:vAlign w:val="bottom"/>
          </w:tcPr>
          <w:p>
            <w:pPr>
              <w:jc w:val="right"/>
              <w:ind w:right="200"/>
              <w:spacing w:after="0"/>
              <w:rPr>
                <w:sz w:val="20"/>
                <w:szCs w:val="20"/>
                <w:color w:val="auto"/>
              </w:rPr>
            </w:pPr>
            <w:r>
              <w:rPr>
                <w:rFonts w:ascii="Arial" w:cs="Arial" w:eastAsia="Arial" w:hAnsi="Arial"/>
                <w:sz w:val="16"/>
                <w:szCs w:val="16"/>
                <w:color w:val="auto"/>
              </w:rPr>
              <w:t>(0.8)</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(0.9)</w:t>
            </w:r>
          </w:p>
        </w:tc>
      </w:tr>
      <w:tr>
        <w:trPr>
          <w:trHeight w:val="207"/>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42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r>
      <w:tr>
        <w:trPr>
          <w:trHeight w:val="200"/>
        </w:trPr>
        <w:tc>
          <w:tcPr>
            <w:tcW w:w="554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4200" w:type="dxa"/>
            <w:vAlign w:val="bottom"/>
          </w:tcPr>
          <w:p>
            <w:pPr>
              <w:jc w:val="right"/>
              <w:ind w:right="240"/>
              <w:spacing w:after="0"/>
              <w:rPr>
                <w:sz w:val="20"/>
                <w:szCs w:val="20"/>
                <w:color w:val="auto"/>
              </w:rPr>
            </w:pPr>
            <w:r>
              <w:rPr>
                <w:rFonts w:ascii="Arial" w:cs="Arial" w:eastAsia="Arial" w:hAnsi="Arial"/>
                <w:sz w:val="16"/>
                <w:szCs w:val="16"/>
                <w:color w:val="auto"/>
              </w:rPr>
              <w:t>9.3</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15.6</w:t>
            </w:r>
          </w:p>
        </w:tc>
      </w:tr>
      <w:tr>
        <w:trPr>
          <w:trHeight w:val="207"/>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2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r>
      <w:tr>
        <w:trPr>
          <w:trHeight w:val="200"/>
        </w:trPr>
        <w:tc>
          <w:tcPr>
            <w:tcW w:w="55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4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12.7 %</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and Gross Margin</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Gross profit for the first quarter of fiscal 2022 was $300.5 million, down 4.6 percent compared to $315.0 million in the first quarter of fiscal 2021. Gross margin was 32.2 percent for the first quarter of fiscal 2022 compared to 36.1 percent for the first quarter of fiscal 2021, a decrease of 390 basis points. The decrease in gross margin for the first quarter comparison was primarily due to the macroeconomic inflationary environment resulting in higher commodity and component parts costs, unfavorable manufacturing variance due to supply chain challenges, and unfavorable product mix. The gross margin decrease was partially offset by improved net price realization as a result of price increases across our product lines and productivity improvements.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SG&amp;A expense increased $35.3 million, or 20.3 percent, for the first quarter of fiscal 2022 compared to the first quarter of fiscal 2021. As a percentage of net sales, SG&amp;A expense increased 250 basis points for the first quarter of fiscal 2022 compared to the first quarter of fiscal 2021. The increase in SG&amp;A expense as a percentage of net sales for the first quarter comparison was primarily due to a favorable net legal settlement with BGG that was recognized in fiscal 2021 and did not repeat in fiscal 2022, higher engineering expense for continued investments in new product development, and increased sales and marketing costs as trade show and other travel-related business practices continue to gradually return to pre-pandemic levels.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Interest expense decreased $0.5 million for the first quarter of fiscal 2022 compared to the first quarter of fiscal 2021. This decrease was driven by lower average outstanding borrowings under our debt arrangements and lower average interest rates.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Other income, net for the first quarter of fiscal 2022 increased $0.7 million compared to the first quarter of fiscal 2021, primarily due to the favorable impact of foreign currency exchange rate fluctuations.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effective tax rate for the first quarter of fiscal 2022 was 20.2 percent compared to 18.1 percent in the first quarter of fiscal 2021. The increase in the effective tax rate was primarily driven by lower discrete tax benefits recorded as excess tax deductions for stock-based compensation. The non-GAAP effective tax rate for the first quarter of fiscal 2022 was 20.9 percent, compared to a non-GAAP effective tax rate of 21.5 percent in the first quarter of fiscal 2021. Reconciliations of non-GAAP financial measures to the most directly comparable reported U.S. GAAP financial measures are included in the section titled "Non-GAAP Financial Measures."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Earnings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earnings for the first quarter of fiscal 2022 were $69.5 million, or $0.66 per diluted share, compared to $111.3 million, or $1.02 per diluted share, for the first quarter of fiscal 2021, a decrease of 35.3 percent per diluted share. The decrease was primarily due to the macroeconomic inflationary environment resulting in higher commodity and component parts costs, unfavorable manufacturing variance and product mix, and a favorable net legal settlement with BGG that was recognized in fiscal 2021 and did not repeat. The decrease was partially offset by improved net price realization as a result of price increases across our product lines.</w:t>
      </w:r>
    </w:p>
    <w:p>
      <w:pPr>
        <w:spacing w:after="0" w:line="7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Non-GAAP net earnings for the first quarter of fiscal 2022 were $69.7 million, or $0.66 per diluted share, compared to $93.2 million, or $0.85 per diluted share, for the first quarter of fiscal 2021, a decrease of 22.4 percent per diluted share. The decrease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was primarily due to the macroeconomic inflationary environment resulting in higher commodity and component parts costs, as well as unfavorable manufacturing variance and product mix. The decrease was partially offset by improved net price realization as a result of price increases across our product lines. Reconciliations of non-GAAP financial measures to the most directly comparable reported U.S. GAAP financial measures are included in the section titled "Non-GAAP Financial Measures."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0" w:type="dxa"/>
            <w:vAlign w:val="bottom"/>
          </w:tcPr>
          <w:p>
            <w:pPr>
              <w:spacing w:after="0"/>
              <w:rPr>
                <w:sz w:val="13"/>
                <w:szCs w:val="13"/>
                <w:color w:val="auto"/>
              </w:rPr>
            </w:pPr>
          </w:p>
        </w:tc>
        <w:tc>
          <w:tcPr>
            <w:tcW w:w="12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8"/>
              </w:rPr>
              <w:t>January 28, 2022</w:t>
            </w:r>
          </w:p>
        </w:tc>
        <w:tc>
          <w:tcPr>
            <w:tcW w:w="18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90"/>
              </w:rPr>
              <w:t>January 29, 2021</w:t>
            </w:r>
          </w:p>
        </w:tc>
        <w:tc>
          <w:tcPr>
            <w:tcW w:w="24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Arial" w:cs="Arial" w:eastAsia="Arial" w:hAnsi="Arial"/>
                <w:sz w:val="16"/>
                <w:szCs w:val="16"/>
                <w:b w:val="1"/>
                <w:bCs w:val="1"/>
                <w:color w:val="auto"/>
              </w:rPr>
              <w:t>Dollar</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Percentage Change</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672,885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650,223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22,662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6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255,402</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217,700</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37,702</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4,363</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5,063</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932,650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872,986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59,664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7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*Includes international net sales of:</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194,986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191,681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3,305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segment earnings for our reportable business segments and operating (loss) for our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20" w:type="dxa"/>
            <w:vAlign w:val="bottom"/>
          </w:tcPr>
          <w:p>
            <w:pPr>
              <w:spacing w:after="0"/>
              <w:rPr>
                <w:sz w:val="13"/>
                <w:szCs w:val="13"/>
                <w:color w:val="auto"/>
              </w:rPr>
            </w:pPr>
          </w:p>
        </w:tc>
        <w:tc>
          <w:tcPr>
            <w:tcW w:w="1300" w:type="dxa"/>
            <w:vAlign w:val="bottom"/>
            <w:vMerge w:val="restart"/>
          </w:tcPr>
          <w:p>
            <w:pPr>
              <w:spacing w:after="0"/>
              <w:rPr>
                <w:sz w:val="20"/>
                <w:szCs w:val="20"/>
                <w:color w:val="auto"/>
              </w:rPr>
            </w:pPr>
            <w:r>
              <w:rPr>
                <w:rFonts w:ascii="Arial" w:cs="Arial" w:eastAsia="Arial" w:hAnsi="Arial"/>
                <w:sz w:val="16"/>
                <w:szCs w:val="16"/>
                <w:b w:val="1"/>
                <w:bCs w:val="1"/>
                <w:color w:val="auto"/>
                <w:w w:val="99"/>
              </w:rPr>
              <w:t>January 28, 2022</w:t>
            </w:r>
          </w:p>
        </w:tc>
        <w:tc>
          <w:tcPr>
            <w:tcW w:w="160" w:type="dxa"/>
            <w:vAlign w:val="bottom"/>
          </w:tcPr>
          <w:p>
            <w:pPr>
              <w:spacing w:after="0"/>
              <w:rPr>
                <w:sz w:val="13"/>
                <w:szCs w:val="13"/>
                <w:color w:val="auto"/>
              </w:rPr>
            </w:pPr>
          </w:p>
        </w:tc>
        <w:tc>
          <w:tcPr>
            <w:tcW w:w="13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0"/>
              </w:rPr>
              <w:t>January 29, 2021</w:t>
            </w: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Arial" w:cs="Arial" w:eastAsia="Arial" w:hAnsi="Arial"/>
                <w:sz w:val="16"/>
                <w:szCs w:val="16"/>
                <w:b w:val="1"/>
                <w:bCs w:val="1"/>
                <w:color w:val="auto"/>
              </w:rPr>
              <w:t>Dollar</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Percentage Change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center"/>
              <w:ind w:left="540"/>
              <w:spacing w:after="0"/>
              <w:rPr>
                <w:sz w:val="20"/>
                <w:szCs w:val="20"/>
                <w:color w:val="auto"/>
              </w:rPr>
            </w:pPr>
            <w:r>
              <w:rPr>
                <w:rFonts w:ascii="Arial" w:cs="Arial" w:eastAsia="Arial" w:hAnsi="Arial"/>
                <w:sz w:val="16"/>
                <w:szCs w:val="16"/>
                <w:color w:val="auto"/>
                <w:w w:val="89"/>
              </w:rPr>
              <w:t>93,272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116,816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(23,544)</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20" w:type="dxa"/>
            <w:vAlign w:val="bottom"/>
          </w:tcPr>
          <w:p>
            <w:pPr>
              <w:spacing w:after="0"/>
              <w:rPr>
                <w:sz w:val="17"/>
                <w:szCs w:val="17"/>
                <w:color w:val="auto"/>
              </w:rPr>
            </w:pPr>
          </w:p>
        </w:tc>
        <w:tc>
          <w:tcPr>
            <w:tcW w:w="1300" w:type="dxa"/>
            <w:vAlign w:val="bottom"/>
          </w:tcPr>
          <w:p>
            <w:pPr>
              <w:jc w:val="center"/>
              <w:ind w:left="540"/>
              <w:spacing w:after="0"/>
              <w:rPr>
                <w:sz w:val="20"/>
                <w:szCs w:val="20"/>
                <w:color w:val="auto"/>
              </w:rPr>
            </w:pPr>
            <w:r>
              <w:rPr>
                <w:rFonts w:ascii="Arial" w:cs="Arial" w:eastAsia="Arial" w:hAnsi="Arial"/>
                <w:sz w:val="16"/>
                <w:szCs w:val="16"/>
                <w:color w:val="auto"/>
                <w:w w:val="89"/>
              </w:rPr>
              <w:t>31,760</w:t>
            </w:r>
          </w:p>
        </w:tc>
        <w:tc>
          <w:tcPr>
            <w:tcW w:w="16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32,108</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(348)</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center"/>
              <w:ind w:left="520"/>
              <w:spacing w:after="0"/>
              <w:rPr>
                <w:sz w:val="20"/>
                <w:szCs w:val="20"/>
                <w:color w:val="auto"/>
              </w:rPr>
            </w:pPr>
            <w:r>
              <w:rPr>
                <w:rFonts w:ascii="Arial" w:cs="Arial" w:eastAsia="Arial" w:hAnsi="Arial"/>
                <w:sz w:val="16"/>
                <w:szCs w:val="16"/>
                <w:color w:val="auto"/>
                <w:w w:val="90"/>
              </w:rPr>
              <w:t>(37,885)</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(24,787)</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540"/>
              <w:spacing w:after="0"/>
              <w:rPr>
                <w:sz w:val="20"/>
                <w:szCs w:val="20"/>
                <w:color w:val="auto"/>
              </w:rPr>
            </w:pPr>
            <w:r>
              <w:rPr>
                <w:rFonts w:ascii="Arial" w:cs="Arial" w:eastAsia="Arial" w:hAnsi="Arial"/>
                <w:sz w:val="16"/>
                <w:szCs w:val="16"/>
                <w:color w:val="auto"/>
                <w:w w:val="89"/>
              </w:rPr>
              <w:t>87,147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135,826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(48,679)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Net sales for our Professional segment for the first quarter of fiscal 2022 increased 3.5 percent compared to the first quarter of fiscal 2021. The increase was primarily due to price increases across our Professional segment product lines, as well as growth in our irrigation and ag-irrigation businesses driven by product availability and strong demand. The increase in Professional segment net sales was partially offset by supply chain challenges limiting product availability for landscape contractor zero-turn riding mowers and golf and grounds products.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Professional segment earnings for the first quarter of fiscal 2022 decreased 20.2 percent compared to the first quarter of fiscal 2021, and when expressed as a percentage of net sales, decreased to 13.9 percent from 18.0 percent. As a percentage of net sales, the Professional segment earnings decrease for the first quarter comparison was primarily due to the macroeconomic inflationary environment resulting in higher commodity and component parts costs, unfavorable manufacturing variance due to supply chain challenges, higher engineering expense for continued investments in new product development, and increased sales and marketing costs as trade show and other travel-related business practices continue to gradually return to pre-pandemic levels. The Professional segment earnings decrease was partially offset by improved net price realization as a result of price increases across our Professional segment product lines.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sales for our Residential segment for the first quarter of fiscal 2022 increased 17.3 percent compared to the first quarter of fiscal 2021. The Residential segment net sales increase for the first quarter comparison was mainly driven by price increases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across our Residential segment product lines and increased shipments of zero-turn riding and walk power mowers ahead of our key selling season driven by continued strong demand.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Residential segment earnings for the first quarter of fiscal 2022 decreased 1.1 percent compared to the first quarter of fiscal 2021, and when expressed as a percentage of net sales, decreased to 12.4 percent from 14.7 percent. As a percentage of net sales, the Residential segment earnings decrease for the first quarter comparison was primarily due to the macroeconomic inflationary environment resulting in higher commodity and component parts costs, as well as unfavorable product mix. The Residential segment earnings decrease was partially offset by improved net price realization as a result of price increases across our Residential segment product lines, productivity improvements, and leveraging expense over higher sales volumes.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Net Sales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sales for our Other activities included sales from our wholly-owned domestic distribution company less sales from the Professional and Residential segments to the distribution company. Net sales for our Other activities in the first quarter of fiscal 2022 decreased by $0.7 million compared to the same period in fiscal 2021. This decrease was due to decreased sales from our wholly-owned domestic distribution company due to supply chain challenges limiting product availability, partially offset by reduced intercompany sales eliminations for sales from our Professional and Residential segments to our wholly-owned domestic distribution company.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operating loss for our Other activities for the first quarter of fiscal 2022 increased $24.8 million compared to the first quarter of fiscal 2021 and was primarily due to a favorable net legal settlement with BGG that was recognized in fiscal 2021 and did not repeat in fiscal 2022.</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Given the challenging macroeconomic environment that has created supply chain disruption and more specifically, resulted in challenging conditions for sourcing adequate amounts of certain commodity and component parts inventory and, in certain cases, the inability of our suppliers to meet our commodity and component parts demand requirements, our working capital strategy continues to place primary emphasis on increasing our commodity and component parts inventories in an attempt to maintain requisite inventory levels to meet our anticipated production requirements, avoid manufacturing delays, and meet the anticipated continued strong demand for our products, as well as attempting to ensure service parts availability for our customers. Accounts receivable as of the end of the first quarter of fiscal 2022 increased $59.4 million, or 19.4 percent, compared to the end of the first quarter of fiscal 2021, mainly due to higher Residential segment sales to channels not financed through our Red Iron joint venture, as well as a higher receivable from our Red Iron joint venture as a result of increased Professional segment sales financed under the joint venture near quarter-end. Inventory levels were up $156.8 million, or 23.2 percent, as of the first quarter of fiscal 2022 compared to the first quarter of fiscal 2021, primarily due to higher raw material and work in process inventories due to supply chain challenges that prevented the conversion of raw materials and work in process inventories into finished goods and the impact of inflation on the cost of commodities and component parts, as well as incremental inventories as a result of our acquisition of Intimidator. Accounts payable increased $110.1 million, or 30.2 percent, as of the end of the first quarter of fiscal 2022 compared to the end of the first quarter of fiscal 2021, mainly due to normalized spending activity in the first quarter of fiscal 2022 and the impact of inflation on the cost of commodities, component parts, and other purchased goods and services.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Cash used in operating activities for the first three months of fiscal 2022 was $90.0 million compared to cash provided by operating activities for the first three months of fiscal 2021 of $95.0 million. This increase in cash used in operating activities was primarily due to cash used to satisfy accounts payable and accrued liabilities that remained outstanding as of October 31, 2021 as a result of normalized spending patterns and timing of invoice payments near the end of fiscal 2021, lower net earnings, and more cash consumed within inventory due to supply chain challenges that prevented the conversion of raw materials and work in process inventories into finished goods and the impact of inflation on the cost of commodities and component parts.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used in investing activities increased $411.3 million during the first three months of fiscal 2022 compared to the first three months of fiscal 2021. This increase was primarily due to more cash used to fund the preliminary purchase price for our acquisition of Intimidator and lower cash proceeds from the sale of a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Cash provided by financing activities for the first three months of fiscal 2022 was $293.3 million compared to cash used in financing activities for the first three months of fiscal 2021 of $143.0 million. This increase in cash provided by financing activities was mainly due to higher borrowings under our unsecured senior revolving credit facility to fund the preliminary purchase price for our acquisition of Intimidator, as well as less cash used for repayments of outstanding indebtedness. This increase was partially offset by more cash used for repurchases of shares of our common stock under our Board authorized repurchase program.</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Because of our seasonality, our accounts receivable balance have historically increased between January and April as a result of typically higher sales volumes and extended payment terms made available to our customers, and have typically decreased between May and December when payments are received. However, as a result of COVID-19 and the challenging macroeconomic environment that has created supply chain disruption, our accounts receivable pattern has not followed historical patterns during fiscal 2022 and fiscal 2021 because our sales cadence has been driven more by our ability to produce product than historical demand patterns and seasonality. We currently expect this trend to continue throughout the remainder of fiscal 2022.</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generally fund cash requirements for working capital needs, capital expenditures, contractual obligations, acquisitions, investments, debt repayments, interest payments, quarterly cash dividend payments, and common stock repurchases, all as applicable, through cash provided by operating activities, availability under our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or for other corporate purposes. 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January 28, 2022, we had available liquidity of $387.4 million, consisting of cash and cash equivalents of $193.0 million, of which $99.1 million was held by our foreign subsidiaries, and availability under our revolving credit facility of $194.4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debt arrangements are described in further detail within our most recently filed Annual Report on Form 10-K for the fiscal year ended October 31, 2021. The following is a summary of our indebtedness: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2"/>
              </w:rPr>
              <w:t>January 29, 2021</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2021</w:t>
            </w: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October 2026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$270 million term loan, due October 2026</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270,000</w:t>
            </w:r>
          </w:p>
        </w:tc>
        <w:tc>
          <w:tcPr>
            <w:tcW w:w="1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 million term loan, due April 2022</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$300 million term loan, due April 2024</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6.625% senior notes, due May 2037</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124,055</w:t>
            </w:r>
          </w:p>
        </w:tc>
        <w:tc>
          <w:tcPr>
            <w:tcW w:w="1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123,993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124,040</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2,701</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2,645</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r>
      <w:tr>
        <w:trPr>
          <w:trHeight w:val="200"/>
        </w:trPr>
        <w:tc>
          <w:tcPr>
            <w:tcW w:w="564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22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1,091,354</w:t>
            </w:r>
          </w:p>
        </w:tc>
        <w:tc>
          <w:tcPr>
            <w:tcW w:w="180" w:type="dxa"/>
            <w:vAlign w:val="bottom"/>
          </w:tcPr>
          <w:p>
            <w:pPr>
              <w:spacing w:after="0"/>
              <w:rPr>
                <w:sz w:val="17"/>
                <w:szCs w:val="17"/>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701,348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691,242</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9,992</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less current portion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991,354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691,356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691,242</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 of January 28, 2022, we had $400.0 million of outstanding borrowings under the revolving credit facility, primarily as a result of the amount drawn to fund the purchase price of our acquisition of Intimidator, and $5.6 million outstanding under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sublimit for standby letters of credit, which resulted in $194.4 million of unutilized availability under the revolving credit facility. Typically, our revolving credit facility is classified as long-term debt within the Condensed Consolidated Balance Sheets as we have the ability to extend the outstanding borrowings under the revolving credit facility for the full-term of the facility. However, if we intend to prepay a portion of the outstanding balance under the revolving credit facility within the next twelve months, we reclassify the portion of outstanding borrowings under the revolving credit facility that we intend to repay within the next twelve months to current portion of long-term debt within the Condensed Consolidated Balance Sheets. As of January 28, 2022, we reclassified $100.0 million of outstanding borrowings under the revolving credit facility to current portion of long-term debt within the Condensed Consolidated Balance Sheets as we currently intend to repay this amount within the next twelve months.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January 28, 2022, we were in compliance with all covenants related to our financing arrangements and were not limited in the amount for payments of cash dividends and common stock repurchases. We expect to be in compliance with all covenants related to our financing arrangements during the remainder of fiscal 2022. If we were out of compliance with any covenant required by our financing arrangements following the applicable cure period, our term loan facility, long-term senior notes, debentures, and any amounts outstanding under the revolving credit facility could become due and payable if we were unable to obtain a covenant waiver or refinance our borrowings under our financing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of Directors approved a cash dividend of $0.30 per share for the first quarter of fiscal 2022 that was paid on January 11, 2022. This was an increase of 14.3 percent over our cash dividend of $0.2625 per share for the first quarter of fiscal 2021. We currently expect to continue paying our quarterly cash dividend to shareholders for the remainder of fiscal 2022.</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During the first three months of fiscal 2022, we repurchased 738,632 shares of our common stock in the open market under our Board authorized repurchase program, thereby reducing our total shares outstanding. As of January 28, 2022, 3,313,830 shares remained available for repurchase under our Board authorized repurchase program. We currently expect to continue repurchasing shares of our common stock throughout the remainder of fiscal 2022, depending on our cash balance, debt repayments, market conditions, our anticipated working capital needs, the price of our common stock, and/or other factors.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customer financing arrangements, including both wholesale financing and end-user financing arrangements, are described in further detail within our most recently filed Annual Report on Form 10-K for the fiscal year ended October 31, 2021. There have been no material changes to our end-user customer financing arrangements during the first three months of fiscal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Financing</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party to a joint venture with TCF Inventory Finance, Inc. ("TCFIF"), a subsidiary of The Huntington National Bank, established as Red Iron,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three month periods ended January 28, 2022 and January 29, 2021 was $528.1 million and $511.3 million, respectively.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or TCFCFC, which include agreements with third-party financial institutions in the U.S. and internationally. These third-party financial institutions and TCFCFC financed $106.5 million and $92.6 million of receivables for such dealers and distributors during the three month periods ended January 28, 2022 and January 29, 2021, respectively. As of January 28, 2022 and January 29, 2021, $220.0 million and $147.6 million, respectively, of receivables financed by the third-party financing companies and TCFCFC, excluding Red Iron, were outstanding.</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January 28, 2022 and January 29, 2021, we were contingently liable to repurchase up to a maximum amount of $172.3 million and $111.2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such arrangements during the three month periods ended January 28, 2022 and January 29, 2021.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Performance Measures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provides a reconciliation of financial performance measures calculated and reported in accordance with U.S. GAAP to the most directly comparable non-GAAP financial performance measures for the three month periods ended January 28, 2022 and January 29, 2021:</w:t>
      </w:r>
    </w:p>
    <w:p>
      <w:pPr>
        <w:spacing w:after="0" w:line="93"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 except per share data)</w:t>
            </w:r>
          </w:p>
        </w:tc>
        <w:tc>
          <w:tcPr>
            <w:tcW w:w="27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January 28, 2022</w:t>
            </w: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0"/>
              </w:rPr>
              <w:t>January 29, 2021</w:t>
            </w:r>
          </w:p>
        </w:tc>
      </w:tr>
      <w:tr>
        <w:trPr>
          <w:trHeight w:val="201"/>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earnings</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91,626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141,465</w:t>
            </w:r>
          </w:p>
        </w:tc>
      </w:tr>
      <w:tr>
        <w:trPr>
          <w:trHeight w:val="207"/>
        </w:trPr>
        <w:tc>
          <w:tcPr>
            <w:tcW w:w="554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2700" w:type="dxa"/>
            <w:vAlign w:val="bottom"/>
          </w:tcPr>
          <w:p>
            <w:pPr>
              <w:spacing w:after="0"/>
              <w:rPr>
                <w:sz w:val="17"/>
                <w:szCs w:val="17"/>
                <w:color w:val="auto"/>
              </w:rPr>
            </w:pPr>
          </w:p>
        </w:tc>
        <w:tc>
          <w:tcPr>
            <w:tcW w:w="1420" w:type="dxa"/>
            <w:vAlign w:val="bottom"/>
          </w:tcPr>
          <w:p>
            <w:pPr>
              <w:jc w:val="right"/>
              <w:ind w:right="182"/>
              <w:spacing w:after="0"/>
              <w:rPr>
                <w:sz w:val="20"/>
                <w:szCs w:val="20"/>
                <w:color w:val="auto"/>
              </w:rPr>
            </w:pPr>
            <w:r>
              <w:rPr>
                <w:rFonts w:ascii="Arial" w:cs="Arial" w:eastAsia="Arial" w:hAnsi="Arial"/>
                <w:sz w:val="16"/>
                <w:szCs w:val="16"/>
                <w:color w:val="auto"/>
              </w:rPr>
              <w:t>1,016</w:t>
            </w:r>
          </w:p>
        </w:tc>
        <w:tc>
          <w:tcPr>
            <w:tcW w:w="2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554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2</w:t>
            </w:r>
          </w:p>
        </w:tc>
        <w:tc>
          <w:tcPr>
            <w:tcW w:w="27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(17,075)</w:t>
            </w:r>
          </w:p>
        </w:tc>
      </w:tr>
      <w:tr>
        <w:trPr>
          <w:trHeight w:val="19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operating earnings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92,642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124,390</w:t>
            </w:r>
          </w:p>
        </w:tc>
      </w:tr>
      <w:tr>
        <w:trPr>
          <w:trHeight w:val="86"/>
        </w:trPr>
        <w:tc>
          <w:tcPr>
            <w:tcW w:w="55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87,147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135,826</w:t>
            </w:r>
          </w:p>
        </w:tc>
      </w:tr>
      <w:tr>
        <w:trPr>
          <w:trHeight w:val="207"/>
        </w:trPr>
        <w:tc>
          <w:tcPr>
            <w:tcW w:w="554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2700" w:type="dxa"/>
            <w:vAlign w:val="bottom"/>
          </w:tcPr>
          <w:p>
            <w:pPr>
              <w:spacing w:after="0"/>
              <w:rPr>
                <w:sz w:val="17"/>
                <w:szCs w:val="17"/>
                <w:color w:val="auto"/>
              </w:rPr>
            </w:pPr>
          </w:p>
        </w:tc>
        <w:tc>
          <w:tcPr>
            <w:tcW w:w="1420" w:type="dxa"/>
            <w:vAlign w:val="bottom"/>
          </w:tcPr>
          <w:p>
            <w:pPr>
              <w:jc w:val="right"/>
              <w:ind w:right="182"/>
              <w:spacing w:after="0"/>
              <w:rPr>
                <w:sz w:val="20"/>
                <w:szCs w:val="20"/>
                <w:color w:val="auto"/>
              </w:rPr>
            </w:pPr>
            <w:r>
              <w:rPr>
                <w:rFonts w:ascii="Arial" w:cs="Arial" w:eastAsia="Arial" w:hAnsi="Arial"/>
                <w:sz w:val="16"/>
                <w:szCs w:val="16"/>
                <w:color w:val="auto"/>
              </w:rPr>
              <w:t>1,016</w:t>
            </w:r>
          </w:p>
        </w:tc>
        <w:tc>
          <w:tcPr>
            <w:tcW w:w="2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554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2</w:t>
            </w:r>
          </w:p>
        </w:tc>
        <w:tc>
          <w:tcPr>
            <w:tcW w:w="27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(17,075)</w:t>
            </w:r>
          </w:p>
        </w:tc>
      </w:tr>
      <w:tr>
        <w:trPr>
          <w:trHeight w:val="19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earnings before income taxes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88,163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118,751</w:t>
            </w:r>
          </w:p>
        </w:tc>
      </w:tr>
      <w:tr>
        <w:trPr>
          <w:trHeight w:val="86"/>
        </w:trPr>
        <w:tc>
          <w:tcPr>
            <w:tcW w:w="55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69,510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111,281</w:t>
            </w:r>
          </w:p>
        </w:tc>
      </w:tr>
      <w:tr>
        <w:trPr>
          <w:trHeight w:val="207"/>
        </w:trPr>
        <w:tc>
          <w:tcPr>
            <w:tcW w:w="554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2700" w:type="dxa"/>
            <w:vAlign w:val="bottom"/>
          </w:tcPr>
          <w:p>
            <w:pPr>
              <w:spacing w:after="0"/>
              <w:rPr>
                <w:sz w:val="17"/>
                <w:szCs w:val="17"/>
                <w:color w:val="auto"/>
              </w:rPr>
            </w:pPr>
          </w:p>
        </w:tc>
        <w:tc>
          <w:tcPr>
            <w:tcW w:w="1420" w:type="dxa"/>
            <w:vAlign w:val="bottom"/>
          </w:tcPr>
          <w:p>
            <w:pPr>
              <w:jc w:val="right"/>
              <w:ind w:right="182"/>
              <w:spacing w:after="0"/>
              <w:rPr>
                <w:sz w:val="20"/>
                <w:szCs w:val="20"/>
                <w:color w:val="auto"/>
              </w:rPr>
            </w:pPr>
            <w:r>
              <w:rPr>
                <w:rFonts w:ascii="Arial" w:cs="Arial" w:eastAsia="Arial" w:hAnsi="Arial"/>
                <w:sz w:val="16"/>
                <w:szCs w:val="16"/>
                <w:color w:val="auto"/>
              </w:rPr>
              <w:t>804</w:t>
            </w:r>
          </w:p>
        </w:tc>
        <w:tc>
          <w:tcPr>
            <w:tcW w:w="2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554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2</w:t>
            </w:r>
          </w:p>
        </w:tc>
        <w:tc>
          <w:tcPr>
            <w:tcW w:w="27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(13,455)</w:t>
            </w:r>
          </w:p>
        </w:tc>
      </w:tr>
      <w:tr>
        <w:trPr>
          <w:trHeight w:val="207"/>
        </w:trPr>
        <w:tc>
          <w:tcPr>
            <w:tcW w:w="554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2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(620)</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(4,578)</w:t>
            </w:r>
          </w:p>
        </w:tc>
      </w:tr>
      <w:tr>
        <w:trPr>
          <w:trHeight w:val="22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net earnings</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69,694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93,248</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5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diluted share</w:t>
            </w:r>
          </w:p>
        </w:tc>
        <w:tc>
          <w:tcPr>
            <w:tcW w:w="2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0.66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1.02</w:t>
            </w:r>
          </w:p>
        </w:tc>
      </w:tr>
      <w:tr>
        <w:trPr>
          <w:trHeight w:val="207"/>
        </w:trPr>
        <w:tc>
          <w:tcPr>
            <w:tcW w:w="554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2700" w:type="dxa"/>
            <w:vAlign w:val="bottom"/>
          </w:tcPr>
          <w:p>
            <w:pPr>
              <w:spacing w:after="0"/>
              <w:rPr>
                <w:sz w:val="17"/>
                <w:szCs w:val="17"/>
                <w:color w:val="auto"/>
              </w:rPr>
            </w:pPr>
          </w:p>
        </w:tc>
        <w:tc>
          <w:tcPr>
            <w:tcW w:w="1420" w:type="dxa"/>
            <w:vAlign w:val="bottom"/>
          </w:tcPr>
          <w:p>
            <w:pPr>
              <w:jc w:val="right"/>
              <w:ind w:right="182"/>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7"/>
                <w:szCs w:val="17"/>
                <w:color w:val="auto"/>
              </w:rPr>
            </w:pP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554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2</w:t>
            </w:r>
          </w:p>
        </w:tc>
        <w:tc>
          <w:tcPr>
            <w:tcW w:w="27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(0.13)</w:t>
            </w:r>
          </w:p>
        </w:tc>
      </w:tr>
      <w:tr>
        <w:trPr>
          <w:trHeight w:val="207"/>
        </w:trPr>
        <w:tc>
          <w:tcPr>
            <w:tcW w:w="554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2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(0.01)</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(0.04)</w:t>
            </w:r>
          </w:p>
        </w:tc>
      </w:tr>
      <w:tr>
        <w:trPr>
          <w:trHeight w:val="22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net earnings per diluted share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0.66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0.85</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54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0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7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20.2 %</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07"/>
        </w:trPr>
        <w:tc>
          <w:tcPr>
            <w:tcW w:w="554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2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0.7 %</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r>
        <w:trPr>
          <w:trHeight w:val="222"/>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effective tax rate</w:t>
            </w:r>
          </w:p>
        </w:tc>
        <w:tc>
          <w:tcPr>
            <w:tcW w:w="27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20.9 %</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21.5 %</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240" w:right="160" w:hanging="159"/>
        <w:spacing w:after="0" w:line="225" w:lineRule="auto"/>
        <w:tabs>
          <w:tab w:leader="none" w:pos="266"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 xml:space="preserve">On January 13, 2022, we completed the acquisition of Intimidator. Acquisition-related costs for the three month period ended January 28, 2022 represent transaction and integration costs incurred for our acquisition of Intimidator. No acquisition-related costs were incurred during the three month period ended January 29, 2021. For additional information regarding the acquisition of Intimidator, refer to Note 2, </w:t>
      </w:r>
      <w:r>
        <w:rPr>
          <w:rFonts w:ascii="Arial" w:cs="Arial" w:eastAsia="Arial" w:hAnsi="Arial"/>
          <w:sz w:val="15"/>
          <w:szCs w:val="15"/>
          <w:i w:val="1"/>
          <w:iCs w:val="1"/>
          <w:color w:val="auto"/>
        </w:rPr>
        <w:t>Business Combination</w:t>
      </w:r>
      <w:r>
        <w:rPr>
          <w:rFonts w:ascii="Arial" w:cs="Arial" w:eastAsia="Arial" w:hAnsi="Arial"/>
          <w:sz w:val="15"/>
          <w:szCs w:val="15"/>
          <w:color w:val="auto"/>
        </w:rPr>
        <w:t>, within the Notes to Condensed Consolidated Financial Statements included within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right="160" w:hanging="159"/>
        <w:spacing w:after="0" w:line="247" w:lineRule="auto"/>
        <w:tabs>
          <w:tab w:leader="none" w:pos="316"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three month period ended January 29, 2021. No amounts were recorded for litigation settlement, net during the three month period ended January 28, 2022. Refer to Note 14, </w:t>
      </w:r>
      <w:r>
        <w:rPr>
          <w:rFonts w:ascii="Arial" w:cs="Arial" w:eastAsia="Arial" w:hAnsi="Arial"/>
          <w:sz w:val="14"/>
          <w:szCs w:val="14"/>
          <w:i w:val="1"/>
          <w:iCs w:val="1"/>
          <w:color w:val="auto"/>
        </w:rPr>
        <w:t>Contingencies</w:t>
      </w:r>
      <w:r>
        <w:rPr>
          <w:rFonts w:ascii="Arial" w:cs="Arial" w:eastAsia="Arial" w:hAnsi="Arial"/>
          <w:sz w:val="14"/>
          <w:szCs w:val="14"/>
          <w:color w:val="auto"/>
        </w:rPr>
        <w:t>, for additional information regarding the settlement of the Infringement Action.</w:t>
      </w:r>
    </w:p>
    <w:p>
      <w:pPr>
        <w:spacing w:after="0" w:line="83" w:lineRule="exact"/>
        <w:rPr>
          <w:sz w:val="20"/>
          <w:szCs w:val="20"/>
          <w:color w:val="auto"/>
        </w:rPr>
      </w:pPr>
    </w:p>
    <w:p>
      <w:pPr>
        <w:jc w:val="both"/>
        <w:ind w:left="240" w:right="160" w:hanging="159"/>
        <w:spacing w:after="0" w:line="262" w:lineRule="auto"/>
        <w:tabs>
          <w:tab w:leader="none" w:pos="266"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as amended, can be unpredictable and can significantly impact our net earnings, net earnings per diluted share, and effective tax rate. These amounts represent the discrete tax benefits recorded as excess tax deductions for stock-based compensation during the three month periods ended January 28, 2022 and January 29, 2021.</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Liquidity Measures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non-GAAP free cash flow as net cash provided by operating activities less purchases of property, plant and equipment. Non-GAAP free cash flow conversion percentage represents non-GAAP free cash flow as a percentage of net earnings. We consider non-GAAP free cash flow and non-GAAP free cash flow conversion percentage to be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net cash provided by operating activities, the most directly comparable GAAP financial measure, to non-GAAP free cash flow for the three month periods ended January 28, 2022 and January 29, 2021:</w:t>
      </w:r>
    </w:p>
    <w:p>
      <w:pPr>
        <w:spacing w:after="0" w:line="117" w:lineRule="exact"/>
        <w:rPr>
          <w:sz w:val="20"/>
          <w:szCs w:val="20"/>
          <w:color w:val="auto"/>
        </w:rPr>
      </w:pPr>
    </w:p>
    <w:p>
      <w:pPr>
        <w:ind w:left="8840"/>
        <w:spacing w:after="0"/>
        <w:rPr>
          <w:sz w:val="20"/>
          <w:szCs w:val="20"/>
          <w:color w:val="auto"/>
        </w:rPr>
      </w:pPr>
      <w:r>
        <w:rPr>
          <w:rFonts w:ascii="Arial" w:cs="Arial" w:eastAsia="Arial" w:hAnsi="Arial"/>
          <w:sz w:val="16"/>
          <w:szCs w:val="16"/>
          <w:b w:val="1"/>
          <w:bCs w:val="1"/>
          <w:color w:val="auto"/>
        </w:rPr>
        <w:t>Three Months Ended</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0"/>
              </w:rPr>
              <w:t>January 28, 2022</w:t>
            </w: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0"/>
              </w:rPr>
              <w:t>January 29, 2021</w:t>
            </w:r>
          </w:p>
        </w:tc>
      </w:tr>
      <w:tr>
        <w:trPr>
          <w:trHeight w:val="20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(90,043)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95,025</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Purchases of property, plant and equipment</w:t>
            </w:r>
          </w:p>
        </w:tc>
        <w:tc>
          <w:tcPr>
            <w:tcW w:w="2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11,903</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10,504</w:t>
            </w:r>
          </w:p>
        </w:tc>
      </w:tr>
      <w:tr>
        <w:trPr>
          <w:trHeight w:val="20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free cash flow</w:t>
            </w:r>
          </w:p>
        </w:tc>
        <w:tc>
          <w:tcPr>
            <w:tcW w:w="2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(101,946)</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84,521</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69,510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111,281</w:t>
            </w:r>
          </w:p>
        </w:tc>
      </w:tr>
      <w:tr>
        <w:trPr>
          <w:trHeight w:val="225"/>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free cash flow conversion percentage</w:t>
            </w:r>
          </w:p>
        </w:tc>
        <w:tc>
          <w:tcPr>
            <w:tcW w:w="2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There have been no material changes to our critical accounting policies and estimates since our most recent Annual Report on Form 10-K for the fiscal year ended October 31, 2021. Refer to Part II, Item 7, "Management’s Discussion and Analysis of Financial Condition and Results of Operations", and Part II, Item 8, Note 1, </w:t>
      </w:r>
      <w:r>
        <w:rPr>
          <w:rFonts w:ascii="Arial" w:cs="Arial" w:eastAsia="Arial" w:hAnsi="Arial"/>
          <w:sz w:val="17"/>
          <w:szCs w:val="17"/>
          <w:i w:val="1"/>
          <w:iCs w:val="1"/>
          <w:color w:val="auto"/>
        </w:rPr>
        <w:t>Summary of Significant Accounting Policies and Related Data</w:t>
      </w:r>
      <w:r>
        <w:rPr>
          <w:rFonts w:ascii="Arial" w:cs="Arial" w:eastAsia="Arial" w:hAnsi="Arial"/>
          <w:sz w:val="17"/>
          <w:szCs w:val="17"/>
          <w:color w:val="auto"/>
        </w:rPr>
        <w:t>, within our Annual Report on Form 10-K for the fiscal year ended October 31, 2021 for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our critical accounting policies and estimates.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ITEM 3. QUANTITATIVE AND QUALITATIVE DISCLOSURES ABOUT MARKET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2021. Refer to Part II, Item 7A, "Quantitative and Qualitative Disclosures about Market Risk", within our Annual Report on Form 10-K for the fiscal year ended October 31, 2021 for a complete discussion of our market risk. Refer below for further discussion on foreign currency exchange rate risk, interest rate risk, and commodity cost risk.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Part I, Item 1 of this Quarterly Report on Form 10-Q.</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foreign currency exchange contracts in the table below have maturity dates in fiscal 2022 through fiscal 2024. All items are non-trading and stated in U.S. dollars. As of January 28, 2022, the average contracted rate, notional amount, fair value, and the gain (loss) at fair value of outstanding derivative instruments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(Dollars in thousands, except average contracted rate)</w:t>
            </w:r>
          </w:p>
        </w:tc>
        <w:tc>
          <w:tcPr>
            <w:tcW w:w="22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auto"/>
                <w:w w:val="91"/>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300"/>
              <w:spacing w:after="0"/>
              <w:rPr>
                <w:sz w:val="20"/>
                <w:szCs w:val="20"/>
                <w:color w:val="auto"/>
              </w:rPr>
            </w:pPr>
            <w:r>
              <w:rPr>
                <w:rFonts w:ascii="Arial" w:cs="Arial" w:eastAsia="Arial" w:hAnsi="Arial"/>
                <w:sz w:val="16"/>
                <w:szCs w:val="16"/>
                <w:b w:val="1"/>
                <w:bCs w:val="1"/>
                <w:color w:val="auto"/>
              </w:rPr>
              <w:t>Fair Value</w:t>
            </w:r>
          </w:p>
        </w:tc>
        <w:tc>
          <w:tcPr>
            <w:tcW w:w="150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rPr>
              <w:t>Gain (Loss) at Fair</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Rate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0.7276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103,960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106,242</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1.2827</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38,232</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37,836</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1.1837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137,444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British pound</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1.3383</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46,399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46,110</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22.2558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38,201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interest rate risk relates primarily to fluctuations in variable interest rates on our revolving credit facility and term loan credit agreement,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January 28, 2022 includes $424.1 million of gross fixed-rate long-term debt that is not subject to variable interest rate fluctuations, $270.0 million of gross variable rate debt under our term loan credit agreement, and $400.0 million outstanding on our variable rate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Cost Risk</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and changes to international trade policies, agreements, and/or regulation and competitor activity, including antidumping and countervailing duties on certain products imported from foreign countries, including certain engines imported into the U.S. from China.</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for commodities, components, parts, and accessories are generally for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any given period, we strategically work to mitigate any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the first three months of fiscal 2022, the average cost of commodities, components, parts, and accessories purchased, including the impact of inflation and tariff costs, was significantly higher compared to the average cost of commodities, components, parts, and accessories purchased in the first three months of fiscal 2021. We anticipate that the average cost of commodities, components, parts, and accessories purchased, including the impact of inflation and tariff costs, for the remainder of fiscal 2022 will continue to be significantly higher than the average costs experienced during the comparable period of fiscal 2021.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do not expect to include Intimidator within our assessment of internal control over financial reporting as of October 31, 2022.</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the exception of internal control related integration activities associated with the company's acquisition of Intimidator, there was no change in our internal control over financial reporting that occurred during the three month period ended January 28, 2022 that has materially affected, or is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LEGAL PROCEEDINGS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Arial" w:cs="Arial" w:eastAsia="Arial" w:hAnsi="Arial"/>
          <w:sz w:val="16"/>
          <w:szCs w:val="16"/>
          <w:i w:val="1"/>
          <w:iCs w:val="1"/>
          <w:color w:val="auto"/>
        </w:rPr>
        <w:t>Contingencies</w:t>
      </w:r>
      <w:r>
        <w:rPr>
          <w:rFonts w:ascii="Arial" w:cs="Arial" w:eastAsia="Arial" w:hAnsi="Arial"/>
          <w:sz w:val="16"/>
          <w:szCs w:val="16"/>
          <w:color w:val="auto"/>
        </w:rPr>
        <w:t>, in our Notes to Condensed Consolidated Financial Statements under the headings titled "Litigation" and "Litigation Settlement" included in Part I, Item 1 of this Quarterly Report on Form 10-Q, which is incorporated into this Part II, Item 1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ITEM 1A. RISK FACTORS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with the exception of the addition of the following risk factor:</w:t>
      </w:r>
    </w:p>
    <w:p>
      <w:pPr>
        <w:spacing w:after="0" w:line="7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recent acquisition of Intimidator involves a number of risks, the occurrence of which could adversely affect our business, financial condition, and results of operations.</w:t>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January 13, 2022, we acquired privately-held Intimidator. The acquisition involves certain risks, the occurrence of which could adversely affect our business, financial condition, and results of operations, including:</w:t>
      </w:r>
    </w:p>
    <w:p>
      <w:pPr>
        <w:spacing w:after="0" w:line="56" w:lineRule="exact"/>
        <w:rPr>
          <w:sz w:val="20"/>
          <w:szCs w:val="20"/>
          <w:color w:val="auto"/>
        </w:rPr>
      </w:pPr>
    </w:p>
    <w:p>
      <w:pPr>
        <w:ind w:left="620" w:hanging="307"/>
        <w:spacing w:after="0" w:line="277"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Intimidator may have undisclosed, contingent, or other liabilities and we may not be able to recover some of the costs and expenses associated with these liabilities from insurance we obtained to cover breaches of representations and warranties or from indemnities in the equity agreement;</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unexpected events occurring after the acquisition could result in costs and expenses that we cannot recover from the sellers or third-party sources;</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implementing our policies and procedures at Intimidator could be more costly than we anticipated and may be disruptive to Intimidator's operations;</w:t>
      </w:r>
    </w:p>
    <w:p>
      <w:pPr>
        <w:spacing w:after="0" w:line="2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of management's attention to integrate Intimidator's business and operations and/or reallocation of amounts of capital from our other strategic initiatives;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 to our existing operations and plans or inability to effectively manage our expanded operations;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difficulties, or delays in securing, integrating, and assimilating information, financial systems, internal controls, operations, manufacturing processes, products, or the distribution channel for Intimidator's businesses and product lines;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loss of key Intimidator employees, suppliers, customers, or dealers or other adverse effects on existing business relationships with suppliers, customers, and dealers;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incorrect estimates made in the accounting for the acquisition or the potential write-off of significant amounts of goodwill, intangible assets, and/or other tangible assets if the Intimidator business does not perform in the future as expected;</w:t>
      </w:r>
    </w:p>
    <w:p>
      <w:pPr>
        <w:spacing w:after="0" w:line="1" w:lineRule="exact"/>
        <w:rPr>
          <w:rFonts w:ascii="Arial" w:cs="Arial" w:eastAsia="Arial" w:hAnsi="Arial"/>
          <w:sz w:val="17"/>
          <w:szCs w:val="17"/>
          <w:color w:val="auto"/>
        </w:rPr>
      </w:pPr>
    </w:p>
    <w:p>
      <w:pPr>
        <w:jc w:val="both"/>
        <w:ind w:left="620" w:hanging="307"/>
        <w:spacing w:after="0" w:line="287" w:lineRule="auto"/>
        <w:tabs>
          <w:tab w:leader="none" w:pos="6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reduction of our borrowing capacity under our existing unsecured senior revolving credit facility and the increase in our leverage and debt service requirements could restrict our ability to access additional capital when needed or to pursue other important elements of our business strategy because we financed a portion of the acquisition and related transaction expenses with borrowings under our existing unsecured senior revolving credit facility; and</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factors mentioned in our most recently filed Annual Report on Form 10-K, Part 1, Item 1A, "Risk Factors".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 sets forth information with respect to shares of the company's common stock purchased by the company during each of the three fiscal months in the company's first quarter ended January 28,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Maximum Number of</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w w:val="85"/>
              </w:rPr>
              <w:t>Average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vMerge w:val="restart"/>
          </w:tcPr>
          <w:p>
            <w:pPr>
              <w:jc w:val="center"/>
              <w:ind w:left="740"/>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6"/>
              </w:rPr>
              <w:t>Purchased As</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Shares (or Units) that</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Price Paid</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Part of Publicly</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5"/>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320" w:type="dxa"/>
            <w:vAlign w:val="bottom"/>
          </w:tcPr>
          <w:p>
            <w:pPr>
              <w:jc w:val="center"/>
              <w:ind w:left="740"/>
              <w:spacing w:after="0" w:line="155" w:lineRule="exact"/>
              <w:rPr>
                <w:sz w:val="20"/>
                <w:szCs w:val="20"/>
                <w:color w:val="auto"/>
              </w:rPr>
            </w:pPr>
            <w:r>
              <w:rPr>
                <w:rFonts w:ascii="Arial" w:cs="Arial" w:eastAsia="Arial" w:hAnsi="Arial"/>
                <w:sz w:val="16"/>
                <w:szCs w:val="16"/>
                <w:b w:val="1"/>
                <w:bCs w:val="1"/>
                <w:color w:val="auto"/>
                <w:w w:val="88"/>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89"/>
              </w:rPr>
              <w:t>per Share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07"/>
        </w:trPr>
        <w:tc>
          <w:tcPr>
            <w:tcW w:w="4020" w:type="dxa"/>
            <w:vAlign w:val="bottom"/>
            <w:tcBorders>
              <w:bottom w:val="single" w:sz="8" w:color="auto"/>
            </w:tcBorders>
            <w:vMerge w:val="continue"/>
          </w:tcPr>
          <w:p>
            <w:pPr>
              <w:spacing w:after="0"/>
              <w:rPr>
                <w:sz w:val="17"/>
                <w:szCs w:val="17"/>
                <w:color w:val="auto"/>
              </w:rPr>
            </w:pPr>
          </w:p>
        </w:tc>
        <w:tc>
          <w:tcPr>
            <w:tcW w:w="2320" w:type="dxa"/>
            <w:vAlign w:val="bottom"/>
            <w:tcBorders>
              <w:bottom w:val="single" w:sz="8" w:color="auto"/>
            </w:tcBorders>
          </w:tcPr>
          <w:p>
            <w:pPr>
              <w:jc w:val="center"/>
              <w:ind w:left="760"/>
              <w:spacing w:after="0" w:line="207" w:lineRule="exact"/>
              <w:rPr>
                <w:sz w:val="20"/>
                <w:szCs w:val="20"/>
                <w:color w:val="auto"/>
              </w:rPr>
            </w:pPr>
            <w:r>
              <w:rPr>
                <w:rFonts w:ascii="Arial" w:cs="Arial" w:eastAsia="Arial" w:hAnsi="Arial"/>
                <w:sz w:val="16"/>
                <w:szCs w:val="16"/>
                <w:b w:val="1"/>
                <w:bCs w:val="1"/>
                <w:color w:val="auto"/>
                <w:w w:val="83"/>
              </w:rPr>
              <w:t>Purchased</w:t>
            </w:r>
            <w:r>
              <w:rPr>
                <w:rFonts w:ascii="Arial" w:cs="Arial" w:eastAsia="Arial" w:hAnsi="Arial"/>
                <w:sz w:val="20"/>
                <w:szCs w:val="20"/>
                <w:b w:val="1"/>
                <w:bCs w:val="1"/>
                <w:color w:val="auto"/>
                <w:w w:val="83"/>
                <w:vertAlign w:val="superscript"/>
              </w:rPr>
              <w:t>1,2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3"/>
              </w:rPr>
              <w:t>(or Unit)</w:t>
            </w:r>
          </w:p>
        </w:tc>
        <w:tc>
          <w:tcPr>
            <w:tcW w:w="18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180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1, 2021 through December 3, 2021</w:t>
            </w:r>
          </w:p>
        </w:tc>
        <w:tc>
          <w:tcPr>
            <w:tcW w:w="2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716,089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101.52</w:t>
            </w: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716,089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3,336,373</w:t>
            </w:r>
          </w:p>
        </w:tc>
        <w:tc>
          <w:tcPr>
            <w:tcW w:w="0" w:type="dxa"/>
            <w:vAlign w:val="bottom"/>
          </w:tcPr>
          <w:p>
            <w:pPr>
              <w:spacing w:after="0"/>
              <w:rPr>
                <w:sz w:val="1"/>
                <w:szCs w:val="1"/>
                <w:color w:val="auto"/>
              </w:rPr>
            </w:pPr>
          </w:p>
        </w:tc>
      </w:tr>
      <w:tr>
        <w:trPr>
          <w:trHeight w:val="205"/>
        </w:trPr>
        <w:tc>
          <w:tcPr>
            <w:tcW w:w="4020" w:type="dxa"/>
            <w:vAlign w:val="bottom"/>
          </w:tcPr>
          <w:p>
            <w:pPr>
              <w:ind w:left="20"/>
              <w:spacing w:after="0"/>
              <w:rPr>
                <w:sz w:val="20"/>
                <w:szCs w:val="20"/>
                <w:color w:val="auto"/>
              </w:rPr>
            </w:pPr>
            <w:r>
              <w:rPr>
                <w:rFonts w:ascii="Arial" w:cs="Arial" w:eastAsia="Arial" w:hAnsi="Arial"/>
                <w:sz w:val="16"/>
                <w:szCs w:val="16"/>
                <w:color w:val="auto"/>
              </w:rPr>
              <w:t>December 4, 2021 through December 31, 2021</w:t>
            </w:r>
          </w:p>
        </w:tc>
        <w:tc>
          <w:tcPr>
            <w:tcW w:w="2320" w:type="dxa"/>
            <w:vAlign w:val="bottom"/>
          </w:tcPr>
          <w:p>
            <w:pPr>
              <w:jc w:val="right"/>
              <w:ind w:right="20"/>
              <w:spacing w:after="0"/>
              <w:rPr>
                <w:sz w:val="20"/>
                <w:szCs w:val="20"/>
                <w:color w:val="auto"/>
              </w:rPr>
            </w:pPr>
            <w:r>
              <w:rPr>
                <w:rFonts w:ascii="Arial" w:cs="Arial" w:eastAsia="Arial" w:hAnsi="Arial"/>
                <w:sz w:val="16"/>
                <w:szCs w:val="16"/>
                <w:color w:val="auto"/>
              </w:rPr>
              <w:t>22,543</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102.24</w:t>
            </w:r>
          </w:p>
        </w:tc>
        <w:tc>
          <w:tcPr>
            <w:tcW w:w="1860" w:type="dxa"/>
            <w:vAlign w:val="bottom"/>
          </w:tcPr>
          <w:p>
            <w:pPr>
              <w:jc w:val="right"/>
              <w:ind w:right="60"/>
              <w:spacing w:after="0"/>
              <w:rPr>
                <w:sz w:val="20"/>
                <w:szCs w:val="20"/>
                <w:color w:val="auto"/>
              </w:rPr>
            </w:pPr>
            <w:r>
              <w:rPr>
                <w:rFonts w:ascii="Arial" w:cs="Arial" w:eastAsia="Arial" w:hAnsi="Arial"/>
                <w:sz w:val="16"/>
                <w:szCs w:val="16"/>
                <w:color w:val="auto"/>
              </w:rPr>
              <w:t>22,543</w:t>
            </w:r>
          </w:p>
        </w:tc>
        <w:tc>
          <w:tcPr>
            <w:tcW w:w="1800" w:type="dxa"/>
            <w:vAlign w:val="bottom"/>
          </w:tcPr>
          <w:p>
            <w:pPr>
              <w:jc w:val="right"/>
              <w:spacing w:after="0"/>
              <w:rPr>
                <w:sz w:val="20"/>
                <w:szCs w:val="20"/>
                <w:color w:val="auto"/>
              </w:rPr>
            </w:pPr>
            <w:r>
              <w:rPr>
                <w:rFonts w:ascii="Arial" w:cs="Arial" w:eastAsia="Arial" w:hAnsi="Arial"/>
                <w:sz w:val="16"/>
                <w:szCs w:val="16"/>
                <w:color w:val="auto"/>
              </w:rPr>
              <w:t>3,313,830</w:t>
            </w:r>
          </w:p>
        </w:tc>
        <w:tc>
          <w:tcPr>
            <w:tcW w:w="0" w:type="dxa"/>
            <w:vAlign w:val="bottom"/>
          </w:tcPr>
          <w:p>
            <w:pPr>
              <w:spacing w:after="0"/>
              <w:rPr>
                <w:sz w:val="1"/>
                <w:szCs w:val="1"/>
                <w:color w:val="auto"/>
              </w:rPr>
            </w:pP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2022 through January 28, 2022</w:t>
            </w:r>
          </w:p>
        </w:tc>
        <w:tc>
          <w:tcPr>
            <w:tcW w:w="2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1,201</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97.14</w:t>
            </w: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3,313,830</w:t>
            </w:r>
          </w:p>
        </w:tc>
        <w:tc>
          <w:tcPr>
            <w:tcW w:w="0" w:type="dxa"/>
            <w:vAlign w:val="bottom"/>
          </w:tcPr>
          <w:p>
            <w:pPr>
              <w:spacing w:after="0"/>
              <w:rPr>
                <w:sz w:val="1"/>
                <w:szCs w:val="1"/>
                <w:color w:val="auto"/>
              </w:rPr>
            </w:pPr>
          </w:p>
        </w:tc>
      </w:tr>
      <w:tr>
        <w:trPr>
          <w:trHeight w:val="20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739,833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101.53</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738,632</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160" w:hanging="157"/>
        <w:spacing w:after="0" w:line="225" w:lineRule="auto"/>
        <w:tabs>
          <w:tab w:leader="none" w:pos="148"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738,632 shares under this authorized stock repurchase program during the period indicated above and 3,313,830 shares remained available to repurchase under this authorized stock repurchase program as of January 28, 2022.</w:t>
      </w:r>
    </w:p>
    <w:p>
      <w:pPr>
        <w:spacing w:after="0" w:line="85" w:lineRule="exact"/>
        <w:rPr>
          <w:sz w:val="20"/>
          <w:szCs w:val="20"/>
          <w:color w:val="auto"/>
        </w:rPr>
      </w:pPr>
    </w:p>
    <w:p>
      <w:pPr>
        <w:jc w:val="both"/>
        <w:ind w:left="160" w:hanging="157"/>
        <w:spacing w:after="0" w:line="222" w:lineRule="auto"/>
        <w:tabs>
          <w:tab w:leader="none" w:pos="199"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Includes 1,201 shares of the company’s common stock purchased in open-market transactions at an average price of $97.14 per share on behalf of a rabbi trust formed to pay benefit obligations of the company to participants in the company's deferred compensation plans. These 1,201 shares were not repurchased under the company’s authorized stock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ITEM 6. EXHIBITS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0" w:type="dxa"/>
            <w:vAlign w:val="bottom"/>
          </w:tcPr>
          <w:p>
            <w:pPr>
              <w:spacing w:after="0"/>
              <w:rPr>
                <w:sz w:val="20"/>
                <w:szCs w:val="20"/>
                <w:color w:val="auto"/>
              </w:rPr>
            </w:pPr>
            <w:r>
              <w:rPr>
                <w:rFonts w:ascii="Arial" w:cs="Arial" w:eastAsia="Arial" w:hAnsi="Arial"/>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 No.</w:t>
            </w:r>
          </w:p>
        </w:tc>
        <w:tc>
          <w:tcPr>
            <w:tcW w:w="3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420" w:type="dxa"/>
            <w:vAlign w:val="bottom"/>
            <w:tcBorders>
              <w:top w:val="single" w:sz="8" w:color="auto"/>
              <w:bottom w:val="single" w:sz="8" w:color="auto"/>
            </w:tcBorders>
            <w:gridSpan w:val="16"/>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2.1</w:t>
            </w:r>
          </w:p>
        </w:tc>
        <w:tc>
          <w:tcPr>
            <w:tcW w:w="9760" w:type="dxa"/>
            <w:vAlign w:val="bottom"/>
            <w:gridSpan w:val="21"/>
          </w:tcPr>
          <w:p>
            <w:pPr>
              <w:spacing w:after="0" w:line="161" w:lineRule="exact"/>
              <w:rPr>
                <w:rFonts w:ascii="Arial" w:cs="Arial" w:eastAsia="Arial" w:hAnsi="Arial"/>
                <w:sz w:val="16"/>
                <w:szCs w:val="16"/>
                <w:color w:val="0000FF"/>
                <w:w w:val="99"/>
              </w:rPr>
            </w:pPr>
            <w:hyperlink r:id="rId56">
              <w:r>
                <w:rPr>
                  <w:rFonts w:ascii="Arial" w:cs="Arial" w:eastAsia="Arial" w:hAnsi="Arial"/>
                  <w:sz w:val="16"/>
                  <w:szCs w:val="16"/>
                  <w:color w:val="0000FF"/>
                  <w:w w:val="99"/>
                </w:rPr>
                <w:t>Agreement and Plan of Merger dated as of February 14, 2019, by and among The Toro Company, The Charles Machine Works, Inc., Helix</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bottom w:val="single" w:sz="8" w:color="0000FF"/>
            </w:tcBorders>
            <w:gridSpan w:val="16"/>
          </w:tcPr>
          <w:p>
            <w:pPr>
              <w:spacing w:after="0" w:line="135" w:lineRule="exact"/>
              <w:rPr>
                <w:rFonts w:ascii="Arial" w:cs="Arial" w:eastAsia="Arial" w:hAnsi="Arial"/>
                <w:sz w:val="15"/>
                <w:szCs w:val="15"/>
                <w:color w:val="0000FF"/>
              </w:rPr>
            </w:pPr>
            <w:hyperlink r:id="rId56">
              <w:r>
                <w:rPr>
                  <w:rFonts w:ascii="Arial" w:cs="Arial" w:eastAsia="Arial" w:hAnsi="Arial"/>
                  <w:sz w:val="15"/>
                  <w:szCs w:val="15"/>
                  <w:color w:val="0000FF"/>
                </w:rPr>
                <w:t>Company, Inc., and Agent 186 LLC as Shareholders’ Agent (incorporated by reference to Exhibit 2.1 to Registrant’s Current Report on Form 8-K</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700" w:type="dxa"/>
            <w:vAlign w:val="bottom"/>
            <w:tcBorders>
              <w:bottom w:val="single" w:sz="8" w:color="0000FF"/>
            </w:tcBorders>
            <w:gridSpan w:val="4"/>
          </w:tcPr>
          <w:p>
            <w:pPr>
              <w:spacing w:after="0" w:line="135" w:lineRule="exact"/>
              <w:rPr>
                <w:rFonts w:ascii="Arial" w:cs="Arial" w:eastAsia="Arial" w:hAnsi="Arial"/>
                <w:sz w:val="15"/>
                <w:szCs w:val="15"/>
                <w:color w:val="0000FF"/>
                <w:w w:val="99"/>
              </w:rPr>
            </w:pPr>
            <w:hyperlink r:id="rId56">
              <w:r>
                <w:rPr>
                  <w:rFonts w:ascii="Arial" w:cs="Arial" w:eastAsia="Arial" w:hAnsi="Arial"/>
                  <w:sz w:val="15"/>
                  <w:szCs w:val="15"/>
                  <w:color w:val="0000FF"/>
                  <w:w w:val="99"/>
                </w:rPr>
                <w:t>dated February 14, 2019, Commission File No. 1-8649).</w:t>
              </w:r>
            </w:hyperlink>
          </w:p>
        </w:tc>
        <w:tc>
          <w:tcPr>
            <w:tcW w:w="6040" w:type="dxa"/>
            <w:vAlign w:val="bottom"/>
            <w:gridSpan w:val="1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 and 4.1</w:t>
            </w:r>
          </w:p>
        </w:tc>
        <w:tc>
          <w:tcPr>
            <w:tcW w:w="9760" w:type="dxa"/>
            <w:vAlign w:val="bottom"/>
            <w:gridSpan w:val="21"/>
          </w:tcPr>
          <w:p>
            <w:pPr>
              <w:spacing w:after="0"/>
              <w:rPr>
                <w:rFonts w:ascii="Arial" w:cs="Arial" w:eastAsia="Arial" w:hAnsi="Arial"/>
                <w:sz w:val="16"/>
                <w:szCs w:val="16"/>
                <w:color w:val="0000FF"/>
                <w:w w:val="95"/>
              </w:rPr>
            </w:pPr>
            <w:hyperlink r:id="rId57">
              <w:r>
                <w:rPr>
                  <w:rFonts w:ascii="Arial" w:cs="Arial" w:eastAsia="Arial" w:hAnsi="Arial"/>
                  <w:sz w:val="16"/>
                  <w:szCs w:val="16"/>
                  <w:color w:val="0000FF"/>
                  <w:w w:val="95"/>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20" w:type="dxa"/>
            <w:vAlign w:val="bottom"/>
            <w:tcBorders>
              <w:top w:val="single" w:sz="8" w:color="0000FF"/>
            </w:tcBorders>
            <w:gridSpan w:val="14"/>
          </w:tcPr>
          <w:p>
            <w:pPr>
              <w:spacing w:after="0" w:line="135" w:lineRule="exact"/>
              <w:rPr>
                <w:rFonts w:ascii="Arial" w:cs="Arial" w:eastAsia="Arial" w:hAnsi="Arial"/>
                <w:sz w:val="15"/>
                <w:szCs w:val="15"/>
                <w:color w:val="0000FF"/>
              </w:rPr>
            </w:pPr>
            <w:hyperlink r:id="rId57">
              <w:r>
                <w:rPr>
                  <w:rFonts w:ascii="Arial" w:cs="Arial" w:eastAsia="Arial" w:hAnsi="Arial"/>
                  <w:sz w:val="15"/>
                  <w:szCs w:val="15"/>
                  <w:color w:val="0000FF"/>
                </w:rPr>
                <w:t>dated June 17, 2008, Commission File No. 1-8649).</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3.2 and 4.2</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5"/>
              </w:rPr>
            </w:pPr>
            <w:hyperlink r:id="rId58">
              <w:r>
                <w:rPr>
                  <w:rFonts w:ascii="Arial" w:cs="Arial" w:eastAsia="Arial" w:hAnsi="Arial"/>
                  <w:sz w:val="16"/>
                  <w:szCs w:val="16"/>
                  <w:color w:val="0000FF"/>
                  <w:w w:val="95"/>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Arial" w:cs="Arial" w:eastAsia="Arial" w:hAnsi="Arial"/>
                <w:sz w:val="15"/>
                <w:szCs w:val="15"/>
                <w:color w:val="0000FF"/>
              </w:rPr>
            </w:pPr>
            <w:hyperlink r:id="rId58">
              <w:r>
                <w:rPr>
                  <w:rFonts w:ascii="Arial" w:cs="Arial" w:eastAsia="Arial" w:hAnsi="Arial"/>
                  <w:sz w:val="15"/>
                  <w:szCs w:val="15"/>
                  <w:color w:val="0000FF"/>
                </w:rPr>
                <w:t>Current Report on Form 8-K dated March 12,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3.3 and 4.3</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9"/>
              </w:rPr>
            </w:pPr>
            <w:hyperlink r:id="rId59">
              <w:r>
                <w:rPr>
                  <w:rFonts w:ascii="Arial" w:cs="Arial" w:eastAsia="Arial" w:hAnsi="Arial"/>
                  <w:sz w:val="16"/>
                  <w:szCs w:val="16"/>
                  <w:color w:val="0000FF"/>
                  <w:w w:val="99"/>
                </w:rPr>
                <w:t>Amended and Restated Bylaws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w w:val="99"/>
              </w:rPr>
            </w:pPr>
            <w:hyperlink r:id="rId59">
              <w:r>
                <w:rPr>
                  <w:rFonts w:ascii="Arial" w:cs="Arial" w:eastAsia="Arial" w:hAnsi="Arial"/>
                  <w:sz w:val="15"/>
                  <w:szCs w:val="15"/>
                  <w:color w:val="0000FF"/>
                  <w:w w:val="99"/>
                </w:rPr>
                <w:t>dated July 19, 2016, Commission File No. 1-8649).</w:t>
              </w:r>
            </w:hyperlink>
          </w:p>
        </w:tc>
        <w:tc>
          <w:tcPr>
            <w:tcW w:w="614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4.4</w:t>
            </w:r>
          </w:p>
        </w:tc>
        <w:tc>
          <w:tcPr>
            <w:tcW w:w="9760" w:type="dxa"/>
            <w:vAlign w:val="bottom"/>
            <w:gridSpan w:val="21"/>
          </w:tcPr>
          <w:p>
            <w:pPr>
              <w:spacing w:after="0"/>
              <w:rPr>
                <w:sz w:val="20"/>
                <w:szCs w:val="20"/>
                <w:color w:val="auto"/>
              </w:rPr>
            </w:pPr>
            <w:r>
              <w:rPr>
                <w:rFonts w:ascii="Arial" w:cs="Arial" w:eastAsia="Arial" w:hAnsi="Arial"/>
                <w:sz w:val="16"/>
                <w:szCs w:val="16"/>
                <w:color w:val="auto"/>
                <w:w w:val="99"/>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Company’s 7.80% Debentures due June 15, 2027 (incorporated by reference to Exhibit 4(a) to Registrant’s Current Report on Form 8-K dated</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auto"/>
              </w:rPr>
              <w:t>June 24, 1997, Commission File No. 1-8649). (Filed on paper - hyperlink is not required pursuant to Rule 105 of Regulation S-T).</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4.5</w:t>
            </w:r>
          </w:p>
        </w:tc>
        <w:tc>
          <w:tcPr>
            <w:tcW w:w="9760" w:type="dxa"/>
            <w:vAlign w:val="bottom"/>
            <w:gridSpan w:val="21"/>
          </w:tcPr>
          <w:p>
            <w:pPr>
              <w:spacing w:after="0"/>
              <w:rPr>
                <w:rFonts w:ascii="Arial" w:cs="Arial" w:eastAsia="Arial" w:hAnsi="Arial"/>
                <w:sz w:val="16"/>
                <w:szCs w:val="16"/>
                <w:color w:val="0000FF"/>
                <w:w w:val="96"/>
              </w:rPr>
            </w:pPr>
            <w:hyperlink r:id="rId60">
              <w:r>
                <w:rPr>
                  <w:rFonts w:ascii="Arial" w:cs="Arial" w:eastAsia="Arial" w:hAnsi="Arial"/>
                  <w:sz w:val="16"/>
                  <w:szCs w:val="16"/>
                  <w:color w:val="0000FF"/>
                  <w:w w:val="96"/>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11"/>
          </w:tcPr>
          <w:p>
            <w:pPr>
              <w:spacing w:after="0" w:line="135" w:lineRule="exact"/>
              <w:rPr>
                <w:rFonts w:ascii="Arial" w:cs="Arial" w:eastAsia="Arial" w:hAnsi="Arial"/>
                <w:sz w:val="15"/>
                <w:szCs w:val="15"/>
                <w:color w:val="0000FF"/>
              </w:rPr>
            </w:pPr>
            <w:hyperlink r:id="rId60">
              <w:r>
                <w:rPr>
                  <w:rFonts w:ascii="Arial" w:cs="Arial" w:eastAsia="Arial" w:hAnsi="Arial"/>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0" w:type="dxa"/>
            <w:vAlign w:val="bottom"/>
            <w:gridSpan w:val="13"/>
          </w:tcPr>
          <w:p>
            <w:pPr>
              <w:spacing w:after="0" w:line="135" w:lineRule="exact"/>
              <w:rPr>
                <w:rFonts w:ascii="Arial" w:cs="Arial" w:eastAsia="Arial" w:hAnsi="Arial"/>
                <w:sz w:val="15"/>
                <w:szCs w:val="15"/>
                <w:color w:val="0000FF"/>
              </w:rPr>
            </w:pPr>
            <w:hyperlink r:id="rId60">
              <w:r>
                <w:rPr>
                  <w:rFonts w:ascii="Arial" w:cs="Arial" w:eastAsia="Arial" w:hAnsi="Arial"/>
                  <w:sz w:val="15"/>
                  <w:szCs w:val="15"/>
                  <w:color w:val="0000FF"/>
                </w:rPr>
                <w:t>filed with the Securities and Exchange Commission on April 23, 2007, Registration No. 333-142282).</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4.6</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9"/>
              </w:rPr>
            </w:pPr>
            <w:hyperlink r:id="rId61">
              <w:r>
                <w:rPr>
                  <w:rFonts w:ascii="Arial" w:cs="Arial" w:eastAsia="Arial" w:hAnsi="Arial"/>
                  <w:sz w:val="16"/>
                  <w:szCs w:val="16"/>
                  <w:color w:val="0000FF"/>
                  <w:w w:val="99"/>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18"/>
          </w:tcPr>
          <w:p>
            <w:pPr>
              <w:spacing w:after="0" w:line="135" w:lineRule="exact"/>
              <w:rPr>
                <w:rFonts w:ascii="Arial" w:cs="Arial" w:eastAsia="Arial" w:hAnsi="Arial"/>
                <w:sz w:val="15"/>
                <w:szCs w:val="15"/>
                <w:color w:val="0000FF"/>
              </w:rPr>
            </w:pPr>
            <w:hyperlink r:id="rId61">
              <w:r>
                <w:rPr>
                  <w:rFonts w:ascii="Arial" w:cs="Arial" w:eastAsia="Arial" w:hAnsi="Arial"/>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80" w:type="dxa"/>
            <w:vAlign w:val="bottom"/>
            <w:tcBorders>
              <w:top w:val="single" w:sz="8" w:color="0000FF"/>
            </w:tcBorders>
            <w:gridSpan w:val="12"/>
          </w:tcPr>
          <w:p>
            <w:pPr>
              <w:spacing w:after="0" w:line="135" w:lineRule="exact"/>
              <w:rPr>
                <w:rFonts w:ascii="Arial" w:cs="Arial" w:eastAsia="Arial" w:hAnsi="Arial"/>
                <w:sz w:val="15"/>
                <w:szCs w:val="15"/>
                <w:color w:val="0000FF"/>
              </w:rPr>
            </w:pPr>
            <w:hyperlink r:id="rId61">
              <w:r>
                <w:rPr>
                  <w:rFonts w:ascii="Arial" w:cs="Arial" w:eastAsia="Arial" w:hAnsi="Arial"/>
                  <w:sz w:val="15"/>
                  <w:szCs w:val="15"/>
                  <w:color w:val="0000FF"/>
                </w:rPr>
                <w:t>on Form 8-K dated April 23, 2007, Commission File No. 1-8649).</w:t>
              </w:r>
            </w:hyperlink>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4.7</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5"/>
              </w:rPr>
            </w:pPr>
            <w:hyperlink r:id="rId62">
              <w:r>
                <w:rPr>
                  <w:rFonts w:ascii="Arial" w:cs="Arial" w:eastAsia="Arial" w:hAnsi="Arial"/>
                  <w:sz w:val="16"/>
                  <w:szCs w:val="16"/>
                  <w:color w:val="0000FF"/>
                  <w:w w:val="95"/>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20" w:type="dxa"/>
            <w:vAlign w:val="bottom"/>
            <w:tcBorders>
              <w:top w:val="single" w:sz="8" w:color="0000FF"/>
            </w:tcBorders>
            <w:gridSpan w:val="19"/>
          </w:tcPr>
          <w:p>
            <w:pPr>
              <w:spacing w:after="0" w:line="135" w:lineRule="exact"/>
              <w:rPr>
                <w:rFonts w:ascii="Arial" w:cs="Arial" w:eastAsia="Arial" w:hAnsi="Arial"/>
                <w:sz w:val="15"/>
                <w:szCs w:val="15"/>
                <w:color w:val="0000FF"/>
              </w:rPr>
            </w:pPr>
            <w:hyperlink r:id="rId62">
              <w:r>
                <w:rPr>
                  <w:rFonts w:ascii="Arial" w:cs="Arial" w:eastAsia="Arial" w:hAnsi="Arial"/>
                  <w:sz w:val="15"/>
                  <w:szCs w:val="15"/>
                  <w:color w:val="0000FF"/>
                </w:rPr>
                <w:t>dated April 23, 2007, Commission File No. 1-8649).</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31.1</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Certification of Chief Executive Officer Pursuant to Rule 13a-14(a) (Section 302 of the Sarbanes-Oxley Act of 2002) (filed herewith).</w:t>
              </w:r>
            </w:hyperlink>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31.2</w:t>
            </w:r>
          </w:p>
        </w:tc>
        <w:tc>
          <w:tcPr>
            <w:tcW w:w="874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4"/>
              </w:rPr>
            </w:pPr>
            <w:hyperlink w:anchor="page45">
              <w:r>
                <w:rPr>
                  <w:rFonts w:ascii="Arial" w:cs="Arial" w:eastAsia="Arial" w:hAnsi="Arial"/>
                  <w:sz w:val="16"/>
                  <w:szCs w:val="16"/>
                  <w:color w:val="0000FF"/>
                  <w:w w:val="94"/>
                </w:rPr>
                <w:t>Certification of Chief Financial Officer Pursuant to Rule 13a-14(a) (Section 302 of the Sarbanes-Oxley Act of 2002) (filed herewith).</w:t>
              </w:r>
            </w:hyperlink>
          </w:p>
        </w:tc>
        <w:tc>
          <w:tcPr>
            <w:tcW w:w="40" w:type="dxa"/>
            <w:vAlign w:val="bottom"/>
            <w:tcBorders>
              <w:top w:val="single" w:sz="8" w:color="0000FF"/>
            </w:tcBorders>
          </w:tcPr>
          <w:p>
            <w:pPr>
              <w:spacing w:after="0"/>
              <w:rPr>
                <w:sz w:val="20"/>
                <w:szCs w:val="20"/>
                <w:color w:val="auto"/>
              </w:rPr>
            </w:pPr>
          </w:p>
        </w:tc>
        <w:tc>
          <w:tcPr>
            <w:tcW w:w="98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32</w:t>
            </w:r>
          </w:p>
        </w:tc>
        <w:tc>
          <w:tcPr>
            <w:tcW w:w="9760" w:type="dxa"/>
            <w:vAlign w:val="bottom"/>
            <w:gridSpan w:val="21"/>
          </w:tcPr>
          <w:p>
            <w:pPr>
              <w:spacing w:after="0"/>
              <w:rPr>
                <w:rFonts w:ascii="Arial" w:cs="Arial" w:eastAsia="Arial" w:hAnsi="Arial"/>
                <w:sz w:val="16"/>
                <w:szCs w:val="16"/>
                <w:color w:val="0000FF"/>
                <w:w w:val="97"/>
              </w:rPr>
            </w:pPr>
            <w:hyperlink w:anchor="page46">
              <w:r>
                <w:rPr>
                  <w:rFonts w:ascii="Arial" w:cs="Arial" w:eastAsia="Arial" w:hAnsi="Arial"/>
                  <w:sz w:val="16"/>
                  <w:szCs w:val="16"/>
                  <w:color w:val="0000FF"/>
                  <w:w w:val="97"/>
                </w:rPr>
                <w:t>Certification of Chief Executive Officer and Chief Financial Officer Pursuant to 18 U.S.C. Section 1350, as Adopted Pursuant to Section 906 of</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w w:val="99"/>
              </w:rPr>
            </w:pPr>
            <w:hyperlink w:anchor="page46">
              <w:r>
                <w:rPr>
                  <w:rFonts w:ascii="Arial" w:cs="Arial" w:eastAsia="Arial" w:hAnsi="Arial"/>
                  <w:sz w:val="15"/>
                  <w:szCs w:val="15"/>
                  <w:color w:val="0000FF"/>
                  <w:w w:val="99"/>
                </w:rPr>
                <w:t>the Sarbanes-Oxley Act of 2002 (furnished herewith).</w:t>
              </w:r>
            </w:hyperlink>
          </w:p>
        </w:tc>
        <w:tc>
          <w:tcPr>
            <w:tcW w:w="6100" w:type="dxa"/>
            <w:vAlign w:val="bottom"/>
            <w:tcBorders>
              <w:top w:val="single" w:sz="8" w:color="0000FF"/>
            </w:tcBorders>
            <w:gridSpan w:val="12"/>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101</w:t>
            </w:r>
          </w:p>
        </w:tc>
        <w:tc>
          <w:tcPr>
            <w:tcW w:w="9760" w:type="dxa"/>
            <w:vAlign w:val="bottom"/>
            <w:gridSpan w:val="21"/>
          </w:tcPr>
          <w:p>
            <w:pPr>
              <w:spacing w:after="0"/>
              <w:rPr>
                <w:sz w:val="20"/>
                <w:szCs w:val="20"/>
                <w:color w:val="auto"/>
              </w:rPr>
            </w:pPr>
            <w:r>
              <w:rPr>
                <w:rFonts w:ascii="Arial" w:cs="Arial" w:eastAsia="Arial" w:hAnsi="Arial"/>
                <w:sz w:val="16"/>
                <w:szCs w:val="16"/>
                <w:color w:val="auto"/>
                <w:w w:val="96"/>
              </w:rPr>
              <w:t>The following financial information from The Toro Company’s Quarterly Report on Form 10-Q for the quarterly period ended January 28, 2022,</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filed with the SEC on March 3, 2022, formatted in Inline eXtensible Business Reporting Language (Inline XBRL): (i) Condensed Consolidated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6"/>
              </w:rPr>
              <w:t>Statements of Earnings for the three month periods ended January 28, 2022 and January 29, 2021, (ii) Condensed Consolidated Statements of</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4"/>
              </w:rPr>
              <w:t>Comprehensive Income for the three month periods ended January 28, 2022 and January 29, 2021, (iii) Condensed Consolidated Balance Sheets</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as of January 28, 2022, January 29, 2021, and October 31, 2021, (iv) Condensed Consolidated Statement of Cash Flows for the three month</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8"/>
              </w:rPr>
              <w:t>periods ended January 28, 2022 and January 29, 2021, (v) Condensed Consolidated Statements of Stockholders' Equity for the three month</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auto"/>
              </w:rPr>
              <w:t>periods ended January 28, 2022 and January 29, 2021, and (vi) Notes to Condensed Consolidated Financial Statements (filed herewith).</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104</w:t>
            </w:r>
          </w:p>
        </w:tc>
        <w:tc>
          <w:tcPr>
            <w:tcW w:w="9760" w:type="dxa"/>
            <w:vAlign w:val="bottom"/>
            <w:gridSpan w:val="2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140" w:type="dxa"/>
            <w:vAlign w:val="bottom"/>
            <w:gridSpan w:val="2"/>
          </w:tcPr>
          <w:p>
            <w:pPr>
              <w:jc w:val="center"/>
              <w:ind w:right="2994"/>
              <w:spacing w:after="0"/>
              <w:rPr>
                <w:sz w:val="20"/>
                <w:szCs w:val="20"/>
                <w:color w:val="auto"/>
              </w:rPr>
            </w:pPr>
            <w:r>
              <w:rPr>
                <w:rFonts w:ascii="Arial" w:cs="Arial" w:eastAsia="Arial" w:hAnsi="Arial"/>
                <w:sz w:val="17"/>
                <w:szCs w:val="17"/>
                <w:color w:val="auto"/>
                <w:w w:val="97"/>
              </w:rPr>
              <w:t>THE TORO COMPANY</w:t>
            </w:r>
          </w:p>
        </w:tc>
      </w:tr>
      <w:tr>
        <w:trPr>
          <w:trHeight w:val="219"/>
        </w:trPr>
        <w:tc>
          <w:tcPr>
            <w:tcW w:w="3080" w:type="dxa"/>
            <w:vAlign w:val="bottom"/>
          </w:tcPr>
          <w:p>
            <w:pPr>
              <w:spacing w:after="0"/>
              <w:rPr>
                <w:sz w:val="19"/>
                <w:szCs w:val="19"/>
                <w:color w:val="auto"/>
              </w:rPr>
            </w:pPr>
          </w:p>
        </w:tc>
        <w:tc>
          <w:tcPr>
            <w:tcW w:w="8140" w:type="dxa"/>
            <w:vAlign w:val="bottom"/>
            <w:gridSpan w:val="2"/>
          </w:tcPr>
          <w:p>
            <w:pPr>
              <w:jc w:val="center"/>
              <w:ind w:right="2994"/>
              <w:spacing w:after="0"/>
              <w:rPr>
                <w:sz w:val="20"/>
                <w:szCs w:val="20"/>
                <w:color w:val="auto"/>
              </w:rPr>
            </w:pPr>
            <w:r>
              <w:rPr>
                <w:rFonts w:ascii="Arial" w:cs="Arial" w:eastAsia="Arial" w:hAnsi="Arial"/>
                <w:sz w:val="17"/>
                <w:szCs w:val="17"/>
                <w:color w:val="auto"/>
                <w:w w:val="92"/>
              </w:rPr>
              <w:t>(Registrant)</w:t>
            </w:r>
          </w:p>
        </w:tc>
      </w:tr>
      <w:tr>
        <w:trPr>
          <w:trHeight w:val="400"/>
        </w:trPr>
        <w:tc>
          <w:tcPr>
            <w:tcW w:w="3080" w:type="dxa"/>
            <w:vAlign w:val="bottom"/>
          </w:tcPr>
          <w:p>
            <w:pPr>
              <w:spacing w:after="0"/>
              <w:rPr>
                <w:sz w:val="20"/>
                <w:szCs w:val="20"/>
                <w:color w:val="auto"/>
              </w:rPr>
            </w:pPr>
            <w:r>
              <w:rPr>
                <w:rFonts w:ascii="Arial" w:cs="Arial" w:eastAsia="Arial" w:hAnsi="Arial"/>
                <w:sz w:val="17"/>
                <w:szCs w:val="17"/>
                <w:color w:val="auto"/>
              </w:rPr>
              <w:t>Date: March 3, 2022</w:t>
            </w:r>
          </w:p>
        </w:tc>
        <w:tc>
          <w:tcPr>
            <w:tcW w:w="8140" w:type="dxa"/>
            <w:vAlign w:val="bottom"/>
            <w:gridSpan w:val="2"/>
          </w:tcPr>
          <w:p>
            <w:pPr>
              <w:ind w:left="2480"/>
              <w:spacing w:after="0"/>
              <w:rPr>
                <w:sz w:val="20"/>
                <w:szCs w:val="20"/>
                <w:color w:val="auto"/>
              </w:rPr>
            </w:pPr>
            <w:r>
              <w:rPr>
                <w:rFonts w:ascii="Arial" w:cs="Arial" w:eastAsia="Arial" w:hAnsi="Arial"/>
                <w:sz w:val="17"/>
                <w:szCs w:val="17"/>
                <w:color w:val="auto"/>
              </w:rPr>
              <w:t>By:   /s/ Renee J. Peterson</w:t>
            </w:r>
          </w:p>
        </w:tc>
      </w:tr>
      <w:tr>
        <w:trPr>
          <w:trHeight w:val="213"/>
        </w:trPr>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Renee J. Peterson</w:t>
            </w:r>
          </w:p>
        </w:tc>
      </w:tr>
      <w:tr>
        <w:trPr>
          <w:trHeight w:val="220"/>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Vice President, Chief Financial Officer</w:t>
            </w:r>
          </w:p>
        </w:tc>
      </w:tr>
      <w:tr>
        <w:trPr>
          <w:trHeight w:val="168"/>
        </w:trPr>
        <w:tc>
          <w:tcPr>
            <w:tcW w:w="3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160" w:type="dxa"/>
            <w:vAlign w:val="bottom"/>
          </w:tcPr>
          <w:p>
            <w:pPr>
              <w:ind w:left="20"/>
              <w:spacing w:after="0" w:line="168" w:lineRule="exact"/>
              <w:rPr>
                <w:sz w:val="20"/>
                <w:szCs w:val="20"/>
                <w:color w:val="auto"/>
              </w:rPr>
            </w:pPr>
            <w:r>
              <w:rPr>
                <w:rFonts w:ascii="Arial" w:cs="Arial" w:eastAsia="Arial" w:hAnsi="Arial"/>
                <w:sz w:val="17"/>
                <w:szCs w:val="17"/>
                <w:color w:val="auto"/>
              </w:rPr>
              <w:t>(duly authorized officer, principal financial officer, and principal</w:t>
            </w:r>
          </w:p>
        </w:tc>
      </w:tr>
      <w:tr>
        <w:trPr>
          <w:trHeight w:val="219"/>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17"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March 3, 2022</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43"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Date: March 3, 2022</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28, 2022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77"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3, 2022</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3, 2022</w:t>
      </w:r>
    </w:p>
    <w:p>
      <w:pPr>
        <w:spacing w:after="0" w:line="200" w:lineRule="exact"/>
        <w:rPr>
          <w:sz w:val="20"/>
          <w:szCs w:val="20"/>
          <w:color w:val="auto"/>
        </w:rPr>
      </w:pP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4"/>
      <w:numFmt w:val="bullet"/>
      <w:start w:val="1"/>
    </w:lvl>
  </w:abstractNum>
  <w:abstractNum w:abstractNumId="8">
    <w:nsid w:val="41A7C4C9"/>
    <w:multiLevelType w:val="hybridMultilevel"/>
    <w:lvl w:ilvl="0">
      <w:lvlJc w:val="left"/>
      <w:lvlText w:val="5"/>
      <w:numFmt w:val="bullet"/>
      <w:start w:val="1"/>
    </w:lvl>
  </w:abstractNum>
  <w:abstractNum w:abstractNumId="9">
    <w:nsid w:val="6B68079A"/>
    <w:multiLevelType w:val="hybridMultilevel"/>
    <w:lvl w:ilvl="0">
      <w:lvlJc w:val="left"/>
      <w:lvlText w:val="7"/>
      <w:numFmt w:val="bullet"/>
      <w:start w:val="1"/>
    </w:lvl>
  </w:abstractNum>
  <w:abstractNum w:abstractNumId="10">
    <w:nsid w:val="4E6AFB66"/>
    <w:multiLevelType w:val="hybridMultilevel"/>
    <w:lvl w:ilvl="0">
      <w:lvlJc w:val="left"/>
      <w:lvlText w:val="8"/>
      <w:numFmt w:val="bullet"/>
      <w:start w:val="1"/>
    </w:lvl>
  </w:abstractNum>
  <w:abstractNum w:abstractNumId="11">
    <w:nsid w:val="25E45D32"/>
    <w:multiLevelType w:val="hybridMultilevel"/>
    <w:lvl w:ilvl="0">
      <w:lvlJc w:val="left"/>
      <w:lvlText w:val="9"/>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bullet"/>
      <w:start w:val="1"/>
    </w:lvl>
  </w:abstractNum>
  <w:abstractNum w:abstractNumId="18">
    <w:nsid w:val="436C6125"/>
    <w:multiLevelType w:val="hybridMultilevel"/>
    <w:lvl w:ilvl="0">
      <w:lvlJc w:val="left"/>
      <w:lvlText w:val="2"/>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56" Type="http://schemas.openxmlformats.org/officeDocument/2006/relationships/hyperlink" Target="http://www.sec.gov/Archives/edgar/data/737758/000156459019003064/ttc-ex21_6.htm" TargetMode="External"/><Relationship Id="rId57" Type="http://schemas.openxmlformats.org/officeDocument/2006/relationships/hyperlink" Target="http://www.sec.gov/Archives/edgar/data/737758/000073775808000033/form8-k06172008exhibitcert.htm" TargetMode="External"/><Relationship Id="rId58" Type="http://schemas.openxmlformats.org/officeDocument/2006/relationships/hyperlink" Target="http://www.sec.gov/Archives/edgar/data/737758/000119312513105223/d501846dex31.htm" TargetMode="External"/><Relationship Id="rId59" Type="http://schemas.openxmlformats.org/officeDocument/2006/relationships/hyperlink" Target="http://www.sec.gov/Archives/edgar/data/737758/000110465916133324/a16-15127_1ex3d1.htm" TargetMode="External"/><Relationship Id="rId60" Type="http://schemas.openxmlformats.org/officeDocument/2006/relationships/hyperlink" Target="http://www.sec.gov/Archives/edgar/data/737758/000110465907030051/a07-10570_1ex4d3.htm" TargetMode="External"/><Relationship Id="rId61" Type="http://schemas.openxmlformats.org/officeDocument/2006/relationships/hyperlink" Target="http://www.sec.gov/Archives/edgar/data/737758/000110465907031757/a07-10570_5ex4d1.htm" TargetMode="External"/><Relationship Id="rId62"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2022-03-03T11:17:35Z</dcterms:created>
  <dcterms:modified xsi:type="dcterms:W3CDTF">2022-03-03T11:17:35Z</dcterms:modified>
</cp:coreProperties>
</file>