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06/26/2015</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ind w:left="280"/>
              <w:spacing w:after="0"/>
              <w:rPr>
                <w:sz w:val="20"/>
                <w:szCs w:val="20"/>
                <w:color w:val="auto"/>
              </w:rPr>
            </w:pPr>
            <w:r>
              <w:rPr>
                <w:rFonts w:ascii="Arial" w:cs="Arial" w:eastAsia="Arial" w:hAnsi="Arial"/>
                <w:sz w:val="18"/>
                <w:szCs w:val="18"/>
                <w:color w:val="0000FF"/>
              </w:rPr>
              <w:t>605</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58,007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4,642.305</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27,633.048</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16.647 net shares of common stock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100.586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06/30/2015</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2019-12-23T20:48:29Z</dcterms:created>
  <dcterms:modified xsi:type="dcterms:W3CDTF">2019-12-23T20:48:29Z</dcterms:modified>
</cp:coreProperties>
</file>