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21, 2008</w:t>
      </w:r>
    </w:p>
    <w:p>
      <w:pPr>
        <w:spacing w:after="0" w:line="39"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54"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54" w:orient="portrait"/>
          <w:cols w:equalWidth="0" w:num="2">
            <w:col w:w="6380" w:space="720"/>
            <w:col w:w="4320"/>
          </w:cols>
          <w:pgMar w:left="240" w:top="229" w:right="239" w:bottom="0" w:gutter="0" w:footer="0" w:header="0"/>
          <w:type w:val="continuous"/>
        </w:sect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 (Zip Code)</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 2000 Stock Option Plan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requested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South Seventh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55402-1509</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607-7287</w:t>
      </w:r>
    </w:p>
    <w:p>
      <w:pPr>
        <w:spacing w:after="0" w:line="9" w:lineRule="exact"/>
        <w:rPr>
          <w:rFonts w:ascii="Arial" w:cs="Arial" w:eastAsia="Arial" w:hAnsi="Arial"/>
          <w:sz w:val="18"/>
          <w:szCs w:val="18"/>
          <w:b w:val="1"/>
          <w:bCs w:val="1"/>
          <w:color w:val="auto"/>
        </w:rPr>
      </w:pPr>
    </w:p>
    <w:p>
      <w:pPr>
        <w:ind w:left="4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w:t>
      </w:r>
    </w:p>
    <w:p>
      <w:pPr>
        <w:spacing w:after="0" w:line="238"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ind w:left="340"/>
              <w:spacing w:after="0"/>
              <w:rPr>
                <w:sz w:val="20"/>
                <w:szCs w:val="20"/>
                <w:color w:val="auto"/>
              </w:rPr>
            </w:pPr>
            <w:r>
              <w:rPr>
                <w:rFonts w:ascii="Arial" w:cs="Arial" w:eastAsia="Arial" w:hAnsi="Arial"/>
                <w:sz w:val="18"/>
                <w:szCs w:val="18"/>
                <w:color w:val="auto"/>
              </w:rPr>
              <w:t>Large accelerated filer   x</w:t>
            </w:r>
          </w:p>
        </w:tc>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20" w:type="dxa"/>
            <w:vAlign w:val="bottom"/>
            <w:gridSpan w:val="2"/>
          </w:tcPr>
          <w:p>
            <w:pPr>
              <w:ind w:left="1140"/>
              <w:spacing w:after="0"/>
              <w:rPr>
                <w:sz w:val="20"/>
                <w:szCs w:val="20"/>
                <w:color w:val="auto"/>
              </w:rPr>
            </w:pPr>
            <w:r>
              <w:rPr>
                <w:rFonts w:ascii="Arial" w:cs="Arial" w:eastAsia="Arial" w:hAnsi="Arial"/>
                <w:sz w:val="18"/>
                <w:szCs w:val="18"/>
                <w:color w:val="auto"/>
              </w:rPr>
              <w:t>Accelerated filer   o</w:t>
            </w:r>
          </w:p>
        </w:tc>
        <w:tc>
          <w:tcPr>
            <w:tcW w:w="1660" w:type="dxa"/>
            <w:vAlign w:val="bottom"/>
          </w:tcPr>
          <w:p>
            <w:pPr>
              <w:spacing w:after="0"/>
              <w:rPr>
                <w:sz w:val="20"/>
                <w:szCs w:val="20"/>
                <w:color w:val="auto"/>
              </w:rPr>
            </w:pPr>
          </w:p>
        </w:tc>
      </w:tr>
      <w:tr>
        <w:trPr>
          <w:trHeight w:val="459"/>
        </w:trPr>
        <w:tc>
          <w:tcPr>
            <w:tcW w:w="5320" w:type="dxa"/>
            <w:vAlign w:val="bottom"/>
            <w:gridSpan w:val="2"/>
          </w:tcPr>
          <w:p>
            <w:pPr>
              <w:ind w:left="340"/>
              <w:spacing w:after="0"/>
              <w:rPr>
                <w:sz w:val="20"/>
                <w:szCs w:val="20"/>
                <w:color w:val="auto"/>
              </w:rPr>
            </w:pPr>
            <w:r>
              <w:rPr>
                <w:rFonts w:ascii="Arial" w:cs="Arial" w:eastAsia="Arial" w:hAnsi="Arial"/>
                <w:sz w:val="18"/>
                <w:szCs w:val="18"/>
                <w:color w:val="auto"/>
                <w:w w:val="92"/>
              </w:rPr>
              <w:t>Non-accelerated filer (Do not check if a smaller reporting company)</w:t>
            </w:r>
          </w:p>
        </w:tc>
        <w:tc>
          <w:tcPr>
            <w:tcW w:w="420" w:type="dxa"/>
            <w:vAlign w:val="bottom"/>
          </w:tcPr>
          <w:p>
            <w:pPr>
              <w:ind w:left="140"/>
              <w:spacing w:after="0"/>
              <w:rPr>
                <w:sz w:val="20"/>
                <w:szCs w:val="20"/>
                <w:color w:val="auto"/>
              </w:rPr>
            </w:pPr>
            <w:r>
              <w:rPr>
                <w:rFonts w:ascii="Arial" w:cs="Arial" w:eastAsia="Arial" w:hAnsi="Arial"/>
                <w:sz w:val="18"/>
                <w:szCs w:val="18"/>
                <w:color w:val="auto"/>
              </w:rPr>
              <w:t>o</w:t>
            </w:r>
          </w:p>
        </w:tc>
        <w:tc>
          <w:tcPr>
            <w:tcW w:w="4020" w:type="dxa"/>
            <w:vAlign w:val="bottom"/>
            <w:gridSpan w:val="2"/>
          </w:tcPr>
          <w:p>
            <w:pPr>
              <w:ind w:left="900"/>
              <w:spacing w:after="0"/>
              <w:rPr>
                <w:sz w:val="20"/>
                <w:szCs w:val="20"/>
                <w:color w:val="auto"/>
              </w:rPr>
            </w:pPr>
            <w:r>
              <w:rPr>
                <w:rFonts w:ascii="Arial" w:cs="Arial" w:eastAsia="Arial" w:hAnsi="Arial"/>
                <w:sz w:val="18"/>
                <w:szCs w:val="18"/>
                <w:color w:val="auto"/>
              </w:rPr>
              <w:t>Smaller reporting company   o</w:t>
            </w:r>
          </w:p>
        </w:tc>
        <w:tc>
          <w:tcPr>
            <w:tcW w:w="1660" w:type="dxa"/>
            <w:vAlign w:val="bottom"/>
          </w:tcPr>
          <w:p>
            <w:pPr>
              <w:spacing w:after="0"/>
              <w:rPr>
                <w:sz w:val="24"/>
                <w:szCs w:val="24"/>
                <w:color w:val="auto"/>
              </w:rPr>
            </w:pPr>
          </w:p>
        </w:tc>
      </w:tr>
      <w:tr>
        <w:trPr>
          <w:trHeight w:val="702"/>
        </w:trPr>
        <w:tc>
          <w:tcPr>
            <w:tcW w:w="3380" w:type="dxa"/>
            <w:vAlign w:val="bottom"/>
          </w:tcPr>
          <w:p>
            <w:pPr>
              <w:spacing w:after="0"/>
              <w:rPr>
                <w:sz w:val="24"/>
                <w:szCs w:val="24"/>
                <w:color w:val="auto"/>
              </w:rPr>
            </w:pPr>
          </w:p>
        </w:tc>
        <w:tc>
          <w:tcPr>
            <w:tcW w:w="4120" w:type="dxa"/>
            <w:vAlign w:val="bottom"/>
            <w:gridSpan w:val="3"/>
          </w:tcPr>
          <w:p>
            <w:pPr>
              <w:ind w:left="600"/>
              <w:spacing w:after="0"/>
              <w:rPr>
                <w:sz w:val="20"/>
                <w:szCs w:val="20"/>
                <w:color w:val="auto"/>
              </w:rPr>
            </w:pPr>
            <w:r>
              <w:rPr>
                <w:rFonts w:ascii="Arial" w:cs="Arial" w:eastAsia="Arial" w:hAnsi="Arial"/>
                <w:sz w:val="18"/>
                <w:szCs w:val="18"/>
                <w:b w:val="1"/>
                <w:bCs w:val="1"/>
                <w:color w:val="auto"/>
              </w:rPr>
              <w:t>CALCULATION OF REGISTRATION FEE</w:t>
            </w:r>
          </w:p>
        </w:tc>
        <w:tc>
          <w:tcPr>
            <w:tcW w:w="2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2"/>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r>
        <w:trPr>
          <w:trHeight w:val="191"/>
        </w:trPr>
        <w:tc>
          <w:tcPr>
            <w:tcW w:w="3380" w:type="dxa"/>
            <w:vAlign w:val="bottom"/>
          </w:tcPr>
          <w:p>
            <w:pPr>
              <w:ind w:left="1080"/>
              <w:spacing w:after="0" w:line="191" w:lineRule="exact"/>
              <w:rPr>
                <w:sz w:val="20"/>
                <w:szCs w:val="20"/>
                <w:color w:val="auto"/>
              </w:rPr>
            </w:pPr>
            <w:r>
              <w:rPr>
                <w:rFonts w:ascii="Arial" w:cs="Arial" w:eastAsia="Arial" w:hAnsi="Arial"/>
                <w:sz w:val="18"/>
                <w:szCs w:val="18"/>
                <w:b w:val="1"/>
                <w:bCs w:val="1"/>
                <w:color w:val="auto"/>
              </w:rPr>
              <w:t>Title of Securities</w:t>
            </w:r>
          </w:p>
        </w:tc>
        <w:tc>
          <w:tcPr>
            <w:tcW w:w="1940" w:type="dxa"/>
            <w:vAlign w:val="bottom"/>
          </w:tcPr>
          <w:p>
            <w:pPr>
              <w:ind w:left="380"/>
              <w:spacing w:after="0" w:line="191" w:lineRule="exact"/>
              <w:rPr>
                <w:sz w:val="20"/>
                <w:szCs w:val="20"/>
                <w:color w:val="auto"/>
              </w:rPr>
            </w:pPr>
            <w:r>
              <w:rPr>
                <w:rFonts w:ascii="Arial" w:cs="Arial" w:eastAsia="Arial" w:hAnsi="Arial"/>
                <w:sz w:val="18"/>
                <w:szCs w:val="18"/>
                <w:b w:val="1"/>
                <w:bCs w:val="1"/>
                <w:color w:val="auto"/>
              </w:rPr>
              <w:t>Amount to be</w:t>
            </w:r>
          </w:p>
        </w:tc>
        <w:tc>
          <w:tcPr>
            <w:tcW w:w="2180" w:type="dxa"/>
            <w:vAlign w:val="bottom"/>
            <w:gridSpan w:val="2"/>
          </w:tcPr>
          <w:p>
            <w:pPr>
              <w:jc w:val="center"/>
              <w:ind w:right="410"/>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2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Amount of</w:t>
            </w:r>
          </w:p>
        </w:tc>
      </w:tr>
      <w:tr>
        <w:trPr>
          <w:trHeight w:val="220"/>
        </w:trPr>
        <w:tc>
          <w:tcPr>
            <w:tcW w:w="3380" w:type="dxa"/>
            <w:vAlign w:val="bottom"/>
          </w:tcPr>
          <w:p>
            <w:pPr>
              <w:ind w:left="1040"/>
              <w:spacing w:after="0"/>
              <w:rPr>
                <w:sz w:val="20"/>
                <w:szCs w:val="20"/>
                <w:color w:val="auto"/>
              </w:rPr>
            </w:pPr>
            <w:r>
              <w:rPr>
                <w:rFonts w:ascii="Arial" w:cs="Arial" w:eastAsia="Arial" w:hAnsi="Arial"/>
                <w:sz w:val="18"/>
                <w:szCs w:val="18"/>
                <w:b w:val="1"/>
                <w:bCs w:val="1"/>
                <w:color w:val="auto"/>
              </w:rPr>
              <w:t>to be Registered(1)</w:t>
            </w:r>
          </w:p>
        </w:tc>
        <w:tc>
          <w:tcPr>
            <w:tcW w:w="4120" w:type="dxa"/>
            <w:vAlign w:val="bottom"/>
            <w:gridSpan w:val="3"/>
          </w:tcPr>
          <w:p>
            <w:pPr>
              <w:ind w:left="380"/>
              <w:spacing w:after="0"/>
              <w:rPr>
                <w:sz w:val="20"/>
                <w:szCs w:val="20"/>
                <w:color w:val="auto"/>
              </w:rPr>
            </w:pPr>
            <w:r>
              <w:rPr>
                <w:rFonts w:ascii="Arial" w:cs="Arial" w:eastAsia="Arial" w:hAnsi="Arial"/>
                <w:sz w:val="18"/>
                <w:szCs w:val="18"/>
                <w:b w:val="1"/>
                <w:bCs w:val="1"/>
                <w:color w:val="auto"/>
              </w:rPr>
              <w:t>Registered(2)   Offering Price Per Share(3)</w:t>
            </w:r>
          </w:p>
        </w:tc>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Aggregate Offering Price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37"/>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Common Stock, par value $1.00 per share</w:t>
            </w:r>
          </w:p>
        </w:tc>
        <w:tc>
          <w:tcPr>
            <w:tcW w:w="1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800,000 shares</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$40.98</w:t>
            </w:r>
          </w:p>
        </w:tc>
        <w:tc>
          <w:tcPr>
            <w:tcW w:w="2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$32,784,000</w:t>
            </w:r>
          </w:p>
        </w:tc>
        <w:tc>
          <w:tcPr>
            <w:tcW w:w="1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$1,288.42</w:t>
            </w:r>
          </w:p>
        </w:tc>
      </w:tr>
      <w:tr>
        <w:trPr>
          <w:trHeight w:val="218"/>
        </w:trPr>
        <w:tc>
          <w:tcPr>
            <w:tcW w:w="3380" w:type="dxa"/>
            <w:vAlign w:val="bottom"/>
          </w:tcPr>
          <w:p>
            <w:pPr>
              <w:spacing w:after="0"/>
              <w:rPr>
                <w:sz w:val="20"/>
                <w:szCs w:val="20"/>
                <w:color w:val="auto"/>
              </w:rPr>
            </w:pPr>
            <w:r>
              <w:rPr>
                <w:rFonts w:ascii="Arial" w:cs="Arial" w:eastAsia="Arial" w:hAnsi="Arial"/>
                <w:sz w:val="18"/>
                <w:szCs w:val="18"/>
                <w:color w:val="auto"/>
              </w:rPr>
              <w:t>_________________</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ind w:left="340" w:right="760" w:hanging="332"/>
        <w:spacing w:after="0" w:line="32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share of common stock, par value $1.00 per share (“Common Stock”) includes one Preferred Share Purchase Right pursuant to the Rights Agreement dated as of May 20, 1998. Value attributable to such Rights, if any, is reflected in the market price of the Common Stock.</w:t>
      </w:r>
    </w:p>
    <w:p>
      <w:pPr>
        <w:spacing w:after="0" w:line="167"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of Common Stock stated above represents an increase in the total number of shares reserved for issuance under The Toro Company 2000 Stock Option Plan (the “Plan”). 6,400,000 shares have been previously registered under Registration Statements on Form S-8 (File No. 333-39052, File No. 333-89262, File No. 333-135033). In addition, the maximum number of shares of Common Stock that may be issued under the Plan is subject to adjustment in accordance with certain provisions of the Plan. Accordingly, pursuant to Rule 416 under the Securities Act of 1933, as amended (the “Securities Act”), to the extent additional shares of Common Stock may be issued or issuable as a result of a stock split or other distribution declared at any time by the Board of Directors while this Registration Statement is in effect, this Registration Statement is hereby deemed to cover all such additional shares of Common Stock.</w:t>
      </w:r>
    </w:p>
    <w:p>
      <w:pPr>
        <w:spacing w:after="0" w:line="216"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amount of the registration fee and calculated pursuant to Rule 457(c) and Rule 457(h) under the Securities Act on the basis of the average of the high and low sales prices of the Common Stock, as reported by the New York Stock Exchange on May</w:t>
      </w:r>
    </w:p>
    <w:p>
      <w:pPr>
        <w:sectPr>
          <w:pgSz w:w="11900" w:h="16854" w:orient="portrait"/>
          <w:cols w:equalWidth="0" w:num="1">
            <w:col w:w="11420"/>
          </w:cols>
          <w:pgMar w:left="240" w:top="229" w:right="239" w:bottom="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8"/>
          <w:szCs w:val="18"/>
          <w:color w:val="auto"/>
        </w:rPr>
        <w:t>16, 2008.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UNDER GENERAL INSTRUCTION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3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Registration Statement is filed by The Toro Company (the “Registrant”) pursuant to General Instruction E of Form S-8 and relates to the Registrant’s earlier Registration Statement on Form S-8 (No. 333-39052), filed with the Securities and Exchange Commission (the “Commission”) on June 12, 2000, as amended by the Registrant’s Registration Statement on Form S-8 (No. 333-89262), filed with the Commission on May 28, 2002, by the Registrant’s Post-Effective Amendment No. 1 to Form S-8 (333-89262), filed with the Commission on June 2, 2003, and by the Registrant’s Registration Statement on Form S-8 (No. 333-135033), filed with the Commission on June 15, 2006. Under those three earlier Registration Statements, the Registrant registered shares of its common stock, par value $1.00 per share (the “Common Stock”), and related Preferred Share Purchase Rights, to be offered and sold in connection with The Toro Company 2000 Stock Option Plan (the “Plan”). Following a 2-for-1 stock split with a record date of April 1, 2003, and a second 2-for-1 stock split with a record date of March 28, 2005, and the increase in shares by Registration Statement No. 333-135033, the total number of shares, on an after-split basis, authorized to be offered and sold in connection with the Plan was 6,400,000. The contents of Registrant’s Registration Statements Nos. 333-89262 and 333-39052, as amended by Registrant’s Post-Effective Amendment No. 1, and Registration Statement No. 33-135033 are incorporated by reference in this Registration 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Increase Authorized Shares</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March 11, 2008, the shareholders of the Registrant approved an amendment to the Plan to increase the number of shares of Common Stock authorized for issuance under the Plan by 800,000 from an aggregate of 6,400,000 to an aggregate of 7,200,000, subject to adjustment to reflect changes in the corporate or capital structure of Registrant, including but not limited to stock splits, stock dividends or similar transactions.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permitted by the instructions to Form S-8, this Registration Statement omits the information specified in Part I of Registrant’s Registration Statement on Form S-8.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rules of the Commission allow Registrant to incorporate by reference information into this Registration Statement. This means that Registrant may disclose important information to you by referring you to another document.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previously filed by the Registrant with the Commission are incorporated by reference into this Registration Statement:</w:t>
      </w:r>
    </w:p>
    <w:p>
      <w:pPr>
        <w:spacing w:after="0" w:line="264"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31, 2007 (File No. 1-8649);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February 1, 2008 (File No. 1-8649);</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January 18, 2008, January 31, 2008, March 5, 2008 and March 12, 2008 (File No. 1-8649); and</w:t>
      </w:r>
    </w:p>
    <w:p>
      <w:pPr>
        <w:spacing w:after="0" w:line="197"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and Preferred Share Purchase Rights contained in the Registrant’s Registration Statements filed with the Commission pursuant to Section 12 of the Securities Exchange Act of 1934 (the “Exchange Act”), including any amendments or reports filed for the purpose of updating such descriptions (File No. 1-8649).</w:t>
      </w:r>
    </w:p>
    <w:p>
      <w:pPr>
        <w:spacing w:after="0" w:line="20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addition, all documents filed with the Commission by the Company (other than portions of such documents which are furnished and not filed) pursuant to Sections 13(a), 13(c), 14 and 15(d) of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opinion of counsel as to the legality of the securities being registered, which is Exhibit 5.1 to this Registration Statement, is rendered by Timothy P. Dordell, Vice President, Secretary and General Counsel of the Registrant. Mr. Dordell is eligible to participate in the Plan and holds options to purchase shares of Common Stock granted under the Plan. Mr. Dordell owns or has rights to acquire an aggregate of less than 0.01% of the Registrant’s outstanding Common Stock.</w:t>
      </w:r>
    </w:p>
    <w:p>
      <w:pPr>
        <w:sectPr>
          <w:pgSz w:w="11900" w:h="16838" w:orient="portrait"/>
          <w:cols w:equalWidth="0" w:num="1">
            <w:col w:w="11420"/>
          </w:cols>
          <w:pgMar w:left="240" w:top="125" w:right="239" w:bottom="15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300" w:type="dxa"/>
            <w:vAlign w:val="bottom"/>
          </w:tcPr>
          <w:p>
            <w:pPr>
              <w:spacing w:after="0"/>
              <w:rPr>
                <w:sz w:val="21"/>
                <w:szCs w:val="21"/>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1"/>
              </w:rPr>
              <w:t>The Toro Company Amended and Restated Certificate of Incorporation (incorporated by reference to Exhibit 3(i)(a) and 4(a) to</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dated March 15, 2005,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7"/>
              </w:rPr>
              <w:t>Bylaws of The Toro Company (incorporated by reference to Exhibit 3 to Registrant’s Current Report on Form 8-K dated</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November 30, 2005,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Annual Report on Form</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10-K for the fiscal year ended October 31, 2006).</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5"/>
              </w:rPr>
              <w:t>Rights Agreement dated as of May 20, 1998, between The Toro Company and Wells Fargo Bank, N.A. relating to rights to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9"/>
              </w:rPr>
              <w:t>purchase Series B Junior Participating Voting Preferred Stock, as amended (incorporated by reference to Exhibit 1 to</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dated May 20, 1998,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2"/>
              </w:rPr>
              <w:t>Certificate of Adjusted Purchase Price or Number of Shares dated April 14, 2003 filed by The Toro Company with Wells Fargo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5"/>
              </w:rPr>
              <w:t>Bank, N.A., as Rights Agent, in connection with Rights Agreement dated as of May 20, 1998 (incorporated by reference to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4"/>
              </w:rPr>
              <w:t>Exhibit 2 to Registrant’s Amendment No. 1 to Registration Statement on Form 8-A/A dated April 14, 2003, Commission File</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2"/>
              </w:rPr>
              <w:t>Certificate of Adjusted Purchase Price or Number of Shares dated April 12, 2005 filed by The Toro Company with Wells Fargo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5"/>
              </w:rPr>
              <w:t>Bank, N.A., as Rights Agent, in connection with Rights Agreement dated as of May 20, 1998 (incorporated by reference to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2"/>
              </w:rPr>
              <w:t>Exhibit 2 to Registrant’s Amendment No. 2 to Registration Statement on Form 8-A/A dated March 21, 2005, Commission File</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89"/>
              </w:rPr>
              <w:t>Indenture dated as of January 31, 1997, between The Toro Company and First National Trust Association, as Trustee, relating to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1"/>
              </w:rPr>
              <w:t>The Toro Company’s June 15, 2007 and its 7.80% Debentures due June 15, 2027 (incorporated by reference to Exhibit 4(a) to</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for June 24, 1997,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1"/>
              </w:rPr>
              <w:t>Indenture dated as of April 20, 2007, between The Toro Company, as issuer, and The Bank of New York Trust Company, N.A.,</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7"/>
              </w:rPr>
              <w:t>as Trustee, relating to The Toro Company’s 6.625% Notes due May 1, 2037 (incorporated by reference to Exhibit 4.3 to</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4"/>
              </w:rPr>
              <w:t>Registrant’s Registration Statement on Form S-3 as filed with the Securities and Exchange Commission on April 23, 2007,</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Registration No. 333-142282).</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4.9</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3"/>
              </w:rPr>
              <w:t>First Supplemental Indenture dated as of April 26, 2007, between The Toro Company, as issuer, and The Bank of New York</w:t>
            </w:r>
          </w:p>
        </w:tc>
      </w:tr>
      <w:tr>
        <w:trPr>
          <w:trHeight w:val="216"/>
        </w:trPr>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0"/>
              </w:rPr>
              <w:t>Trust Company, N.A., as Trustee, relating to The Toro Company’s 6.625% Notes due May 1, 2037 (incorporated by reference to</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Exhibit 4.1 to Registrant’s Current Report on Form 8-K dated April 23, 2007,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4.10</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94"/>
              </w:rPr>
              <w:t>Form of The Toro Company 6.625% Note due May 1, 2037 (incorporated by reference to Exhibit 4.2 to Registrant’s Current</w:t>
            </w:r>
          </w:p>
        </w:tc>
      </w:tr>
      <w:tr>
        <w:trPr>
          <w:trHeight w:val="230"/>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Opinion of Counsel Regarding Legality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Consent of Counsel (included as part of Exhibit 5.1)</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Consent of KPMG LLP (filed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30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Power of Attorney (filed herewith)</w:t>
            </w:r>
          </w:p>
        </w:tc>
      </w:tr>
    </w:tbl>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May 21, 2008.</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-10160</wp:posOffset>
            </wp:positionV>
            <wp:extent cx="2703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Vice President, Secretary and General Counsel</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7"/>
              </w:rPr>
              <w:t>Title</w:t>
            </w: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Michael J. Hoffman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0"/>
              </w:rPr>
              <w:t>Chairman of the Board, President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3"/>
              </w:rPr>
              <w:t>Michael J. Hoffman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Chief Executive Officer and Director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(principal executive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rPr>
              <w:t>/s/ Stephen P. Wolfe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88"/>
              </w:rPr>
              <w:t>Vice President, Finance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88"/>
              </w:rPr>
              <w:t>Stephen P. Wolfe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4"/>
              </w:rPr>
              <w:t>Chief Financial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6"/>
              </w:rPr>
              <w:t>(principal financial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Blake M. Grams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80" w:type="dxa"/>
            <w:vAlign w:val="bottom"/>
            <w:gridSpan w:val="3"/>
          </w:tcPr>
          <w:p>
            <w:pPr>
              <w:jc w:val="center"/>
              <w:ind w:left="770"/>
              <w:spacing w:after="0"/>
              <w:rPr>
                <w:sz w:val="20"/>
                <w:szCs w:val="20"/>
                <w:color w:val="auto"/>
              </w:rPr>
            </w:pPr>
            <w:r>
              <w:rPr>
                <w:rFonts w:ascii="Arial" w:cs="Arial" w:eastAsia="Arial" w:hAnsi="Arial"/>
                <w:sz w:val="18"/>
                <w:szCs w:val="18"/>
                <w:color w:val="auto"/>
                <w:w w:val="93"/>
              </w:rPr>
              <w:t>Managing Director,</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2"/>
              </w:rPr>
              <w:t>Blake M. Grams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jc w:val="center"/>
              <w:ind w:left="770"/>
              <w:spacing w:after="0"/>
              <w:rPr>
                <w:sz w:val="20"/>
                <w:szCs w:val="20"/>
                <w:color w:val="auto"/>
              </w:rPr>
            </w:pPr>
            <w:r>
              <w:rPr>
                <w:rFonts w:ascii="Arial" w:cs="Arial" w:eastAsia="Arial" w:hAnsi="Arial"/>
                <w:sz w:val="18"/>
                <w:szCs w:val="18"/>
                <w:color w:val="auto"/>
                <w:w w:val="91"/>
              </w:rPr>
              <w:t>Corporate Controller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4"/>
              </w:rPr>
              <w:t>(principal accounting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color w:val="auto"/>
              </w:rPr>
              <w:t>/s/ Timothy P. Dordell</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3"/>
          </w:tcPr>
          <w:p>
            <w:pPr>
              <w:jc w:val="center"/>
              <w:ind w:left="790"/>
              <w:spacing w:after="0"/>
              <w:rPr>
                <w:sz w:val="20"/>
                <w:szCs w:val="20"/>
                <w:color w:val="auto"/>
              </w:rPr>
            </w:pPr>
            <w:r>
              <w:rPr>
                <w:rFonts w:ascii="Arial" w:cs="Arial" w:eastAsia="Arial" w:hAnsi="Arial"/>
                <w:sz w:val="18"/>
                <w:szCs w:val="18"/>
                <w:color w:val="auto"/>
                <w:w w:val="94"/>
              </w:rPr>
              <w:t>Directors</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37"/>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Timothy P. Dordell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jc w:val="center"/>
        <w:ind w:right="6700"/>
        <w:spacing w:after="0"/>
        <w:rPr>
          <w:sz w:val="20"/>
          <w:szCs w:val="20"/>
          <w:color w:val="auto"/>
        </w:rPr>
      </w:pPr>
      <w:r>
        <w:rPr>
          <w:rFonts w:ascii="Arial" w:cs="Arial" w:eastAsia="Arial" w:hAnsi="Arial"/>
          <w:sz w:val="18"/>
          <w:szCs w:val="18"/>
          <w:color w:val="auto"/>
        </w:rPr>
        <w:t>As attorney in fact for Robert C. Buhrmaster, Winslow H.</w:t>
      </w:r>
    </w:p>
    <w:p>
      <w:pPr>
        <w:spacing w:after="0" w:line="9"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Buxton, Janet K. Cooper, Gary L. Ellis, Katherine J. Harless,</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Robert H. Nassau, Gregg W. Steinhafel, Inge G. Thulin and</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400"/>
          </w:cols>
          <w:pgMar w:left="240" w:top="513"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9"/>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20"/>
        </w:trPr>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The Toro Company Amended and Restated Certificate of Incorporation.</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Incorporated by reference to Exhibit 3(i)(a) and 4(a)</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to Registrant’s Current Report on Form 8-K dated</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March 15, 2005,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Bylaws of The Toro Company.</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3 to Registrant’s</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Current Report on Form 8-K dated November 30,</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2005,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Specimen Form of Common Stock Certificate.</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Incorporated by reference to Exhibit 4(c) to</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Registrant’s Annual Report on Form 10-K for the</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fiscal year ended October 31, 2006.</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5"/>
              </w:rPr>
              <w:t>Rights Agreement dated as of May 20, 1998, between The Toro Company and</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1 to Registrant’s</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1"/>
              </w:rPr>
              <w:t>Wells Fargo Bank, N.A. relating to rights to purchase Series B Junior Participating</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Current Report on Form 8-K dated May 20, 1998,</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Voting Preferred Stock, as amended.</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2"/>
              </w:rPr>
              <w:t>Certificate of Adjusted Purchase Price or Number of Shares dated April 14, 2003</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2 to Registrant’s</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8"/>
              </w:rPr>
              <w:t>filed by The Toro Company with Wells Fargo Bank, N.A., as Rights Agent, in</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Amendment No. 1 to Registration Statement on</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connection with Rights Agreement dated as of May 20, 1998.</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3"/>
              </w:rPr>
              <w:t>Form 8-A/A dated April 14, 2003, Commission File</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6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2"/>
              </w:rPr>
              <w:t>Certificate of Adjusted Purchase Price or Number of Shares dated April 12, 2005</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2 to Registrant’s</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8"/>
              </w:rPr>
              <w:t>filed by The Toro Company with Wells Fargo Bank, N.A., as Rights Agent, in</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Amendment No. 2 to Registration Statement on</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connection with Rights Agreement dated as of May 20, 1998.</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Form 8-A/A dated March 21, 2005, Commission File</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6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4"/>
              </w:rPr>
              <w:t>Indenture dated as of January 31, 1997, between The Toro Company and First</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4(a) to</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3"/>
              </w:rPr>
              <w:t>National Trust Association, as Trustee, relating to The Toro Company’s June 15,</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Registrant’s Current Report on Form 8-K for June</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2007 and its 7.80% Debentures due June 15, 2027.</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24, 1997,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2"/>
              </w:rPr>
              <w:t>Indenture dated as of April 20, 2007, between The Toro Company, as issuer, and</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4.3 to</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6"/>
              </w:rPr>
              <w:t>The Bank of New York Trust Company, N.A., as Trustee, relating to The Toro</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9"/>
              </w:rPr>
              <w:t>Registrant’s Registration Statement on Form S-3 as</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Company’s 6.625% Notes due May 1, 2037.</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filed with the Securities and Exchange Commission</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on April 23, 2007, Registration No. 333-142282.</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9"/>
              </w:rPr>
              <w:t>First Supplemental Indenture dated as of April 26, 2007, between The Toro</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4.1 to</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0"/>
              </w:rPr>
              <w:t>Company, as issuer, and The Bank of New York Trust Company, N.A., as Trustee,</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Registrant’s Current Report on Form 8-K dated April</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relating to The Toro Company’s 6.625% Notes due May 1, 2037.</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23, 2007, Commission File No. 1-8649.</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4.10</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Form of The Toro Company 6.625% Note due May 1, 2037.</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4.2 to</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Registrant’s Current Report on Form 8-K dated April</w:t>
            </w:r>
          </w:p>
        </w:tc>
      </w:tr>
      <w:tr>
        <w:trPr>
          <w:trHeight w:val="230"/>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23, 2007, Commission File No. 1-8649.</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Opinion of Counsel Regarding Legality</w:t>
            </w:r>
          </w:p>
        </w:tc>
        <w:tc>
          <w:tcPr>
            <w:tcW w:w="1320" w:type="dxa"/>
            <w:vAlign w:val="bottom"/>
          </w:tcPr>
          <w:p>
            <w:pPr>
              <w:spacing w:after="0"/>
              <w:rPr>
                <w:sz w:val="24"/>
                <w:szCs w:val="24"/>
                <w:color w:val="auto"/>
              </w:rPr>
            </w:pPr>
          </w:p>
        </w:tc>
        <w:tc>
          <w:tcPr>
            <w:tcW w:w="256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Consent of Counsel</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Included as part of Exhibit 5.1</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Consent of KPMG LLP</w:t>
            </w:r>
          </w:p>
        </w:tc>
        <w:tc>
          <w:tcPr>
            <w:tcW w:w="1320" w:type="dxa"/>
            <w:vAlign w:val="bottom"/>
          </w:tcPr>
          <w:p>
            <w:pPr>
              <w:spacing w:after="0"/>
              <w:rPr>
                <w:sz w:val="24"/>
                <w:szCs w:val="24"/>
                <w:color w:val="auto"/>
              </w:rPr>
            </w:pPr>
          </w:p>
        </w:tc>
        <w:tc>
          <w:tcPr>
            <w:tcW w:w="256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Filed herewith</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1320" w:type="dxa"/>
            <w:vAlign w:val="bottom"/>
          </w:tcPr>
          <w:p>
            <w:pPr>
              <w:spacing w:after="0"/>
              <w:rPr>
                <w:sz w:val="24"/>
                <w:szCs w:val="24"/>
                <w:color w:val="auto"/>
              </w:rPr>
            </w:pPr>
          </w:p>
        </w:tc>
        <w:tc>
          <w:tcPr>
            <w:tcW w:w="256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Filed herewith</w:t>
            </w:r>
          </w:p>
        </w:tc>
      </w:tr>
    </w:tbl>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May 21, 2008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Toro </w:t>
      </w:r>
      <w:r>
        <w:rPr>
          <w:rFonts w:ascii="Arial" w:cs="Arial" w:eastAsia="Arial" w:hAnsi="Arial"/>
          <w:sz w:val="21"/>
          <w:szCs w:val="21"/>
          <w:color w:val="auto"/>
        </w:rPr>
        <w:t>Company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 for The Toro Company 2000 Stock Option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 am the Vice President, Secretary and General Counsel of The Toro Company (the “Company”). In connection with the Registration Statement on Form S-8 filed by the Company with the Securities and Exchange Commission relating to an aggregate of up to 800,000 shares of common stock, $1.00 par value per share (the “Common Stock”), and related Preferred Share Purchase Rights (the “Rights”) of the Company, to be issued in connection with The Toro Company 2000 Stock Option Plan, please be advised that as counsel to the Company, upon examination of such corporate documents and records as I have deemed necessary or appropriate for the purpose of rendering this opinion, it is my opinion that:</w:t>
      </w:r>
    </w:p>
    <w:p>
      <w:pPr>
        <w:spacing w:after="0" w:line="200" w:lineRule="exact"/>
        <w:rPr>
          <w:sz w:val="20"/>
          <w:szCs w:val="20"/>
          <w:color w:val="auto"/>
        </w:rPr>
      </w:pPr>
    </w:p>
    <w:p>
      <w:pPr>
        <w:ind w:right="240" w:firstLine="656"/>
        <w:spacing w:after="0" w:line="277" w:lineRule="auto"/>
        <w:tabs>
          <w:tab w:leader="none" w:pos="10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being offered by the Company, when issued in accordance with proper corporate authorizations, will be legally issued, fully paid and non-assessable; and</w:t>
      </w:r>
    </w:p>
    <w:p>
      <w:pPr>
        <w:spacing w:after="0" w:line="197" w:lineRule="exact"/>
        <w:rPr>
          <w:rFonts w:ascii="Arial" w:cs="Arial" w:eastAsia="Arial" w:hAnsi="Arial"/>
          <w:sz w:val="18"/>
          <w:szCs w:val="18"/>
          <w:color w:val="auto"/>
        </w:rPr>
      </w:pPr>
    </w:p>
    <w:p>
      <w:pPr>
        <w:ind w:right="160" w:firstLine="656"/>
        <w:spacing w:after="0" w:line="259" w:lineRule="auto"/>
        <w:tabs>
          <w:tab w:leader="none" w:pos="998"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Assuming that the Rights Agreement dated as of May 20, 1998, as modified by the Certificates of Adjusted Price or Number of Shares dated April 14, 2003 and April 12, 2005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1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-10160</wp:posOffset>
            </wp:positionV>
            <wp:extent cx="2541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1270"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use of our report dated December 21, 2007 incorporated by reference in this Form S-8, relating to the consolidated balance sheets of The Toro Company and subsidiaries as of October 31, 2007 and 2006, and the related consolidated statements of earnings, cash flows, and changes in stockholders’ equity and comprehensive income and the related financial statement schedule for each of the years in the three-year period ended October 31, 2007, and the effectiveness of internal control over financial reporting as of October 31, 2007, which report is included in the October 31, 2007 annual report on Form 10-K of The Toro Company.</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report refers to the Company’s adoption of the provisions of Statement of Accounting Standards No. 158, “Employers’ Accounting for Defined Benefit Pension and Other Postretirement Plans,” as of October 31,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2008</w:t>
      </w:r>
    </w:p>
    <w:p>
      <w:pPr>
        <w:sectPr>
          <w:pgSz w:w="11900" w:h="16838" w:orient="portrait"/>
          <w:cols w:equalWidth="0" w:num="1">
            <w:col w:w="11420"/>
          </w:cols>
          <w:pgMar w:left="240" w:top="11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each being a member of the Board of Directors of The Toro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do hereby make, nominate and appoint each of MICHAEL J. HOFFMAN AND TIMOTHY P. DORDELL, signing singly, to be his or her attorney-in-fact, with full power and authority to sign his or her name to a Registration Statement on Form S-8 relating to the registration of 800,000 shares of The Toro Company common stock, par value $1.00 per share (the “Common Stock”), and related Preferred Share Purchase Rights, for The Toro Company 2000 Stock Option Plan, and any and all amendments thereto (including without limitation post-effective amendments to register or de-register shares), provided that the Registration Statement and any amendments thereto, in final form, be approved by said attorney-in-fact; and his name, when thus signed, shall have the same force and effect as though I had manually signed said document or documents.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21st day of May, 2008.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-10160</wp:posOffset>
            </wp:positionV>
            <wp:extent cx="2120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0265"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Robert C. Buhrmaster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-10160</wp:posOffset>
            </wp:positionV>
            <wp:extent cx="2158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836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Winslow H. Buxton</w:t>
      </w:r>
    </w:p>
    <w:p>
      <w:pPr>
        <w:spacing w:after="0" w:line="2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-10160</wp:posOffset>
            </wp:positionV>
            <wp:extent cx="2116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645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Janet K. Cooper</w:t>
      </w:r>
    </w:p>
    <w:p>
      <w:pPr>
        <w:spacing w:after="0" w:line="238"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/s/ 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-10160</wp:posOffset>
            </wp:positionV>
            <wp:extent cx="2233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spacing w:after="0" w:line="3"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Gary L. Ellis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216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16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Katherine J. Harless</w:t>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-10160</wp:posOffset>
            </wp:positionV>
            <wp:extent cx="2186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H. Nassau</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-10160</wp:posOffset>
            </wp:positionV>
            <wp:extent cx="2177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Gregg W. Steinhafel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-10160</wp:posOffset>
            </wp:positionV>
            <wp:extent cx="2184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44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Inge G. Thulin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-10160</wp:posOffset>
            </wp:positionV>
            <wp:extent cx="20885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85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A. Twomey</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1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2019-12-13T14:03:11Z</dcterms:created>
  <dcterms:modified xsi:type="dcterms:W3CDTF">2019-12-13T14:03:11Z</dcterms:modified>
</cp:coreProperties>
</file>