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7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August 18, 2016</w:t>
      </w:r>
    </w:p>
    <w:p>
      <w:pPr>
        <w:spacing w:after="0" w:line="202"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THE TORO COMPANY</w:t>
      </w:r>
    </w:p>
    <w:p>
      <w:pPr>
        <w:spacing w:after="0" w:line="40"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40"/>
          </w:cols>
          <w:pgMar w:left="240" w:top="544" w:right="319" w:bottom="0" w:gutter="0" w:footer="0" w:header="0"/>
        </w:sectPr>
      </w:pPr>
    </w:p>
    <w:p>
      <w:pPr>
        <w:spacing w:after="0" w:line="205" w:lineRule="exact"/>
        <w:rPr>
          <w:sz w:val="24"/>
          <w:szCs w:val="24"/>
          <w:color w:val="auto"/>
        </w:rPr>
      </w:pPr>
    </w:p>
    <w:p>
      <w:pPr>
        <w:jc w:val="center"/>
        <w:ind w:right="3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60"/>
        <w:spacing w:after="0"/>
        <w:rPr>
          <w:sz w:val="20"/>
          <w:szCs w:val="20"/>
          <w:color w:val="auto"/>
        </w:rPr>
      </w:pPr>
      <w:r>
        <w:rPr>
          <w:rFonts w:ascii="Arial" w:cs="Arial" w:eastAsia="Arial" w:hAnsi="Arial"/>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680"/>
        <w:spacing w:after="0"/>
        <w:rPr>
          <w:sz w:val="20"/>
          <w:szCs w:val="20"/>
          <w:color w:val="auto"/>
        </w:rPr>
      </w:pPr>
      <w:r>
        <w:rPr>
          <w:rFonts w:ascii="Arial" w:cs="Arial" w:eastAsia="Arial" w:hAnsi="Arial"/>
          <w:sz w:val="18"/>
          <w:szCs w:val="18"/>
          <w:b w:val="1"/>
          <w:bCs w:val="1"/>
          <w:color w:val="auto"/>
        </w:rPr>
        <w:t>1-8649</w:t>
      </w:r>
    </w:p>
    <w:p>
      <w:pPr>
        <w:spacing w:after="0" w:line="27" w:lineRule="exact"/>
        <w:rPr>
          <w:sz w:val="24"/>
          <w:szCs w:val="24"/>
          <w:color w:val="auto"/>
        </w:rPr>
      </w:pPr>
    </w:p>
    <w:p>
      <w:pPr>
        <w:jc w:val="center"/>
        <w:ind w:right="6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80"/>
        <w:spacing w:after="0"/>
        <w:rPr>
          <w:sz w:val="20"/>
          <w:szCs w:val="20"/>
          <w:color w:val="auto"/>
        </w:rPr>
      </w:pPr>
      <w:r>
        <w:rPr>
          <w:rFonts w:ascii="Arial" w:cs="Arial" w:eastAsia="Arial" w:hAnsi="Arial"/>
          <w:sz w:val="18"/>
          <w:szCs w:val="18"/>
          <w:b w:val="1"/>
          <w:bCs w:val="1"/>
          <w:color w:val="auto"/>
        </w:rPr>
        <w:t>41-0580470</w:t>
      </w:r>
    </w:p>
    <w:p>
      <w:pPr>
        <w:spacing w:after="0" w:line="27" w:lineRule="exact"/>
        <w:rPr>
          <w:sz w:val="24"/>
          <w:szCs w:val="24"/>
          <w:color w:val="auto"/>
        </w:rPr>
      </w:pPr>
    </w:p>
    <w:p>
      <w:pPr>
        <w:jc w:val="center"/>
        <w:ind w:right="28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4020" w:space="720"/>
            <w:col w:w="2660" w:space="720"/>
            <w:col w:w="3220"/>
          </w:cols>
          <w:pgMar w:left="240" w:top="544" w:right="319" w:bottom="0" w:gutter="0" w:footer="0" w:header="0"/>
          <w:type w:val="continuous"/>
        </w:sectPr>
      </w:pPr>
    </w:p>
    <w:p>
      <w:pPr>
        <w:spacing w:after="0" w:line="30"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8111 Lyndale Avenue South</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Bloomington, Minnesota</w:t>
      </w:r>
    </w:p>
    <w:p>
      <w:pPr>
        <w:spacing w:after="0" w:line="9"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26" w:lineRule="exact"/>
        <w:rPr>
          <w:sz w:val="24"/>
          <w:szCs w:val="24"/>
          <w:color w:val="auto"/>
        </w:rPr>
      </w:pPr>
    </w:p>
    <w:p>
      <w:pPr>
        <w:jc w:val="center"/>
        <w:ind w:right="2320"/>
        <w:spacing w:after="0"/>
        <w:rPr>
          <w:sz w:val="20"/>
          <w:szCs w:val="20"/>
          <w:color w:val="auto"/>
        </w:rPr>
      </w:pPr>
      <w:r>
        <w:rPr>
          <w:rFonts w:ascii="Arial" w:cs="Arial" w:eastAsia="Arial" w:hAnsi="Arial"/>
          <w:sz w:val="18"/>
          <w:szCs w:val="18"/>
          <w:b w:val="1"/>
          <w:bCs w:val="1"/>
          <w:color w:val="auto"/>
        </w:rPr>
        <w:t>55420</w:t>
      </w:r>
    </w:p>
    <w:p>
      <w:pPr>
        <w:spacing w:after="0" w:line="27" w:lineRule="exact"/>
        <w:rPr>
          <w:sz w:val="24"/>
          <w:szCs w:val="24"/>
          <w:color w:val="auto"/>
        </w:rPr>
      </w:pPr>
    </w:p>
    <w:p>
      <w:pPr>
        <w:jc w:val="center"/>
        <w:ind w:right="232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500" w:space="720"/>
            <w:col w:w="3120"/>
          </w:cols>
          <w:pgMar w:left="240" w:top="544" w:right="319" w:bottom="0" w:gutter="0" w:footer="0" w:header="0"/>
          <w:type w:val="continuous"/>
        </w:sectPr>
      </w:pPr>
    </w:p>
    <w:p>
      <w:pPr>
        <w:spacing w:after="0" w:line="30"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(952) 888-8801</w:t>
      </w:r>
    </w:p>
    <w:p>
      <w:pPr>
        <w:spacing w:after="0" w:line="22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Section 2 — Financial Information</w:t>
      </w:r>
    </w:p>
    <w:p>
      <w:pPr>
        <w:spacing w:after="0" w:line="225" w:lineRule="exact"/>
        <w:rPr>
          <w:sz w:val="24"/>
          <w:szCs w:val="24"/>
          <w:color w:val="auto"/>
        </w:rPr>
      </w:pPr>
    </w:p>
    <w:p>
      <w:pPr>
        <w:ind w:left="40"/>
        <w:spacing w:after="0"/>
        <w:tabs>
          <w:tab w:leader="none" w:pos="102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4"/>
          <w:szCs w:val="24"/>
          <w:color w:val="auto"/>
        </w:rPr>
      </w:pPr>
    </w:p>
    <w:p>
      <w:pPr>
        <w:ind w:left="820"/>
        <w:spacing w:after="0"/>
        <w:rPr>
          <w:sz w:val="20"/>
          <w:szCs w:val="20"/>
          <w:color w:val="auto"/>
        </w:rPr>
      </w:pPr>
      <w:r>
        <w:rPr>
          <w:rFonts w:ascii="Arial" w:cs="Arial" w:eastAsia="Arial" w:hAnsi="Arial"/>
          <w:sz w:val="18"/>
          <w:szCs w:val="18"/>
          <w:color w:val="auto"/>
        </w:rPr>
        <w:t>On August 18, 2016, The Toro Company announced its earnings for the three and nine months ended July 29, 2016.</w:t>
      </w:r>
    </w:p>
    <w:p>
      <w:pPr>
        <w:spacing w:after="0" w:line="225" w:lineRule="exact"/>
        <w:rPr>
          <w:sz w:val="24"/>
          <w:szCs w:val="24"/>
          <w:color w:val="auto"/>
        </w:rPr>
      </w:pPr>
    </w:p>
    <w:p>
      <w:pPr>
        <w:ind w:left="820"/>
        <w:spacing w:after="0" w:line="257" w:lineRule="auto"/>
        <w:rPr>
          <w:sz w:val="20"/>
          <w:szCs w:val="20"/>
          <w:color w:val="auto"/>
        </w:rPr>
      </w:pPr>
      <w:r>
        <w:rPr>
          <w:rFonts w:ascii="Arial" w:cs="Arial" w:eastAsia="Arial" w:hAnsi="Arial"/>
          <w:sz w:val="18"/>
          <w:szCs w:val="18"/>
          <w:color w:val="auto"/>
        </w:rPr>
        <w:t>Attached to this Current Report on Form 8-K as Exhibit 99.1 is a copy of The Toro Company’s press release in connection with the announcement. The information in this Item 2.02, including the exhibit attached hereto, is furnished pursuant to Item 2.02 and shall not be deemed to be “filed” for purposes of Section 18 of the Securities Exchange Act of 1934, or otherwise subject to the liabilities of that section, nor shall it be deemed incorporated by reference in any filing under the Securities Act of 1933 or the Securities Exchange Act of 1934, except as shall be expressly set forth by specific reference in such filing.</w:t>
      </w:r>
    </w:p>
    <w:p>
      <w:pPr>
        <w:spacing w:after="0" w:line="18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8 — Other Events</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4"/>
          <w:szCs w:val="24"/>
          <w:color w:val="auto"/>
        </w:rPr>
      </w:pPr>
    </w:p>
    <w:p>
      <w:pPr>
        <w:ind w:left="820"/>
        <w:spacing w:after="0" w:line="342" w:lineRule="auto"/>
        <w:rPr>
          <w:sz w:val="20"/>
          <w:szCs w:val="20"/>
          <w:color w:val="auto"/>
        </w:rPr>
      </w:pPr>
      <w:r>
        <w:rPr>
          <w:rFonts w:ascii="Arial" w:cs="Arial" w:eastAsia="Arial" w:hAnsi="Arial"/>
          <w:sz w:val="16"/>
          <w:szCs w:val="16"/>
          <w:color w:val="auto"/>
        </w:rPr>
        <w:t>On August 18, 2016, the Company also announced that its Board of Directors has declared a two-for-one stock split to be effected in the form of a 100 percent stock dividend. The stock dividend will be distributed September 16, 2016, to shareholders of record as of September 1, 2016.</w:t>
      </w:r>
    </w:p>
    <w:p>
      <w:pPr>
        <w:spacing w:after="0" w:line="124"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4"/>
          <w:szCs w:val="24"/>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4"/>
          <w:szCs w:val="24"/>
          <w:color w:val="auto"/>
        </w:rPr>
      </w:pPr>
    </w:p>
    <w:p>
      <w:pPr>
        <w:ind w:left="1320" w:hanging="502"/>
        <w:spacing w:after="0"/>
        <w:tabs>
          <w:tab w:leader="none" w:pos="1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ectPr>
          <w:pgSz w:w="11900" w:h="16838" w:orient="portrait"/>
          <w:cols w:equalWidth="0" w:num="1">
            <w:col w:w="11340"/>
          </w:cols>
          <w:pgMar w:left="240" w:top="544" w:right="31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71"/>
        </w:trPr>
        <w:tc>
          <w:tcPr>
            <w:tcW w:w="2420" w:type="dxa"/>
            <w:vAlign w:val="bottom"/>
            <w:gridSpan w:val="3"/>
          </w:tcPr>
          <w:p>
            <w:pPr>
              <w:ind w:left="980"/>
              <w:spacing w:after="0"/>
              <w:rPr>
                <w:sz w:val="20"/>
                <w:szCs w:val="20"/>
                <w:color w:val="auto"/>
              </w:rPr>
            </w:pPr>
            <w:r>
              <w:rPr>
                <w:rFonts w:ascii="Arial" w:cs="Arial" w:eastAsia="Arial" w:hAnsi="Arial"/>
                <w:sz w:val="14"/>
                <w:szCs w:val="14"/>
                <w:b w:val="1"/>
                <w:bCs w:val="1"/>
                <w:color w:val="auto"/>
              </w:rPr>
              <w:t>Exhibit No.</w:t>
            </w:r>
          </w:p>
        </w:tc>
        <w:tc>
          <w:tcPr>
            <w:tcW w:w="8820" w:type="dxa"/>
            <w:vAlign w:val="bottom"/>
          </w:tcPr>
          <w:p>
            <w:pPr>
              <w:jc w:val="right"/>
              <w:ind w:right="3976"/>
              <w:spacing w:after="0"/>
              <w:rPr>
                <w:sz w:val="20"/>
                <w:szCs w:val="20"/>
                <w:color w:val="auto"/>
              </w:rPr>
            </w:pPr>
            <w:r>
              <w:rPr>
                <w:rFonts w:ascii="Arial" w:cs="Arial" w:eastAsia="Arial" w:hAnsi="Arial"/>
                <w:sz w:val="14"/>
                <w:szCs w:val="14"/>
                <w:b w:val="1"/>
                <w:bCs w:val="1"/>
                <w:color w:val="auto"/>
              </w:rPr>
              <w:t>Description</w:t>
            </w:r>
          </w:p>
        </w:tc>
        <w:tc>
          <w:tcPr>
            <w:tcW w:w="220" w:type="dxa"/>
            <w:vAlign w:val="bottom"/>
          </w:tcPr>
          <w:p>
            <w:pPr>
              <w:spacing w:after="0"/>
              <w:rPr>
                <w:sz w:val="14"/>
                <w:szCs w:val="14"/>
                <w:color w:val="auto"/>
              </w:rPr>
            </w:pPr>
          </w:p>
        </w:tc>
      </w:tr>
      <w:tr>
        <w:trPr>
          <w:trHeight w:val="224"/>
        </w:trPr>
        <w:tc>
          <w:tcPr>
            <w:tcW w:w="980" w:type="dxa"/>
            <w:vAlign w:val="bottom"/>
          </w:tcPr>
          <w:p>
            <w:pPr>
              <w:spacing w:after="0"/>
              <w:rPr>
                <w:sz w:val="19"/>
                <w:szCs w:val="19"/>
                <w:color w:val="auto"/>
              </w:rPr>
            </w:pPr>
          </w:p>
        </w:tc>
        <w:tc>
          <w:tcPr>
            <w:tcW w:w="1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300" w:type="dxa"/>
            <w:vAlign w:val="bottom"/>
          </w:tcPr>
          <w:p>
            <w:pPr>
              <w:spacing w:after="0"/>
              <w:rPr>
                <w:sz w:val="19"/>
                <w:szCs w:val="19"/>
                <w:color w:val="auto"/>
              </w:rPr>
            </w:pPr>
          </w:p>
        </w:tc>
        <w:tc>
          <w:tcPr>
            <w:tcW w:w="8820" w:type="dxa"/>
            <w:vAlign w:val="bottom"/>
            <w:tcBorders>
              <w:top w:val="single" w:sz="8" w:color="auto"/>
            </w:tcBorders>
          </w:tcPr>
          <w:p>
            <w:pPr>
              <w:jc w:val="right"/>
              <w:ind w:right="4576"/>
              <w:spacing w:after="0"/>
              <w:rPr>
                <w:sz w:val="20"/>
                <w:szCs w:val="20"/>
                <w:color w:val="auto"/>
              </w:rPr>
            </w:pPr>
            <w:r>
              <w:rPr>
                <w:rFonts w:ascii="Arial" w:cs="Arial" w:eastAsia="Arial" w:hAnsi="Arial"/>
                <w:sz w:val="18"/>
                <w:szCs w:val="18"/>
                <w:color w:val="auto"/>
                <w:w w:val="88"/>
              </w:rPr>
              <w:t>Press release dated August 18, 2016 (furnished herewith).</w:t>
            </w:r>
          </w:p>
        </w:tc>
        <w:tc>
          <w:tcPr>
            <w:tcW w:w="220" w:type="dxa"/>
            <w:vAlign w:val="bottom"/>
          </w:tcPr>
          <w:p>
            <w:pPr>
              <w:spacing w:after="0"/>
              <w:rPr>
                <w:sz w:val="19"/>
                <w:szCs w:val="19"/>
                <w:color w:val="auto"/>
              </w:rPr>
            </w:pPr>
          </w:p>
        </w:tc>
      </w:tr>
      <w:tr>
        <w:trPr>
          <w:trHeight w:val="418"/>
        </w:trPr>
        <w:tc>
          <w:tcPr>
            <w:tcW w:w="9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20" w:type="dxa"/>
            <w:vAlign w:val="bottom"/>
          </w:tcPr>
          <w:p>
            <w:pPr>
              <w:jc w:val="right"/>
              <w:ind w:right="5396"/>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24"/>
                <w:szCs w:val="24"/>
                <w:color w:val="auto"/>
              </w:rPr>
            </w:pPr>
          </w:p>
        </w:tc>
      </w:tr>
      <w:tr>
        <w:trPr>
          <w:trHeight w:val="132"/>
        </w:trPr>
        <w:tc>
          <w:tcPr>
            <w:tcW w:w="98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882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20" w:type="dxa"/>
            <w:vAlign w:val="bottom"/>
            <w:gridSpan w:val="2"/>
          </w:tcPr>
          <w:p>
            <w:pPr>
              <w:ind w:left="3420"/>
              <w:spacing w:after="0"/>
              <w:rPr>
                <w:sz w:val="20"/>
                <w:szCs w:val="20"/>
                <w:color w:val="auto"/>
              </w:rPr>
            </w:pPr>
            <w:r>
              <w:rPr>
                <w:rFonts w:ascii="Arial" w:cs="Arial" w:eastAsia="Arial" w:hAnsi="Arial"/>
                <w:sz w:val="18"/>
                <w:szCs w:val="18"/>
                <w:color w:val="auto"/>
              </w:rPr>
              <w:t>THE TORO COMPANY</w:t>
            </w:r>
          </w:p>
        </w:tc>
        <w:tc>
          <w:tcPr>
            <w:tcW w:w="4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20" w:type="dxa"/>
            <w:vAlign w:val="bottom"/>
            <w:gridSpan w:val="2"/>
          </w:tcPr>
          <w:p>
            <w:pPr>
              <w:ind w:left="3420"/>
              <w:spacing w:after="0"/>
              <w:rPr>
                <w:sz w:val="20"/>
                <w:szCs w:val="20"/>
                <w:color w:val="auto"/>
              </w:rPr>
            </w:pPr>
            <w:r>
              <w:rPr>
                <w:rFonts w:ascii="Arial" w:cs="Arial" w:eastAsia="Arial" w:hAnsi="Arial"/>
                <w:sz w:val="18"/>
                <w:szCs w:val="18"/>
                <w:color w:val="auto"/>
              </w:rPr>
              <w:t>(Registrant)</w:t>
            </w:r>
          </w:p>
        </w:tc>
        <w:tc>
          <w:tcPr>
            <w:tcW w:w="40" w:type="dxa"/>
            <w:vAlign w:val="bottom"/>
          </w:tcPr>
          <w:p>
            <w:pPr>
              <w:spacing w:after="0"/>
              <w:rPr>
                <w:sz w:val="20"/>
                <w:szCs w:val="20"/>
                <w:color w:val="auto"/>
              </w:rPr>
            </w:pPr>
          </w:p>
        </w:tc>
      </w:tr>
      <w:tr>
        <w:trPr>
          <w:trHeight w:val="432"/>
        </w:trPr>
        <w:tc>
          <w:tcPr>
            <w:tcW w:w="2000" w:type="dxa"/>
            <w:vAlign w:val="bottom"/>
            <w:gridSpan w:val="2"/>
          </w:tcPr>
          <w:p>
            <w:pPr>
              <w:spacing w:after="0"/>
              <w:rPr>
                <w:sz w:val="20"/>
                <w:szCs w:val="20"/>
                <w:color w:val="auto"/>
              </w:rPr>
            </w:pPr>
            <w:r>
              <w:rPr>
                <w:rFonts w:ascii="Arial" w:cs="Arial" w:eastAsia="Arial" w:hAnsi="Arial"/>
                <w:sz w:val="18"/>
                <w:szCs w:val="18"/>
                <w:color w:val="auto"/>
              </w:rPr>
              <w:t>Date: August 18, 2016</w:t>
            </w:r>
          </w:p>
        </w:tc>
        <w:tc>
          <w:tcPr>
            <w:tcW w:w="400" w:type="dxa"/>
            <w:vAlign w:val="bottom"/>
          </w:tcPr>
          <w:p>
            <w:pPr>
              <w:spacing w:after="0"/>
              <w:rPr>
                <w:sz w:val="24"/>
                <w:szCs w:val="24"/>
                <w:color w:val="auto"/>
              </w:rPr>
            </w:pPr>
          </w:p>
        </w:tc>
        <w:tc>
          <w:tcPr>
            <w:tcW w:w="9020" w:type="dxa"/>
            <w:vAlign w:val="bottom"/>
            <w:gridSpan w:val="2"/>
          </w:tcPr>
          <w:p>
            <w:pPr>
              <w:ind w:left="3420"/>
              <w:spacing w:after="0"/>
              <w:rPr>
                <w:sz w:val="20"/>
                <w:szCs w:val="20"/>
                <w:color w:val="auto"/>
              </w:rPr>
            </w:pPr>
            <w:r>
              <w:rPr>
                <w:rFonts w:ascii="Arial" w:cs="Arial" w:eastAsia="Arial" w:hAnsi="Arial"/>
                <w:sz w:val="18"/>
                <w:szCs w:val="18"/>
                <w:color w:val="auto"/>
              </w:rPr>
              <w:t>By  /s/ Renee J. Peterson</w:t>
            </w:r>
          </w:p>
        </w:tc>
        <w:tc>
          <w:tcPr>
            <w:tcW w:w="40" w:type="dxa"/>
            <w:vAlign w:val="bottom"/>
          </w:tcPr>
          <w:p>
            <w:pPr>
              <w:spacing w:after="0"/>
              <w:rPr>
                <w:sz w:val="24"/>
                <w:szCs w:val="24"/>
                <w:color w:val="auto"/>
              </w:rPr>
            </w:pPr>
          </w:p>
        </w:tc>
      </w:tr>
      <w:tr>
        <w:trPr>
          <w:trHeight w:val="182"/>
        </w:trPr>
        <w:tc>
          <w:tcPr>
            <w:tcW w:w="2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800" w:type="dxa"/>
            <w:vAlign w:val="bottom"/>
          </w:tcPr>
          <w:p>
            <w:pPr>
              <w:ind w:left="3420"/>
              <w:spacing w:after="0" w:line="182" w:lineRule="exact"/>
              <w:rPr>
                <w:sz w:val="20"/>
                <w:szCs w:val="20"/>
                <w:color w:val="auto"/>
              </w:rPr>
            </w:pPr>
            <w:r>
              <w:rPr>
                <w:rFonts w:ascii="Arial" w:cs="Arial" w:eastAsia="Arial" w:hAnsi="Arial"/>
                <w:sz w:val="17"/>
                <w:szCs w:val="17"/>
                <w:color w:val="auto"/>
                <w:w w:val="71"/>
              </w:rPr>
              <w:t>Renee</w:t>
            </w:r>
          </w:p>
        </w:tc>
        <w:tc>
          <w:tcPr>
            <w:tcW w:w="5220" w:type="dxa"/>
            <w:vAlign w:val="bottom"/>
            <w:tcBorders>
              <w:top w:val="single" w:sz="8" w:color="auto"/>
            </w:tcBorders>
          </w:tcPr>
          <w:p>
            <w:pPr>
              <w:ind w:left="120"/>
              <w:spacing w:after="0" w:line="182" w:lineRule="exact"/>
              <w:rPr>
                <w:sz w:val="20"/>
                <w:szCs w:val="20"/>
                <w:color w:val="auto"/>
              </w:rPr>
            </w:pPr>
            <w:r>
              <w:rPr>
                <w:rFonts w:ascii="Arial" w:cs="Arial" w:eastAsia="Arial" w:hAnsi="Arial"/>
                <w:sz w:val="18"/>
                <w:szCs w:val="18"/>
                <w:color w:val="auto"/>
              </w:rPr>
              <w:t>J. Peterson</w:t>
            </w:r>
          </w:p>
        </w:tc>
        <w:tc>
          <w:tcPr>
            <w:tcW w:w="4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20" w:type="dxa"/>
            <w:vAlign w:val="bottom"/>
            <w:gridSpan w:val="2"/>
          </w:tcPr>
          <w:p>
            <w:pPr>
              <w:ind w:left="3420"/>
              <w:spacing w:after="0"/>
              <w:rPr>
                <w:sz w:val="20"/>
                <w:szCs w:val="20"/>
                <w:color w:val="auto"/>
              </w:rPr>
            </w:pPr>
            <w:r>
              <w:rPr>
                <w:rFonts w:ascii="Arial" w:cs="Arial" w:eastAsia="Arial" w:hAnsi="Arial"/>
                <w:sz w:val="18"/>
                <w:szCs w:val="18"/>
                <w:color w:val="auto"/>
              </w:rPr>
              <w:t>Vice President, Treasurer and</w:t>
            </w:r>
          </w:p>
        </w:tc>
        <w:tc>
          <w:tcPr>
            <w:tcW w:w="4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20" w:type="dxa"/>
            <w:vAlign w:val="bottom"/>
            <w:gridSpan w:val="2"/>
          </w:tcPr>
          <w:p>
            <w:pPr>
              <w:ind w:left="3420"/>
              <w:spacing w:after="0"/>
              <w:rPr>
                <w:sz w:val="20"/>
                <w:szCs w:val="20"/>
                <w:color w:val="auto"/>
              </w:rPr>
            </w:pPr>
            <w:r>
              <w:rPr>
                <w:rFonts w:ascii="Arial" w:cs="Arial" w:eastAsia="Arial" w:hAnsi="Arial"/>
                <w:sz w:val="18"/>
                <w:szCs w:val="18"/>
                <w:color w:val="auto"/>
              </w:rPr>
              <w:t>Chief Financial Officer</w:t>
            </w:r>
          </w:p>
        </w:tc>
        <w:tc>
          <w:tcPr>
            <w:tcW w:w="4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200" w:type="dxa"/>
            <w:vAlign w:val="bottom"/>
            <w:gridSpan w:val="2"/>
          </w:tcPr>
          <w:p>
            <w:pPr>
              <w:jc w:val="center"/>
              <w:ind w:left="3130"/>
              <w:spacing w:after="0"/>
              <w:rPr>
                <w:sz w:val="20"/>
                <w:szCs w:val="20"/>
                <w:color w:val="auto"/>
              </w:rPr>
            </w:pPr>
            <w:r>
              <w:rPr>
                <w:rFonts w:ascii="Arial" w:cs="Arial" w:eastAsia="Arial" w:hAnsi="Arial"/>
                <w:sz w:val="18"/>
                <w:szCs w:val="18"/>
                <w:color w:val="auto"/>
                <w:w w:val="99"/>
              </w:rPr>
              <w:t>4</w:t>
            </w:r>
          </w:p>
        </w:tc>
        <w:tc>
          <w:tcPr>
            <w:tcW w:w="52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198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9020" w:type="dxa"/>
            <w:vAlign w:val="bottom"/>
            <w:tcBorders>
              <w:bottom w:val="single" w:sz="8" w:color="808080"/>
            </w:tcBorders>
            <w:gridSpan w:val="2"/>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r>
        <w:trPr>
          <w:trHeight w:val="780"/>
        </w:trPr>
        <w:tc>
          <w:tcPr>
            <w:tcW w:w="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20" w:type="dxa"/>
            <w:vAlign w:val="bottom"/>
            <w:gridSpan w:val="2"/>
          </w:tcPr>
          <w:p>
            <w:pPr>
              <w:jc w:val="center"/>
              <w:ind w:right="2299"/>
              <w:spacing w:after="0"/>
              <w:rPr>
                <w:sz w:val="20"/>
                <w:szCs w:val="20"/>
                <w:color w:val="auto"/>
              </w:rPr>
            </w:pPr>
            <w:r>
              <w:rPr>
                <w:rFonts w:ascii="Arial" w:cs="Arial" w:eastAsia="Arial" w:hAnsi="Arial"/>
                <w:sz w:val="18"/>
                <w:szCs w:val="18"/>
                <w:b w:val="1"/>
                <w:bCs w:val="1"/>
                <w:color w:val="auto"/>
              </w:rPr>
              <w:t>EXHIBIT INDEX</w:t>
            </w:r>
          </w:p>
        </w:tc>
        <w:tc>
          <w:tcPr>
            <w:tcW w:w="40" w:type="dxa"/>
            <w:vAlign w:val="bottom"/>
          </w:tcPr>
          <w:p>
            <w:pPr>
              <w:spacing w:after="0"/>
              <w:rPr>
                <w:sz w:val="24"/>
                <w:szCs w:val="24"/>
                <w:color w:val="auto"/>
              </w:rPr>
            </w:pPr>
          </w:p>
        </w:tc>
      </w:tr>
      <w:tr>
        <w:trPr>
          <w:trHeight w:val="365"/>
        </w:trPr>
        <w:tc>
          <w:tcPr>
            <w:tcW w:w="2000" w:type="dxa"/>
            <w:vAlign w:val="bottom"/>
            <w:gridSpan w:val="2"/>
          </w:tcPr>
          <w:p>
            <w:pPr>
              <w:spacing w:after="0"/>
              <w:rPr>
                <w:sz w:val="20"/>
                <w:szCs w:val="20"/>
                <w:color w:val="auto"/>
              </w:rPr>
            </w:pPr>
            <w:r>
              <w:rPr>
                <w:rFonts w:ascii="Arial" w:cs="Arial" w:eastAsia="Arial" w:hAnsi="Arial"/>
                <w:sz w:val="14"/>
                <w:szCs w:val="14"/>
                <w:b w:val="1"/>
                <w:bCs w:val="1"/>
                <w:color w:val="auto"/>
              </w:rPr>
              <w:t>EXHIBIT NUMBER</w:t>
            </w:r>
          </w:p>
        </w:tc>
        <w:tc>
          <w:tcPr>
            <w:tcW w:w="40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5220" w:type="dxa"/>
            <w:vAlign w:val="bottom"/>
          </w:tcPr>
          <w:p>
            <w:pPr>
              <w:ind w:left="20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r>
      <w:tr>
        <w:trPr>
          <w:trHeight w:val="224"/>
        </w:trPr>
        <w:tc>
          <w:tcPr>
            <w:tcW w:w="20" w:type="dxa"/>
            <w:vAlign w:val="bottom"/>
          </w:tcPr>
          <w:p>
            <w:pPr>
              <w:spacing w:after="0"/>
              <w:rPr>
                <w:sz w:val="19"/>
                <w:szCs w:val="19"/>
                <w:color w:val="auto"/>
              </w:rPr>
            </w:pPr>
          </w:p>
        </w:tc>
        <w:tc>
          <w:tcPr>
            <w:tcW w:w="19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400" w:type="dxa"/>
            <w:vAlign w:val="bottom"/>
          </w:tcPr>
          <w:p>
            <w:pPr>
              <w:spacing w:after="0"/>
              <w:rPr>
                <w:sz w:val="19"/>
                <w:szCs w:val="19"/>
                <w:color w:val="auto"/>
              </w:rPr>
            </w:pPr>
          </w:p>
        </w:tc>
        <w:tc>
          <w:tcPr>
            <w:tcW w:w="90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Press release dated August 18, 2016 (furnished herewith).</w:t>
            </w:r>
          </w:p>
        </w:tc>
        <w:tc>
          <w:tcPr>
            <w:tcW w:w="40" w:type="dxa"/>
            <w:vAlign w:val="bottom"/>
          </w:tcPr>
          <w:p>
            <w:pPr>
              <w:spacing w:after="0"/>
              <w:rPr>
                <w:sz w:val="19"/>
                <w:szCs w:val="19"/>
                <w:color w:val="auto"/>
              </w:rPr>
            </w:pPr>
          </w:p>
        </w:tc>
      </w:tr>
      <w:tr>
        <w:trPr>
          <w:trHeight w:val="418"/>
        </w:trPr>
        <w:tc>
          <w:tcPr>
            <w:tcW w:w="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200" w:type="dxa"/>
            <w:vAlign w:val="bottom"/>
            <w:gridSpan w:val="2"/>
          </w:tcPr>
          <w:p>
            <w:pPr>
              <w:jc w:val="center"/>
              <w:ind w:left="3130"/>
              <w:spacing w:after="0"/>
              <w:rPr>
                <w:sz w:val="20"/>
                <w:szCs w:val="20"/>
                <w:color w:val="auto"/>
              </w:rPr>
            </w:pPr>
            <w:r>
              <w:rPr>
                <w:rFonts w:ascii="Arial" w:cs="Arial" w:eastAsia="Arial" w:hAnsi="Arial"/>
                <w:sz w:val="18"/>
                <w:szCs w:val="18"/>
                <w:color w:val="auto"/>
                <w:w w:val="99"/>
              </w:rPr>
              <w:t>5</w:t>
            </w:r>
          </w:p>
        </w:tc>
        <w:tc>
          <w:tcPr>
            <w:tcW w:w="52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198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3800" w:type="dxa"/>
            <w:vAlign w:val="bottom"/>
            <w:tcBorders>
              <w:bottom w:val="single" w:sz="8" w:color="808080"/>
            </w:tcBorders>
          </w:tcPr>
          <w:p>
            <w:pPr>
              <w:spacing w:after="0"/>
              <w:rPr>
                <w:sz w:val="11"/>
                <w:szCs w:val="11"/>
                <w:color w:val="auto"/>
              </w:rPr>
            </w:pPr>
          </w:p>
        </w:tc>
        <w:tc>
          <w:tcPr>
            <w:tcW w:w="52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-1272540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-1272540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18" w:right="19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1071880" cy="7289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71880" cy="72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Heather Hille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Director,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(952) 887-8923, heather.hille@toro.com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Branden Happel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Manager, Public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(952) 887-8930, branden.happel@toro.com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Immediate Release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Toro Company Reports Record Third Quarter Earnings; Declares 2-for-1 Stock Split</w:t>
      </w:r>
    </w:p>
    <w:p>
      <w:pPr>
        <w:spacing w:after="0" w:line="229" w:lineRule="exact"/>
        <w:rPr>
          <w:sz w:val="20"/>
          <w:szCs w:val="20"/>
          <w:color w:val="auto"/>
        </w:rPr>
      </w:pPr>
    </w:p>
    <w:p>
      <w:pPr>
        <w:ind w:left="300" w:hanging="292"/>
        <w:spacing w:after="0"/>
        <w:tabs>
          <w:tab w:leader="none" w:pos="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earnings per share for the quarter up 6.4 percent to a record $1.00</w:t>
      </w:r>
    </w:p>
    <w:p>
      <w:pPr>
        <w:spacing w:after="0" w:line="23" w:lineRule="exact"/>
        <w:rPr>
          <w:rFonts w:ascii="Arial" w:cs="Arial" w:eastAsia="Arial" w:hAnsi="Arial"/>
          <w:sz w:val="18"/>
          <w:szCs w:val="18"/>
          <w:color w:val="auto"/>
        </w:rPr>
      </w:pPr>
    </w:p>
    <w:p>
      <w:pPr>
        <w:ind w:left="300" w:hanging="292"/>
        <w:spacing w:after="0"/>
        <w:tabs>
          <w:tab w:leader="none" w:pos="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Record operating results driven by solid professional segment performance</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Board of Directors declares two-for-one-stock split</w:t>
      </w:r>
    </w:p>
    <w:p>
      <w:pPr>
        <w:spacing w:after="0" w:line="21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BLOOMINGTON, Minn. (August 18, 2016) — The Toro Company (NYSE: TTC) today reported net earnings of $55.8 million, or $1.00 per share, on net sales of $601 million, a decrease of 1.4 percent, for its fiscal third quarter ended July 29, 2016. In the comparable fiscal 2015 period, the company delivered net earnings of $53.3 million, or $0.94 per share, on net sales of $609.6 million.</w:t>
      </w:r>
    </w:p>
    <w:p>
      <w:pPr>
        <w:spacing w:after="0" w:line="181"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color w:val="auto"/>
        </w:rPr>
        <w:t>For the first nine months, Toro reported net earnings of $200.8 million, or $3.58 per share, on a net sales increase of 0.7 percent to $1.924 billion. In the comparable fiscal 2015 period, the company posted net earnings of $178 million, or $3.13 per share, on net sales of $1.910 billion.</w:t>
      </w:r>
    </w:p>
    <w:p>
      <w:pPr>
        <w:spacing w:after="0" w:line="14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“In spite of challenging weather and currency conditions and the resulting impact on our revenues, we are pleased to deliver another solid quarter achieving record earnings. The strong performance within our professional businesses driven by new product introductions and outstanding execution by the team, fueled growth in that segment for the quarter,” said Michael J. Hoffman, Toro’s chairman and chief executive officer. “We see positive momentum in our golf equipment and irrigation businesses as we gain share in key markets. Additionally, our specialty construction and rental businesses are experiencing solid growth and are benefitting from new product introductions like the Dingo® TX 1000 compact utility loader.”</w:t>
      </w:r>
    </w:p>
    <w:p>
      <w:pPr>
        <w:spacing w:after="0" w:line="173"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“With mixed consumer retail activity in the quarter, as was felt across the industry, we were encouraged by overall retail demand for our walk power and zero turn riding mower products during the summer months,” said Hoffman. “We performed well despite sluggish sales in certain regions that experienced challenging weather conditions.”</w:t>
      </w:r>
    </w:p>
    <w:p>
      <w:pPr>
        <w:spacing w:after="0" w:line="181"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“With the fourth quarter underway, we continue to see positive retail sales across our businesses. Additionally, in our snow and ice management businesses, we are well positioned with new innovative products as the preseason begins. I would like to take this opportunity to thank our worldwide employees and channel partners for their hard work and dedication. It is their tireless commitment to excellence that drives the company’s steady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168910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company is narrowing its full-year earnings outlook to about $3.95 to $4.00 per share. Full-year revenue growth expectations for fiscal 2016 have also been narrowed to flat to up 1 percent.</w:t>
      </w:r>
    </w:p>
    <w:p>
      <w:pPr>
        <w:spacing w:after="0" w:line="170"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Toro also announced today that its Board of Directors has declared a two-for-one split of the company’s common stock, which will be effected in the form of a 100 percent stock dividend. The stock dividend will be distributed on September 16, 2016 to shareholders of record as of September 1, 2016.</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SEGMENT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Professional</w:t>
      </w:r>
    </w:p>
    <w:p>
      <w:pPr>
        <w:spacing w:after="0" w:line="229" w:lineRule="exact"/>
        <w:rPr>
          <w:sz w:val="20"/>
          <w:szCs w:val="20"/>
          <w:color w:val="auto"/>
        </w:rPr>
      </w:pPr>
    </w:p>
    <w:p>
      <w:pPr>
        <w:ind w:left="340" w:right="20" w:hanging="332"/>
        <w:spacing w:after="0" w:line="276" w:lineRule="auto"/>
        <w:tabs>
          <w:tab w:leader="none" w:pos="304" w:val="left"/>
        </w:tabs>
        <w:numPr>
          <w:ilvl w:val="0"/>
          <w:numId w:val="4"/>
        </w:numPr>
        <w:rPr>
          <w:rFonts w:ascii="Arial" w:cs="Arial" w:eastAsia="Arial" w:hAnsi="Arial"/>
          <w:sz w:val="17"/>
          <w:szCs w:val="17"/>
          <w:color w:val="auto"/>
        </w:rPr>
      </w:pPr>
      <w:r>
        <w:rPr>
          <w:rFonts w:ascii="Arial" w:cs="Arial" w:eastAsia="Arial" w:hAnsi="Arial"/>
          <w:sz w:val="17"/>
          <w:szCs w:val="17"/>
          <w:color w:val="auto"/>
        </w:rPr>
        <w:t>Professional segment net sales for the third quarter totaled $427.8 million, up 1.4 percent from $422 million in the same period last year. For the first nine months, professional segment net sales were $1.362 billion, up 3.6 percent from the comparable fiscal 2015 period. Momentum generated in our golf equipment and irrigation businesses produced positive results for the quarter and the year. Additionally, continued demand for products such as our Dingo TX 1000 compact utility loader in both the rental and specialty construction businesses contributed to the growth for both periods. For the quarter, these gains were offset by lower channel demand for our landscape contractor equipment.</w:t>
      </w:r>
    </w:p>
    <w:p>
      <w:pPr>
        <w:spacing w:after="0" w:line="172" w:lineRule="exact"/>
        <w:rPr>
          <w:rFonts w:ascii="Arial" w:cs="Arial" w:eastAsia="Arial" w:hAnsi="Arial"/>
          <w:sz w:val="17"/>
          <w:szCs w:val="17"/>
          <w:color w:val="auto"/>
        </w:rPr>
      </w:pPr>
    </w:p>
    <w:p>
      <w:pPr>
        <w:ind w:left="340" w:right="100" w:hanging="332"/>
        <w:spacing w:after="0" w:line="308" w:lineRule="auto"/>
        <w:tabs>
          <w:tab w:leader="none" w:pos="304" w:val="left"/>
        </w:tabs>
        <w:numPr>
          <w:ilvl w:val="0"/>
          <w:numId w:val="4"/>
        </w:numPr>
        <w:rPr>
          <w:rFonts w:ascii="Arial" w:cs="Arial" w:eastAsia="Arial" w:hAnsi="Arial"/>
          <w:sz w:val="17"/>
          <w:szCs w:val="17"/>
          <w:color w:val="auto"/>
        </w:rPr>
      </w:pPr>
      <w:r>
        <w:rPr>
          <w:rFonts w:ascii="Arial" w:cs="Arial" w:eastAsia="Arial" w:hAnsi="Arial"/>
          <w:sz w:val="17"/>
          <w:szCs w:val="17"/>
          <w:color w:val="auto"/>
        </w:rPr>
        <w:t>Professional segment earnings for the third quarter totaled $89.1 million, up 8.3 percent from $82.3 million in the same period last year. For the first nine months, professional segment earnings were $292.3 million, up 13.0 percent from $258.7 million in the comparable fiscal 2015 period.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Residential</w:t>
      </w:r>
    </w:p>
    <w:p>
      <w:pPr>
        <w:spacing w:after="0" w:line="229" w:lineRule="exact"/>
        <w:rPr>
          <w:sz w:val="20"/>
          <w:szCs w:val="20"/>
          <w:color w:val="auto"/>
        </w:rPr>
      </w:pPr>
    </w:p>
    <w:p>
      <w:pPr>
        <w:ind w:left="340" w:right="40" w:hanging="332"/>
        <w:spacing w:after="0" w:line="302" w:lineRule="auto"/>
        <w:tabs>
          <w:tab w:leader="none" w:pos="304" w:val="left"/>
        </w:tabs>
        <w:numPr>
          <w:ilvl w:val="0"/>
          <w:numId w:val="5"/>
        </w:numPr>
        <w:rPr>
          <w:rFonts w:ascii="Arial" w:cs="Arial" w:eastAsia="Arial" w:hAnsi="Arial"/>
          <w:sz w:val="16"/>
          <w:szCs w:val="16"/>
          <w:color w:val="auto"/>
        </w:rPr>
      </w:pPr>
      <w:r>
        <w:rPr>
          <w:rFonts w:ascii="Arial" w:cs="Arial" w:eastAsia="Arial" w:hAnsi="Arial"/>
          <w:sz w:val="16"/>
          <w:szCs w:val="16"/>
          <w:color w:val="auto"/>
        </w:rPr>
        <w:t>Residential segment net sales for the third quarter were $167.8 million, down 4.6 percent from $176 million in the same period last year. For the first nine months, residential segment net sales were $550.3 million, down 4.9 percent from the comparable fiscal 2015 period. The sales decline for the quarter was due primarily to reduced worldwide channel demand for walk power and riding mowers. The decrease was somewhat offset by higher shipments of snow products in the quarter. Decreased worldwide sales of zero turn riding mowers and snow product contributed to the decline for the year.</w:t>
      </w:r>
    </w:p>
    <w:p>
      <w:pPr>
        <w:sectPr>
          <w:pgSz w:w="11900" w:h="16838" w:orient="portrait"/>
          <w:cols w:equalWidth="0" w:num="1">
            <w:col w:w="11420"/>
          </w:cols>
          <w:pgMar w:left="240" w:top="121" w:right="239" w:bottom="0" w:gutter="0" w:footer="0" w:header="0"/>
        </w:sectPr>
      </w:pPr>
    </w:p>
    <w:bookmarkStart w:id="3" w:name="page4"/>
    <w:bookmarkEnd w:id="3"/>
    <w:p>
      <w:pPr>
        <w:ind w:left="340" w:right="160" w:hanging="332"/>
        <w:spacing w:after="0" w:line="308" w:lineRule="auto"/>
        <w:tabs>
          <w:tab w:leader="none" w:pos="304" w:val="left"/>
        </w:tabs>
        <w:numPr>
          <w:ilvl w:val="0"/>
          <w:numId w:val="6"/>
        </w:numPr>
        <w:rPr>
          <w:rFonts w:ascii="Arial" w:cs="Arial" w:eastAsia="Arial" w:hAnsi="Arial"/>
          <w:sz w:val="17"/>
          <w:szCs w:val="17"/>
          <w:color w:val="auto"/>
        </w:rPr>
      </w:pPr>
      <w:r>
        <w:rPr>
          <w:rFonts w:ascii="Arial" w:cs="Arial" w:eastAsia="Arial" w:hAnsi="Arial"/>
          <w:sz w:val="17"/>
          <w:szCs w:val="17"/>
          <w:color w:val="auto"/>
        </w:rPr>
        <w:t>Residential segment earnings for the third quarter were $12.8 million, down 37.9 percent from $20.6 million from the same period last year. For the first nine months, residential segment earnings were $64.5 million, down 6.7 percent from the comparable fiscal 2015 period.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RESULTS</w:t>
      </w:r>
    </w:p>
    <w:p>
      <w:pPr>
        <w:spacing w:after="0" w:line="229"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Gross margin as a percent of sales for the third quarter was 36.0 percent, an increase of 50 basis points from the same period last year. The increase was primarily due to favorable commodities, enhanced productivity and segment mix. For the first nine months, gross margin as a percent of sales was 36.5 percent, an increase of 160 basis points from the same period last year, also primarily due to favorable commodities, enhanced productivity and segment mix. These gains were offset by the impact of unfavorable currency exchange rates in both periods.</w:t>
      </w:r>
    </w:p>
    <w:p>
      <w:pPr>
        <w:spacing w:after="0" w:line="171"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Selling, general and administrative (SG&amp;A) expense as a percent of sales for the third quarter was 22.4 percent, a decrease of 10 basis points from the same period last year. For the first nine months, SG&amp;A expense as a percent of sales was 21.4 percent, an increase of 20 basis points from the comparable period last year.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Operating earnings as a percent of sales for the third quarter was 13.6 percent, an increase of 60 basis points from the comparable period last year. Operating earnings as a percent of sales for the first nine months was 15.1 percent, an increase of 140 basis points from the same period last year.</w:t>
      </w:r>
    </w:p>
    <w:p>
      <w:pPr>
        <w:spacing w:after="0" w:line="14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effective tax rate for the third quarter was 30.9 percent, compared to 31.3 percent last year. For the first nine months, the effective tax rate was 30.5 percent, compared to 30.4 percent in the same period last year.</w:t>
      </w:r>
    </w:p>
    <w:p>
      <w:pPr>
        <w:spacing w:after="0" w:line="17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Accounts receivable at the end of the third quarter totaled $202.4 million, down 11.2 percent compared to last year. Net inventories were $327.1 million, down 6.6 percent and trade payables were $172.2 million, up 1.3 percent compared to the same period last year.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Toro Company</w:t>
      </w:r>
    </w:p>
    <w:p>
      <w:pPr>
        <w:spacing w:after="0" w:line="22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 xml:space="preserve">The Toro Company (NYSE: TTC) is a leading worldwide provider of innovative solutions for the outdoor environment, including turf, snow and ground engaging equipment and irrigation and outdoor lighting solutions. With sales of $2.4 billion in fiscal 2015, Toro’s global presence extends to more than 90 countries. Through constant innovation and caring relationships built on trust and integrity, Toro and its family of brands have built a legacy of excellence by helping customers care for golf courses, landscapes, sports fields, public green spaces, commercial and residential properties and agricultural fields. For more information, visit </w:t>
      </w:r>
      <w:r>
        <w:rPr>
          <w:rFonts w:ascii="Arial" w:cs="Arial" w:eastAsia="Arial" w:hAnsi="Arial"/>
          <w:sz w:val="17"/>
          <w:szCs w:val="17"/>
          <w:color w:val="auto"/>
        </w:rPr>
        <w:t>www.thetorocompany.com.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LIVE CONFERENCE CALL</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August 18, 2016 at 10:00 a.m. CDT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www.thetorocompany.com/invest</w:t>
      </w:r>
    </w:p>
    <w:p>
      <w:pPr>
        <w:spacing w:after="0" w:line="211" w:lineRule="exact"/>
        <w:rPr>
          <w:sz w:val="20"/>
          <w:szCs w:val="20"/>
          <w:color w:val="auto"/>
        </w:rPr>
      </w:pPr>
    </w:p>
    <w:p>
      <w:pPr>
        <w:spacing w:after="0" w:line="264" w:lineRule="auto"/>
        <w:rPr>
          <w:sz w:val="20"/>
          <w:szCs w:val="20"/>
          <w:color w:val="auto"/>
        </w:rPr>
      </w:pPr>
      <w:r>
        <w:rPr>
          <w:rFonts w:ascii="Arial" w:cs="Arial" w:eastAsia="Arial" w:hAnsi="Arial"/>
          <w:sz w:val="18"/>
          <w:szCs w:val="18"/>
          <w:i w:val="1"/>
          <w:iCs w:val="1"/>
          <w:color w:val="auto"/>
        </w:rPr>
        <w:t>The Toro Company will conduct its earnings call and webcast for investors beginning at 10:00 a.m. CDT on August 18, 2016. The webcast will be available at www.streetevents.com or at www.thetorocompany.com/invest. Webcast participants will need to complete a brief registration form and should allocate extra time before the webcast begins to register and, if necessary, download and install audio software.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This news release contains forward-looking statements, which are being made pursuant to the safe harbor provisions of the Private Securities Litigation Reform Act of 1995. These forward-looking statements are based on management’s current assumptions and expectations of future events, and often can be identified by words such as “expect,” “strive,” “looking ahead,” “outlook,” “guidance,” “forecast,” “goal,” “optimistic,” “anticipate,” “continue,” “plan,” “estimate,” “project,” “believe,” “should,” “could,” “will,” “would,” “possible,” “may,” “likely,” “intend,” “can,” “seek,” “potential,” “pro forma,” or the negative thereof or similar expressions. Forward-looking statements involve risks and uncertainties that could cause actual events and results to differ materially from those projected or implied. Particular risks and uncertainties that may affect our operating results or financial position include: worldwide economic conditions, including slow or negative growth rates in global and domestic economies and weakened consumer confidence; disruption at our manufacturing or distribution facilities, including drug cartel-related violence affecting our maquiladora operations in Juarez, Mexico; fluctuations in the cost and availability of raw materials and components, including steel, engines, hydraulics and resins; the impact of abnormal weather patterns, including unfavorable weather conditions exacerbated by global climate change or otherwise; the impact of natural disasters and global pandemics; the level of growth or contraction in our key markets; government and municipal revenue, budget and spending levels; dependence on The Home Depot as a customer for our residential business; elimination of shelf space for our products at dealers or retailers; inventory adjustments or changes in purchasing patterns by our customers; our ability to develop and achieve market acceptance for new products; increased competition; the risks attendant to international operations and markets, including political, economic and/or social instability, tax policies in the countries in which we manufacture or sell our products, and implications of the United Kingdom’s vote to exit the European Union; foreign currency exchange rate fluctuations; our relationships with our distribution channel partners, including the financial viability of our distributors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and dealers; risks associated with acquisitions, including our acquisition of the BOSS® professional snow and ice management business; management of our alliances or joint ventures, including Red Iron Acceptance, LLC; the costs and effects of enactment of, changes in and compliance with laws, regulations and standards, including those relating to consumer product safety, conflict mineral disclosure, taxation, healthcare, and environmental, health and safety matters; unforeseen product quality problems; loss of or changes in executive management or key employees; the occurrence of litigation or claims, including those involving intellectual property or product liability matters; and other risks and uncertainties described in our most recent annual report on Form 10-K, subsequent quarterly reports on Form 10-Q, and other filings with the Securities and Exchange Commission. We make no commitment to revise or update any forward-looking statements in order to reflect events or circumstances occurring or existing after the date any forward-looking statement is made.</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tables follow)</w:t>
      </w:r>
    </w:p>
    <w:p>
      <w:pPr>
        <w:sectPr>
          <w:pgSz w:w="11900" w:h="16838" w:orient="portrait"/>
          <w:cols w:equalWidth="0" w:num="1">
            <w:col w:w="11420"/>
          </w:cols>
          <w:pgMar w:left="240" w:top="125" w:right="239" w:bottom="0" w:gutter="0" w:footer="0" w:header="0"/>
        </w:sectPr>
      </w:pPr>
    </w:p>
    <w:bookmarkStart w:id="4" w:name="page5"/>
    <w:bookmarkEnd w:id="4"/>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THE TORO COMPANY AND SUBSIDIARIES</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Condensed Consolidated Statements of Earnings (Unaudited)</w:t>
      </w:r>
    </w:p>
    <w:p>
      <w:pPr>
        <w:spacing w:after="0" w:line="9"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(Dollars and shares in thousands, except per-share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940" w:type="dxa"/>
            <w:vAlign w:val="bottom"/>
            <w:gridSpan w:val="8"/>
          </w:tcPr>
          <w:p>
            <w:pPr>
              <w:jc w:val="right"/>
              <w:ind w:right="106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60" w:type="dxa"/>
            <w:vAlign w:val="bottom"/>
            <w:gridSpan w:val="9"/>
          </w:tcPr>
          <w:p>
            <w:pPr>
              <w:jc w:val="right"/>
              <w:ind w:right="1040"/>
              <w:spacing w:after="0"/>
              <w:rPr>
                <w:sz w:val="20"/>
                <w:szCs w:val="20"/>
                <w:color w:val="auto"/>
              </w:rPr>
            </w:pPr>
            <w:r>
              <w:rPr>
                <w:rFonts w:ascii="Arial" w:cs="Arial" w:eastAsia="Arial" w:hAnsi="Arial"/>
                <w:sz w:val="14"/>
                <w:szCs w:val="14"/>
                <w:b w:val="1"/>
                <w:bCs w:val="1"/>
                <w:color w:val="auto"/>
              </w:rPr>
              <w:t>Nine Months Ended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380" w:type="dxa"/>
            <w:vAlign w:val="bottom"/>
            <w:tcBorders>
              <w:top w:val="single" w:sz="8" w:color="auto"/>
            </w:tcBorders>
            <w:gridSpan w:val="3"/>
          </w:tcPr>
          <w:p>
            <w:pPr>
              <w:jc w:val="center"/>
              <w:ind w:right="540"/>
              <w:spacing w:after="0" w:line="119" w:lineRule="exact"/>
              <w:rPr>
                <w:sz w:val="20"/>
                <w:szCs w:val="20"/>
                <w:color w:val="auto"/>
              </w:rPr>
            </w:pPr>
            <w:r>
              <w:rPr>
                <w:rFonts w:ascii="Arial" w:cs="Arial" w:eastAsia="Arial" w:hAnsi="Arial"/>
                <w:sz w:val="13"/>
                <w:szCs w:val="13"/>
                <w:b w:val="1"/>
                <w:bCs w:val="1"/>
                <w:color w:val="auto"/>
              </w:rPr>
              <w:t>July 29,</w:t>
            </w:r>
          </w:p>
        </w:tc>
        <w:tc>
          <w:tcPr>
            <w:tcW w:w="2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jc w:val="right"/>
              <w:ind w:right="334"/>
              <w:spacing w:after="0" w:line="119" w:lineRule="exact"/>
              <w:rPr>
                <w:sz w:val="20"/>
                <w:szCs w:val="20"/>
                <w:color w:val="auto"/>
              </w:rPr>
            </w:pPr>
            <w:r>
              <w:rPr>
                <w:rFonts w:ascii="Arial" w:cs="Arial" w:eastAsia="Arial" w:hAnsi="Arial"/>
                <w:sz w:val="13"/>
                <w:szCs w:val="13"/>
                <w:b w:val="1"/>
                <w:bCs w:val="1"/>
                <w:color w:val="auto"/>
              </w:rPr>
              <w:t>July 31,</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gridSpan w:val="3"/>
          </w:tcPr>
          <w:p>
            <w:pPr>
              <w:jc w:val="right"/>
              <w:ind w:right="720"/>
              <w:spacing w:after="0" w:line="119" w:lineRule="exact"/>
              <w:rPr>
                <w:sz w:val="20"/>
                <w:szCs w:val="20"/>
                <w:color w:val="auto"/>
              </w:rPr>
            </w:pPr>
            <w:r>
              <w:rPr>
                <w:rFonts w:ascii="Arial" w:cs="Arial" w:eastAsia="Arial" w:hAnsi="Arial"/>
                <w:sz w:val="13"/>
                <w:szCs w:val="13"/>
                <w:b w:val="1"/>
                <w:bCs w:val="1"/>
                <w:color w:val="auto"/>
              </w:rPr>
              <w:t>July 29,</w:t>
            </w:r>
          </w:p>
        </w:tc>
        <w:tc>
          <w:tcPr>
            <w:tcW w:w="6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jc w:val="right"/>
              <w:ind w:right="354"/>
              <w:spacing w:after="0" w:line="119" w:lineRule="exact"/>
              <w:rPr>
                <w:sz w:val="20"/>
                <w:szCs w:val="20"/>
                <w:color w:val="auto"/>
              </w:rPr>
            </w:pPr>
            <w:r>
              <w:rPr>
                <w:rFonts w:ascii="Arial" w:cs="Arial" w:eastAsia="Arial" w:hAnsi="Arial"/>
                <w:sz w:val="13"/>
                <w:szCs w:val="13"/>
                <w:b w:val="1"/>
                <w:bCs w:val="1"/>
                <w:color w:val="auto"/>
              </w:rPr>
              <w:t>July 31,</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222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195"/>
              <w:spacing w:after="0"/>
              <w:rPr>
                <w:sz w:val="20"/>
                <w:szCs w:val="20"/>
                <w:color w:val="auto"/>
              </w:rPr>
            </w:pPr>
            <w:r>
              <w:rPr>
                <w:rFonts w:ascii="Arial" w:cs="Arial" w:eastAsia="Arial" w:hAnsi="Arial"/>
                <w:sz w:val="14"/>
                <w:szCs w:val="14"/>
                <w:b w:val="1"/>
                <w:bCs w:val="1"/>
                <w:color w:val="auto"/>
                <w:w w:val="96"/>
              </w:rPr>
              <w:t>2016</w:t>
            </w:r>
          </w:p>
        </w:tc>
        <w:tc>
          <w:tcPr>
            <w:tcW w:w="2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sales</w:t>
            </w: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600,980</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10"/>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609,615</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ind w:right="110"/>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1,923,819</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1,910,068</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3"/>
          </w:tcPr>
          <w:p>
            <w:pPr>
              <w:ind w:left="180"/>
              <w:spacing w:after="0"/>
              <w:rPr>
                <w:sz w:val="20"/>
                <w:szCs w:val="20"/>
                <w:color w:val="auto"/>
              </w:rPr>
            </w:pPr>
            <w:r>
              <w:rPr>
                <w:rFonts w:ascii="Arial" w:cs="Arial" w:eastAsia="Arial" w:hAnsi="Arial"/>
                <w:sz w:val="18"/>
                <w:szCs w:val="18"/>
                <w:color w:val="auto"/>
              </w:rPr>
              <w:t>Gross profit</w:t>
            </w: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216,617</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216,390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702,458</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667,361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Gross profit percent</w:t>
            </w: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36.0%</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35.5%</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36.5%</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34.9%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3"/>
          </w:tcPr>
          <w:p>
            <w:pPr>
              <w:spacing w:after="0"/>
              <w:rPr>
                <w:sz w:val="20"/>
                <w:szCs w:val="20"/>
                <w:color w:val="auto"/>
              </w:rPr>
            </w:pPr>
            <w:r>
              <w:rPr>
                <w:rFonts w:ascii="Arial" w:cs="Arial" w:eastAsia="Arial" w:hAnsi="Arial"/>
                <w:sz w:val="18"/>
                <w:szCs w:val="18"/>
                <w:color w:val="auto"/>
                <w:w w:val="99"/>
              </w:rPr>
              <w:t>Selling, general, and administrative expense</w:t>
            </w: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134,664</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136,985</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411,576</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405,079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40" w:type="dxa"/>
            <w:vAlign w:val="bottom"/>
            <w:tcBorders>
              <w:top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Operating earnings</w:t>
            </w:r>
          </w:p>
        </w:tc>
        <w:tc>
          <w:tcPr>
            <w:tcW w:w="1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81,953</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79,405</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290,882</w:t>
            </w: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262,282</w:t>
            </w: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3"/>
          </w:tcPr>
          <w:p>
            <w:pPr>
              <w:spacing w:after="0"/>
              <w:rPr>
                <w:sz w:val="20"/>
                <w:szCs w:val="20"/>
                <w:color w:val="auto"/>
              </w:rPr>
            </w:pPr>
            <w:r>
              <w:rPr>
                <w:rFonts w:ascii="Arial" w:cs="Arial" w:eastAsia="Arial" w:hAnsi="Arial"/>
                <w:sz w:val="18"/>
                <w:szCs w:val="18"/>
                <w:color w:val="auto"/>
              </w:rPr>
              <w:t>Interest expense</w:t>
            </w: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3"/>
          </w:tcPr>
          <w:p>
            <w:pPr>
              <w:jc w:val="right"/>
              <w:ind w:right="220"/>
              <w:spacing w:after="0"/>
              <w:rPr>
                <w:sz w:val="20"/>
                <w:szCs w:val="20"/>
                <w:color w:val="auto"/>
              </w:rPr>
            </w:pPr>
            <w:r>
              <w:rPr>
                <w:rFonts w:ascii="Arial" w:cs="Arial" w:eastAsia="Arial" w:hAnsi="Arial"/>
                <w:sz w:val="18"/>
                <w:szCs w:val="18"/>
                <w:color w:val="auto"/>
              </w:rPr>
              <w:t>(4,646)</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3"/>
          </w:tcPr>
          <w:p>
            <w:pPr>
              <w:jc w:val="right"/>
              <w:ind w:right="160"/>
              <w:spacing w:after="0"/>
              <w:rPr>
                <w:sz w:val="20"/>
                <w:szCs w:val="20"/>
                <w:color w:val="auto"/>
              </w:rPr>
            </w:pPr>
            <w:r>
              <w:rPr>
                <w:rFonts w:ascii="Arial" w:cs="Arial" w:eastAsia="Arial" w:hAnsi="Arial"/>
                <w:sz w:val="18"/>
                <w:szCs w:val="18"/>
                <w:color w:val="auto"/>
              </w:rPr>
              <w:t>(4,587)</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rPr>
              <w:t>(14,021)</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4"/>
          </w:tcPr>
          <w:p>
            <w:pPr>
              <w:jc w:val="right"/>
              <w:ind w:right="100"/>
              <w:spacing w:after="0"/>
              <w:rPr>
                <w:sz w:val="20"/>
                <w:szCs w:val="20"/>
                <w:color w:val="auto"/>
              </w:rPr>
            </w:pPr>
            <w:r>
              <w:rPr>
                <w:rFonts w:ascii="Arial" w:cs="Arial" w:eastAsia="Arial" w:hAnsi="Arial"/>
                <w:sz w:val="18"/>
                <w:szCs w:val="18"/>
                <w:color w:val="auto"/>
              </w:rPr>
              <w:t>(14,071)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3,480</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2,798</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11,865</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7,515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40" w:type="dxa"/>
            <w:vAlign w:val="bottom"/>
            <w:gridSpan w:val="3"/>
          </w:tcPr>
          <w:p>
            <w:pPr>
              <w:ind w:left="160"/>
              <w:spacing w:after="0"/>
              <w:rPr>
                <w:sz w:val="20"/>
                <w:szCs w:val="20"/>
                <w:color w:val="auto"/>
              </w:rPr>
            </w:pPr>
            <w:r>
              <w:rPr>
                <w:rFonts w:ascii="Arial" w:cs="Arial" w:eastAsia="Arial" w:hAnsi="Arial"/>
                <w:sz w:val="18"/>
                <w:szCs w:val="18"/>
                <w:color w:val="auto"/>
              </w:rPr>
              <w:t>Earnings before income taxes</w:t>
            </w: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80,787</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77,616</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288,726</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255,726</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24,965</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24,292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87,962</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77,689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540" w:type="dxa"/>
            <w:vAlign w:val="bottom"/>
            <w:tcBorders>
              <w:bottom w:val="single" w:sz="8" w:color="CCEEFF"/>
            </w:tcBorders>
            <w:gridSpan w:val="3"/>
          </w:tcPr>
          <w:p>
            <w:pPr>
              <w:ind w:left="160"/>
              <w:spacing w:after="0"/>
              <w:rPr>
                <w:sz w:val="20"/>
                <w:szCs w:val="20"/>
                <w:color w:val="auto"/>
              </w:rPr>
            </w:pPr>
            <w:r>
              <w:rPr>
                <w:rFonts w:ascii="Arial" w:cs="Arial" w:eastAsia="Arial" w:hAnsi="Arial"/>
                <w:sz w:val="18"/>
                <w:szCs w:val="18"/>
                <w:color w:val="auto"/>
              </w:rPr>
              <w:t>Net earnings</w:t>
            </w:r>
          </w:p>
        </w:tc>
        <w:tc>
          <w:tcPr>
            <w:tcW w:w="1140" w:type="dxa"/>
            <w:vAlign w:val="bottom"/>
            <w:tcBorders>
              <w:bottom w:val="single" w:sz="8" w:color="CCEEFF"/>
            </w:tcBorders>
          </w:tcPr>
          <w:p>
            <w:pPr>
              <w:spacing w:after="0"/>
              <w:rPr>
                <w:sz w:val="21"/>
                <w:szCs w:val="21"/>
                <w:color w:val="auto"/>
              </w:rPr>
            </w:pPr>
          </w:p>
        </w:tc>
        <w:tc>
          <w:tcPr>
            <w:tcW w:w="30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55,822</w:t>
            </w:r>
          </w:p>
        </w:tc>
        <w:tc>
          <w:tcPr>
            <w:tcW w:w="2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53,324</w:t>
            </w:r>
          </w:p>
        </w:tc>
        <w:tc>
          <w:tcPr>
            <w:tcW w:w="6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gridSpan w:val="3"/>
          </w:tcPr>
          <w:p>
            <w:pPr>
              <w:jc w:val="right"/>
              <w:ind w:right="110"/>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200,764</w:t>
            </w:r>
          </w:p>
        </w:tc>
        <w:tc>
          <w:tcPr>
            <w:tcW w:w="6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gridSpan w:val="2"/>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178,037</w:t>
            </w:r>
          </w:p>
        </w:tc>
        <w:tc>
          <w:tcPr>
            <w:tcW w:w="6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gridSpan w:val="3"/>
          </w:tcPr>
          <w:p>
            <w:pPr>
              <w:spacing w:after="0"/>
              <w:rPr>
                <w:sz w:val="20"/>
                <w:szCs w:val="20"/>
                <w:color w:val="auto"/>
              </w:rPr>
            </w:pPr>
            <w:r>
              <w:rPr>
                <w:rFonts w:ascii="Arial" w:cs="Arial" w:eastAsia="Arial" w:hAnsi="Arial"/>
                <w:sz w:val="18"/>
                <w:szCs w:val="18"/>
                <w:color w:val="auto"/>
                <w:w w:val="95"/>
              </w:rPr>
              <w:t>Basic net earnings per share of common stock</w:t>
            </w:r>
          </w:p>
        </w:tc>
        <w:tc>
          <w:tcPr>
            <w:tcW w:w="1700" w:type="dxa"/>
            <w:vAlign w:val="bottom"/>
            <w:gridSpan w:val="3"/>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1.02</w:t>
            </w:r>
          </w:p>
        </w:tc>
        <w:tc>
          <w:tcPr>
            <w:tcW w:w="260" w:type="dxa"/>
            <w:vAlign w:val="bottom"/>
          </w:tcPr>
          <w:p>
            <w:pPr>
              <w:spacing w:after="0"/>
              <w:rPr>
                <w:sz w:val="18"/>
                <w:szCs w:val="18"/>
                <w:color w:val="auto"/>
              </w:rPr>
            </w:pPr>
          </w:p>
        </w:tc>
        <w:tc>
          <w:tcPr>
            <w:tcW w:w="280" w:type="dxa"/>
            <w:vAlign w:val="bottom"/>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0.96</w:t>
            </w:r>
          </w:p>
        </w:tc>
        <w:tc>
          <w:tcPr>
            <w:tcW w:w="160" w:type="dxa"/>
            <w:vAlign w:val="bottom"/>
          </w:tcPr>
          <w:p>
            <w:pPr>
              <w:spacing w:after="0"/>
              <w:rPr>
                <w:sz w:val="18"/>
                <w:szCs w:val="18"/>
                <w:color w:val="auto"/>
              </w:rPr>
            </w:pPr>
          </w:p>
        </w:tc>
        <w:tc>
          <w:tcPr>
            <w:tcW w:w="360" w:type="dxa"/>
            <w:vAlign w:val="bottom"/>
            <w:gridSpan w:val="4"/>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3.65</w:t>
            </w:r>
          </w:p>
        </w:tc>
        <w:tc>
          <w:tcPr>
            <w:tcW w:w="220" w:type="dxa"/>
            <w:vAlign w:val="bottom"/>
          </w:tcPr>
          <w:p>
            <w:pPr>
              <w:spacing w:after="0"/>
              <w:rPr>
                <w:sz w:val="18"/>
                <w:szCs w:val="18"/>
                <w:color w:val="auto"/>
              </w:rPr>
            </w:pPr>
          </w:p>
        </w:tc>
        <w:tc>
          <w:tcPr>
            <w:tcW w:w="300" w:type="dxa"/>
            <w:vAlign w:val="bottom"/>
            <w:gridSpan w:val="2"/>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3.19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22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gridSpan w:val="3"/>
          </w:tcPr>
          <w:p>
            <w:pPr>
              <w:spacing w:after="0"/>
              <w:rPr>
                <w:sz w:val="20"/>
                <w:szCs w:val="20"/>
                <w:color w:val="auto"/>
              </w:rPr>
            </w:pPr>
            <w:r>
              <w:rPr>
                <w:rFonts w:ascii="Arial" w:cs="Arial" w:eastAsia="Arial" w:hAnsi="Arial"/>
                <w:sz w:val="18"/>
                <w:szCs w:val="18"/>
                <w:color w:val="auto"/>
                <w:w w:val="92"/>
              </w:rPr>
              <w:t>Diluted net earnings per share of common stock</w:t>
            </w:r>
          </w:p>
        </w:tc>
        <w:tc>
          <w:tcPr>
            <w:tcW w:w="1700" w:type="dxa"/>
            <w:vAlign w:val="bottom"/>
            <w:gridSpan w:val="3"/>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260" w:type="dxa"/>
            <w:vAlign w:val="bottom"/>
          </w:tcPr>
          <w:p>
            <w:pPr>
              <w:spacing w:after="0"/>
              <w:rPr>
                <w:sz w:val="18"/>
                <w:szCs w:val="18"/>
                <w:color w:val="auto"/>
              </w:rPr>
            </w:pPr>
          </w:p>
        </w:tc>
        <w:tc>
          <w:tcPr>
            <w:tcW w:w="280" w:type="dxa"/>
            <w:vAlign w:val="bottom"/>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0.94</w:t>
            </w:r>
          </w:p>
        </w:tc>
        <w:tc>
          <w:tcPr>
            <w:tcW w:w="160" w:type="dxa"/>
            <w:vAlign w:val="bottom"/>
          </w:tcPr>
          <w:p>
            <w:pPr>
              <w:spacing w:after="0"/>
              <w:rPr>
                <w:sz w:val="18"/>
                <w:szCs w:val="18"/>
                <w:color w:val="auto"/>
              </w:rPr>
            </w:pPr>
          </w:p>
        </w:tc>
        <w:tc>
          <w:tcPr>
            <w:tcW w:w="360" w:type="dxa"/>
            <w:vAlign w:val="bottom"/>
            <w:gridSpan w:val="4"/>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3.58</w:t>
            </w:r>
          </w:p>
        </w:tc>
        <w:tc>
          <w:tcPr>
            <w:tcW w:w="220" w:type="dxa"/>
            <w:vAlign w:val="bottom"/>
          </w:tcPr>
          <w:p>
            <w:pPr>
              <w:spacing w:after="0"/>
              <w:rPr>
                <w:sz w:val="18"/>
                <w:szCs w:val="18"/>
                <w:color w:val="auto"/>
              </w:rPr>
            </w:pPr>
          </w:p>
        </w:tc>
        <w:tc>
          <w:tcPr>
            <w:tcW w:w="300" w:type="dxa"/>
            <w:vAlign w:val="bottom"/>
            <w:gridSpan w:val="2"/>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3.13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22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240" w:type="dxa"/>
            <w:vAlign w:val="bottom"/>
            <w:gridSpan w:val="6"/>
          </w:tcPr>
          <w:p>
            <w:pPr>
              <w:spacing w:after="0" w:line="201" w:lineRule="exact"/>
              <w:rPr>
                <w:sz w:val="20"/>
                <w:szCs w:val="20"/>
                <w:color w:val="auto"/>
              </w:rPr>
            </w:pPr>
            <w:r>
              <w:rPr>
                <w:rFonts w:ascii="Arial" w:cs="Arial" w:eastAsia="Arial" w:hAnsi="Arial"/>
                <w:sz w:val="18"/>
                <w:szCs w:val="18"/>
                <w:color w:val="auto"/>
              </w:rPr>
              <w:t>Weighted-average number of shares of common stock</w:t>
            </w: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3"/>
          </w:tcPr>
          <w:p>
            <w:pPr>
              <w:ind w:left="160"/>
              <w:spacing w:after="0"/>
              <w:rPr>
                <w:sz w:val="20"/>
                <w:szCs w:val="20"/>
                <w:color w:val="auto"/>
              </w:rPr>
            </w:pPr>
            <w:r>
              <w:rPr>
                <w:rFonts w:ascii="Arial" w:cs="Arial" w:eastAsia="Arial" w:hAnsi="Arial"/>
                <w:sz w:val="18"/>
                <w:szCs w:val="18"/>
                <w:color w:val="auto"/>
              </w:rPr>
              <w:t>outstanding — Basic</w:t>
            </w:r>
          </w:p>
        </w:tc>
        <w:tc>
          <w:tcPr>
            <w:tcW w:w="1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54,983</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55,310</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54,973</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55,739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240" w:type="dxa"/>
            <w:vAlign w:val="bottom"/>
            <w:gridSpan w:val="6"/>
          </w:tcPr>
          <w:p>
            <w:pPr>
              <w:spacing w:after="0" w:line="201" w:lineRule="exact"/>
              <w:rPr>
                <w:sz w:val="20"/>
                <w:szCs w:val="20"/>
                <w:color w:val="auto"/>
              </w:rPr>
            </w:pPr>
            <w:r>
              <w:rPr>
                <w:rFonts w:ascii="Arial" w:cs="Arial" w:eastAsia="Arial" w:hAnsi="Arial"/>
                <w:sz w:val="18"/>
                <w:szCs w:val="18"/>
                <w:color w:val="auto"/>
              </w:rPr>
              <w:t>Weighted-average number of shares of common stock</w:t>
            </w: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3"/>
          </w:tcPr>
          <w:p>
            <w:pPr>
              <w:ind w:left="160"/>
              <w:spacing w:after="0"/>
              <w:rPr>
                <w:sz w:val="20"/>
                <w:szCs w:val="20"/>
                <w:color w:val="auto"/>
              </w:rPr>
            </w:pPr>
            <w:r>
              <w:rPr>
                <w:rFonts w:ascii="Arial" w:cs="Arial" w:eastAsia="Arial" w:hAnsi="Arial"/>
                <w:sz w:val="18"/>
                <w:szCs w:val="18"/>
                <w:color w:val="auto"/>
              </w:rPr>
              <w:t>outstanding — Diluted</w:t>
            </w:r>
          </w:p>
        </w:tc>
        <w:tc>
          <w:tcPr>
            <w:tcW w:w="1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56,056</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56,552</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56,077</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56,953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360" w:type="dxa"/>
            <w:vAlign w:val="bottom"/>
            <w:gridSpan w:val="8"/>
          </w:tcPr>
          <w:p>
            <w:pPr>
              <w:jc w:val="center"/>
              <w:ind w:left="810"/>
              <w:spacing w:after="0"/>
              <w:rPr>
                <w:sz w:val="20"/>
                <w:szCs w:val="20"/>
                <w:color w:val="auto"/>
              </w:rPr>
            </w:pPr>
            <w:r>
              <w:rPr>
                <w:rFonts w:ascii="Arial" w:cs="Arial" w:eastAsia="Arial" w:hAnsi="Arial"/>
                <w:sz w:val="18"/>
                <w:szCs w:val="18"/>
                <w:b w:val="1"/>
                <w:bCs w:val="1"/>
                <w:color w:val="auto"/>
                <w:w w:val="91"/>
              </w:rPr>
              <w:t>Segment Data (Unaudited)</w:t>
            </w: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940" w:type="dxa"/>
            <w:vAlign w:val="bottom"/>
            <w:gridSpan w:val="5"/>
          </w:tcPr>
          <w:p>
            <w:pPr>
              <w:jc w:val="center"/>
              <w:spacing w:after="0"/>
              <w:rPr>
                <w:sz w:val="20"/>
                <w:szCs w:val="20"/>
                <w:color w:val="auto"/>
              </w:rPr>
            </w:pPr>
            <w:r>
              <w:rPr>
                <w:rFonts w:ascii="Arial" w:cs="Arial" w:eastAsia="Arial" w:hAnsi="Arial"/>
                <w:sz w:val="18"/>
                <w:szCs w:val="18"/>
                <w:b w:val="1"/>
                <w:bCs w:val="1"/>
                <w:color w:val="auto"/>
                <w:w w:val="89"/>
              </w:rPr>
              <w:t>(Dollars in thousands)</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940" w:type="dxa"/>
            <w:vAlign w:val="bottom"/>
            <w:gridSpan w:val="8"/>
          </w:tcPr>
          <w:p>
            <w:pPr>
              <w:jc w:val="right"/>
              <w:ind w:right="102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60" w:type="dxa"/>
            <w:vAlign w:val="bottom"/>
            <w:gridSpan w:val="9"/>
          </w:tcPr>
          <w:p>
            <w:pPr>
              <w:jc w:val="right"/>
              <w:ind w:right="980"/>
              <w:spacing w:after="0"/>
              <w:rPr>
                <w:sz w:val="20"/>
                <w:szCs w:val="20"/>
                <w:color w:val="auto"/>
              </w:rPr>
            </w:pPr>
            <w:r>
              <w:rPr>
                <w:rFonts w:ascii="Arial" w:cs="Arial" w:eastAsia="Arial" w:hAnsi="Arial"/>
                <w:sz w:val="14"/>
                <w:szCs w:val="14"/>
                <w:b w:val="1"/>
                <w:bCs w:val="1"/>
                <w:color w:val="auto"/>
              </w:rPr>
              <w:t>Nine Months Ended</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5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Segment Net Sales</w:t>
            </w:r>
          </w:p>
        </w:tc>
        <w:tc>
          <w:tcPr>
            <w:tcW w:w="1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380" w:type="dxa"/>
            <w:vAlign w:val="bottom"/>
            <w:tcBorders>
              <w:top w:val="single" w:sz="8" w:color="auto"/>
            </w:tcBorders>
            <w:gridSpan w:val="3"/>
          </w:tcPr>
          <w:p>
            <w:pPr>
              <w:jc w:val="center"/>
              <w:ind w:right="540"/>
              <w:spacing w:after="0" w:line="119" w:lineRule="exact"/>
              <w:rPr>
                <w:sz w:val="20"/>
                <w:szCs w:val="20"/>
                <w:color w:val="auto"/>
              </w:rPr>
            </w:pPr>
            <w:r>
              <w:rPr>
                <w:rFonts w:ascii="Arial" w:cs="Arial" w:eastAsia="Arial" w:hAnsi="Arial"/>
                <w:sz w:val="13"/>
                <w:szCs w:val="13"/>
                <w:b w:val="1"/>
                <w:bCs w:val="1"/>
                <w:color w:val="auto"/>
              </w:rPr>
              <w:t>July 29,</w:t>
            </w:r>
          </w:p>
        </w:tc>
        <w:tc>
          <w:tcPr>
            <w:tcW w:w="2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rPr>
              <w:t>July 31,</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gridSpan w:val="3"/>
          </w:tcPr>
          <w:p>
            <w:pPr>
              <w:jc w:val="center"/>
              <w:ind w:right="460"/>
              <w:spacing w:after="0" w:line="119" w:lineRule="exact"/>
              <w:rPr>
                <w:sz w:val="20"/>
                <w:szCs w:val="20"/>
                <w:color w:val="auto"/>
              </w:rPr>
            </w:pPr>
            <w:r>
              <w:rPr>
                <w:rFonts w:ascii="Arial" w:cs="Arial" w:eastAsia="Arial" w:hAnsi="Arial"/>
                <w:sz w:val="13"/>
                <w:szCs w:val="13"/>
                <w:b w:val="1"/>
                <w:bCs w:val="1"/>
                <w:color w:val="auto"/>
              </w:rPr>
              <w:t>July 29,</w:t>
            </w:r>
          </w:p>
        </w:tc>
        <w:tc>
          <w:tcPr>
            <w:tcW w:w="6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rPr>
              <w:t>July 31,</w:t>
            </w:r>
          </w:p>
        </w:tc>
        <w:tc>
          <w:tcPr>
            <w:tcW w:w="100" w:type="dxa"/>
            <w:vAlign w:val="bottom"/>
            <w:gridSpan w:val="2"/>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560" w:type="dxa"/>
            <w:vAlign w:val="bottom"/>
            <w:gridSpan w:val="4"/>
            <w:vMerge w:val="continue"/>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jc w:val="center"/>
              <w:ind w:right="175"/>
              <w:spacing w:after="0"/>
              <w:rPr>
                <w:sz w:val="20"/>
                <w:szCs w:val="20"/>
                <w:color w:val="auto"/>
              </w:rPr>
            </w:pPr>
            <w:r>
              <w:rPr>
                <w:rFonts w:ascii="Arial" w:cs="Arial" w:eastAsia="Arial" w:hAnsi="Arial"/>
                <w:sz w:val="14"/>
                <w:szCs w:val="14"/>
                <w:b w:val="1"/>
                <w:bCs w:val="1"/>
                <w:color w:val="auto"/>
                <w:w w:val="89"/>
              </w:rPr>
              <w:t>2016</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jc w:val="center"/>
              <w:ind w:right="94"/>
              <w:spacing w:after="0"/>
              <w:rPr>
                <w:sz w:val="20"/>
                <w:szCs w:val="20"/>
                <w:color w:val="auto"/>
              </w:rPr>
            </w:pPr>
            <w:r>
              <w:rPr>
                <w:rFonts w:ascii="Arial" w:cs="Arial" w:eastAsia="Arial" w:hAnsi="Arial"/>
                <w:sz w:val="14"/>
                <w:szCs w:val="14"/>
                <w:b w:val="1"/>
                <w:bCs w:val="1"/>
                <w:color w:val="auto"/>
                <w:w w:val="89"/>
              </w:rPr>
              <w:t>2015</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jc w:val="center"/>
              <w:ind w:right="95"/>
              <w:spacing w:after="0"/>
              <w:rPr>
                <w:sz w:val="20"/>
                <w:szCs w:val="20"/>
                <w:color w:val="auto"/>
              </w:rPr>
            </w:pPr>
            <w:r>
              <w:rPr>
                <w:rFonts w:ascii="Arial" w:cs="Arial" w:eastAsia="Arial" w:hAnsi="Arial"/>
                <w:sz w:val="14"/>
                <w:szCs w:val="14"/>
                <w:b w:val="1"/>
                <w:bCs w:val="1"/>
                <w:color w:val="auto"/>
                <w:w w:val="89"/>
              </w:rPr>
              <w:t>2016</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jc w:val="center"/>
              <w:ind w:right="94"/>
              <w:spacing w:after="0"/>
              <w:rPr>
                <w:sz w:val="20"/>
                <w:szCs w:val="20"/>
                <w:color w:val="auto"/>
              </w:rPr>
            </w:pPr>
            <w:r>
              <w:rPr>
                <w:rFonts w:ascii="Arial" w:cs="Arial" w:eastAsia="Arial" w:hAnsi="Arial"/>
                <w:sz w:val="14"/>
                <w:szCs w:val="14"/>
                <w:b w:val="1"/>
                <w:bCs w:val="1"/>
                <w:color w:val="auto"/>
                <w:w w:val="89"/>
              </w:rPr>
              <w:t>2015</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4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rPr>
              <w:t>Professional</w:t>
            </w:r>
          </w:p>
        </w:tc>
        <w:tc>
          <w:tcPr>
            <w:tcW w:w="11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427,784</w:t>
            </w: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421,994</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gridSpan w:val="2"/>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1,361,829</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1,314,474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3"/>
          </w:tcPr>
          <w:p>
            <w:pPr>
              <w:spacing w:after="0"/>
              <w:rPr>
                <w:sz w:val="20"/>
                <w:szCs w:val="20"/>
                <w:color w:val="auto"/>
              </w:rPr>
            </w:pPr>
            <w:r>
              <w:rPr>
                <w:rFonts w:ascii="Arial" w:cs="Arial" w:eastAsia="Arial" w:hAnsi="Arial"/>
                <w:sz w:val="18"/>
                <w:szCs w:val="18"/>
                <w:color w:val="auto"/>
              </w:rPr>
              <w:t>Residential</w:t>
            </w: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167,815</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3"/>
          </w:tcPr>
          <w:p>
            <w:pPr>
              <w:jc w:val="right"/>
              <w:ind w:right="160"/>
              <w:spacing w:after="0"/>
              <w:rPr>
                <w:sz w:val="20"/>
                <w:szCs w:val="20"/>
                <w:color w:val="auto"/>
              </w:rPr>
            </w:pPr>
            <w:r>
              <w:rPr>
                <w:rFonts w:ascii="Arial" w:cs="Arial" w:eastAsia="Arial" w:hAnsi="Arial"/>
                <w:sz w:val="18"/>
                <w:szCs w:val="18"/>
                <w:color w:val="auto"/>
              </w:rPr>
              <w:t>175,977</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rPr>
              <w:t>550,330</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578,587</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w:t>
            </w: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5,381</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11,644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11,660</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17,007</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40" w:type="dxa"/>
            <w:vAlign w:val="bottom"/>
            <w:gridSpan w:val="3"/>
          </w:tcPr>
          <w:p>
            <w:pPr>
              <w:ind w:left="160"/>
              <w:spacing w:after="0"/>
              <w:rPr>
                <w:sz w:val="20"/>
                <w:szCs w:val="20"/>
                <w:color w:val="auto"/>
              </w:rPr>
            </w:pPr>
            <w:r>
              <w:rPr>
                <w:rFonts w:ascii="Arial" w:cs="Arial" w:eastAsia="Arial" w:hAnsi="Arial"/>
                <w:sz w:val="18"/>
                <w:szCs w:val="18"/>
                <w:color w:val="auto"/>
              </w:rPr>
              <w:t>Total*</w:t>
            </w: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600,980</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609,615</w:t>
            </w:r>
          </w:p>
        </w:tc>
        <w:tc>
          <w:tcPr>
            <w:tcW w:w="160" w:type="dxa"/>
            <w:vAlign w:val="bottom"/>
          </w:tcPr>
          <w:p>
            <w:pPr>
              <w:spacing w:after="0"/>
              <w:rPr>
                <w:sz w:val="18"/>
                <w:szCs w:val="18"/>
                <w:color w:val="auto"/>
              </w:rPr>
            </w:pPr>
          </w:p>
        </w:tc>
        <w:tc>
          <w:tcPr>
            <w:tcW w:w="10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1,923,819</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1,910,068</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20" w:type="dxa"/>
            <w:vAlign w:val="bottom"/>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2220" w:type="dxa"/>
            <w:vAlign w:val="bottom"/>
            <w:tcBorders>
              <w:bottom w:val="single" w:sz="8" w:color="808080"/>
            </w:tcBorders>
          </w:tcPr>
          <w:p>
            <w:pPr>
              <w:spacing w:after="0"/>
              <w:rPr>
                <w:sz w:val="24"/>
                <w:szCs w:val="24"/>
                <w:color w:val="auto"/>
              </w:rPr>
            </w:pPr>
          </w:p>
        </w:tc>
        <w:tc>
          <w:tcPr>
            <w:tcW w:w="680" w:type="dxa"/>
            <w:vAlign w:val="bottom"/>
          </w:tcPr>
          <w:p>
            <w:pPr>
              <w:spacing w:after="0"/>
              <w:rPr>
                <w:sz w:val="24"/>
                <w:szCs w:val="24"/>
                <w:color w:val="auto"/>
              </w:rPr>
            </w:pPr>
          </w:p>
        </w:tc>
        <w:tc>
          <w:tcPr>
            <w:tcW w:w="1700" w:type="dxa"/>
            <w:vAlign w:val="bottom"/>
            <w:gridSpan w:val="3"/>
          </w:tcPr>
          <w:p>
            <w:pPr>
              <w:spacing w:after="0"/>
              <w:rPr>
                <w:sz w:val="24"/>
                <w:szCs w:val="24"/>
                <w:color w:val="auto"/>
              </w:rPr>
            </w:pPr>
          </w:p>
        </w:tc>
        <w:tc>
          <w:tcPr>
            <w:tcW w:w="1120" w:type="dxa"/>
            <w:vAlign w:val="bottom"/>
            <w:gridSpan w:val="2"/>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gridSpan w:val="2"/>
          </w:tcPr>
          <w:p>
            <w:pPr>
              <w:spacing w:after="0"/>
              <w:rPr>
                <w:sz w:val="24"/>
                <w:szCs w:val="24"/>
                <w:color w:val="auto"/>
              </w:rPr>
            </w:pPr>
          </w:p>
        </w:tc>
        <w:tc>
          <w:tcPr>
            <w:tcW w:w="1280" w:type="dxa"/>
            <w:vAlign w:val="bottom"/>
            <w:gridSpan w:val="3"/>
          </w:tcPr>
          <w:p>
            <w:pPr>
              <w:spacing w:after="0"/>
              <w:rPr>
                <w:sz w:val="24"/>
                <w:szCs w:val="24"/>
                <w:color w:val="auto"/>
              </w:rPr>
            </w:pPr>
          </w:p>
        </w:tc>
        <w:tc>
          <w:tcPr>
            <w:tcW w:w="100" w:type="dxa"/>
            <w:vAlign w:val="bottom"/>
            <w:gridSpan w:val="2"/>
          </w:tcPr>
          <w:p>
            <w:pPr>
              <w:spacing w:after="0"/>
              <w:rPr>
                <w:sz w:val="24"/>
                <w:szCs w:val="24"/>
                <w:color w:val="auto"/>
              </w:rPr>
            </w:pPr>
          </w:p>
        </w:tc>
        <w:tc>
          <w:tcPr>
            <w:tcW w:w="260" w:type="dxa"/>
            <w:vAlign w:val="bottom"/>
            <w:gridSpan w:val="2"/>
          </w:tcPr>
          <w:p>
            <w:pPr>
              <w:spacing w:after="0"/>
              <w:rPr>
                <w:sz w:val="24"/>
                <w:szCs w:val="24"/>
                <w:color w:val="auto"/>
              </w:rPr>
            </w:pPr>
          </w:p>
        </w:tc>
        <w:tc>
          <w:tcPr>
            <w:tcW w:w="1340" w:type="dxa"/>
            <w:vAlign w:val="bottom"/>
            <w:gridSpan w:val="3"/>
          </w:tcPr>
          <w:p>
            <w:pPr>
              <w:spacing w:after="0"/>
              <w:rPr>
                <w:sz w:val="24"/>
                <w:szCs w:val="24"/>
                <w:color w:val="auto"/>
              </w:rPr>
            </w:pPr>
          </w:p>
        </w:tc>
        <w:tc>
          <w:tcPr>
            <w:tcW w:w="300" w:type="dxa"/>
            <w:vAlign w:val="bottom"/>
            <w:gridSpan w:val="2"/>
          </w:tcPr>
          <w:p>
            <w:pPr>
              <w:spacing w:after="0"/>
              <w:rPr>
                <w:sz w:val="24"/>
                <w:szCs w:val="24"/>
                <w:color w:val="auto"/>
              </w:rPr>
            </w:pPr>
          </w:p>
        </w:tc>
        <w:tc>
          <w:tcPr>
            <w:tcW w:w="1140" w:type="dxa"/>
            <w:vAlign w:val="bottom"/>
            <w:gridSpan w:val="3"/>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40" w:type="dxa"/>
            <w:vAlign w:val="bottom"/>
          </w:tcPr>
          <w:p>
            <w:pPr>
              <w:spacing w:after="0"/>
              <w:rPr>
                <w:sz w:val="8"/>
                <w:szCs w:val="8"/>
                <w:color w:val="auto"/>
              </w:rPr>
            </w:pPr>
          </w:p>
        </w:tc>
        <w:tc>
          <w:tcPr>
            <w:tcW w:w="2900" w:type="dxa"/>
            <w:vAlign w:val="bottom"/>
            <w:gridSpan w:val="2"/>
          </w:tcPr>
          <w:p>
            <w:pPr>
              <w:spacing w:after="0"/>
              <w:rPr>
                <w:sz w:val="8"/>
                <w:szCs w:val="8"/>
                <w:color w:val="auto"/>
              </w:rPr>
            </w:pPr>
          </w:p>
        </w:tc>
        <w:tc>
          <w:tcPr>
            <w:tcW w:w="1700" w:type="dxa"/>
            <w:vAlign w:val="bottom"/>
            <w:gridSpan w:val="3"/>
          </w:tcPr>
          <w:p>
            <w:pPr>
              <w:spacing w:after="0"/>
              <w:rPr>
                <w:sz w:val="8"/>
                <w:szCs w:val="8"/>
                <w:color w:val="auto"/>
              </w:rPr>
            </w:pPr>
          </w:p>
        </w:tc>
        <w:tc>
          <w:tcPr>
            <w:tcW w:w="1120" w:type="dxa"/>
            <w:vAlign w:val="bottom"/>
            <w:gridSpan w:val="2"/>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gridSpan w:val="2"/>
          </w:tcPr>
          <w:p>
            <w:pPr>
              <w:spacing w:after="0"/>
              <w:rPr>
                <w:sz w:val="8"/>
                <w:szCs w:val="8"/>
                <w:color w:val="auto"/>
              </w:rPr>
            </w:pPr>
          </w:p>
        </w:tc>
        <w:tc>
          <w:tcPr>
            <w:tcW w:w="1280" w:type="dxa"/>
            <w:vAlign w:val="bottom"/>
            <w:gridSpan w:val="3"/>
          </w:tcPr>
          <w:p>
            <w:pPr>
              <w:spacing w:after="0"/>
              <w:rPr>
                <w:sz w:val="8"/>
                <w:szCs w:val="8"/>
                <w:color w:val="auto"/>
              </w:rPr>
            </w:pPr>
          </w:p>
        </w:tc>
        <w:tc>
          <w:tcPr>
            <w:tcW w:w="100" w:type="dxa"/>
            <w:vAlign w:val="bottom"/>
            <w:gridSpan w:val="2"/>
          </w:tcPr>
          <w:p>
            <w:pPr>
              <w:spacing w:after="0"/>
              <w:rPr>
                <w:sz w:val="8"/>
                <w:szCs w:val="8"/>
                <w:color w:val="auto"/>
              </w:rPr>
            </w:pPr>
          </w:p>
        </w:tc>
        <w:tc>
          <w:tcPr>
            <w:tcW w:w="260" w:type="dxa"/>
            <w:vAlign w:val="bottom"/>
            <w:gridSpan w:val="2"/>
          </w:tcPr>
          <w:p>
            <w:pPr>
              <w:spacing w:after="0"/>
              <w:rPr>
                <w:sz w:val="8"/>
                <w:szCs w:val="8"/>
                <w:color w:val="auto"/>
              </w:rPr>
            </w:pPr>
          </w:p>
        </w:tc>
        <w:tc>
          <w:tcPr>
            <w:tcW w:w="1340" w:type="dxa"/>
            <w:vAlign w:val="bottom"/>
            <w:gridSpan w:val="3"/>
          </w:tcPr>
          <w:p>
            <w:pPr>
              <w:spacing w:after="0"/>
              <w:rPr>
                <w:sz w:val="8"/>
                <w:szCs w:val="8"/>
                <w:color w:val="auto"/>
              </w:rPr>
            </w:pPr>
          </w:p>
        </w:tc>
        <w:tc>
          <w:tcPr>
            <w:tcW w:w="300" w:type="dxa"/>
            <w:vAlign w:val="bottom"/>
            <w:gridSpan w:val="2"/>
          </w:tcPr>
          <w:p>
            <w:pPr>
              <w:spacing w:after="0"/>
              <w:rPr>
                <w:sz w:val="8"/>
                <w:szCs w:val="8"/>
                <w:color w:val="auto"/>
              </w:rPr>
            </w:pPr>
          </w:p>
        </w:tc>
        <w:tc>
          <w:tcPr>
            <w:tcW w:w="1140" w:type="dxa"/>
            <w:vAlign w:val="bottom"/>
            <w:gridSpan w:val="3"/>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*Includes international sales of:</w:t>
            </w:r>
          </w:p>
        </w:tc>
        <w:tc>
          <w:tcPr>
            <w:tcW w:w="1700" w:type="dxa"/>
            <w:vAlign w:val="bottom"/>
            <w:gridSpan w:val="3"/>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126,993</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136,626</w:t>
            </w:r>
          </w:p>
        </w:tc>
        <w:tc>
          <w:tcPr>
            <w:tcW w:w="360" w:type="dxa"/>
            <w:vAlign w:val="bottom"/>
            <w:gridSpan w:val="4"/>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450,577</w:t>
            </w:r>
          </w:p>
        </w:tc>
        <w:tc>
          <w:tcPr>
            <w:tcW w:w="3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474,911</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20" w:type="dxa"/>
            <w:vAlign w:val="bottom"/>
            <w:gridSpan w:val="2"/>
            <w:shd w:val="clear" w:color="auto" w:fill="000000"/>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380" w:type="dxa"/>
            <w:vAlign w:val="bottom"/>
            <w:gridSpan w:val="3"/>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gridSpan w:val="2"/>
            <w:shd w:val="clear" w:color="auto" w:fill="000000"/>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360" w:type="dxa"/>
            <w:vAlign w:val="bottom"/>
            <w:gridSpan w:val="3"/>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940" w:type="dxa"/>
            <w:vAlign w:val="bottom"/>
            <w:gridSpan w:val="8"/>
          </w:tcPr>
          <w:p>
            <w:pPr>
              <w:jc w:val="right"/>
              <w:ind w:right="102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60" w:type="dxa"/>
            <w:vAlign w:val="bottom"/>
            <w:gridSpan w:val="9"/>
          </w:tcPr>
          <w:p>
            <w:pPr>
              <w:jc w:val="right"/>
              <w:ind w:right="980"/>
              <w:spacing w:after="0"/>
              <w:rPr>
                <w:sz w:val="20"/>
                <w:szCs w:val="20"/>
                <w:color w:val="auto"/>
              </w:rPr>
            </w:pPr>
            <w:r>
              <w:rPr>
                <w:rFonts w:ascii="Arial" w:cs="Arial" w:eastAsia="Arial" w:hAnsi="Arial"/>
                <w:sz w:val="14"/>
                <w:szCs w:val="14"/>
                <w:b w:val="1"/>
                <w:bCs w:val="1"/>
                <w:color w:val="auto"/>
              </w:rPr>
              <w:t>Nine Months Ended</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5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Segment Earnings (Loss) Before Income Taxes</w:t>
            </w:r>
          </w:p>
        </w:tc>
        <w:tc>
          <w:tcPr>
            <w:tcW w:w="1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380" w:type="dxa"/>
            <w:vAlign w:val="bottom"/>
            <w:tcBorders>
              <w:top w:val="single" w:sz="8" w:color="auto"/>
            </w:tcBorders>
            <w:gridSpan w:val="3"/>
          </w:tcPr>
          <w:p>
            <w:pPr>
              <w:jc w:val="center"/>
              <w:ind w:right="540"/>
              <w:spacing w:after="0" w:line="119" w:lineRule="exact"/>
              <w:rPr>
                <w:sz w:val="20"/>
                <w:szCs w:val="20"/>
                <w:color w:val="auto"/>
              </w:rPr>
            </w:pPr>
            <w:r>
              <w:rPr>
                <w:rFonts w:ascii="Arial" w:cs="Arial" w:eastAsia="Arial" w:hAnsi="Arial"/>
                <w:sz w:val="13"/>
                <w:szCs w:val="13"/>
                <w:b w:val="1"/>
                <w:bCs w:val="1"/>
                <w:color w:val="auto"/>
              </w:rPr>
              <w:t>July 29,</w:t>
            </w:r>
          </w:p>
        </w:tc>
        <w:tc>
          <w:tcPr>
            <w:tcW w:w="2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rPr>
              <w:t>July 31,</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gridSpan w:val="3"/>
          </w:tcPr>
          <w:p>
            <w:pPr>
              <w:jc w:val="center"/>
              <w:ind w:right="460"/>
              <w:spacing w:after="0" w:line="119" w:lineRule="exact"/>
              <w:rPr>
                <w:sz w:val="20"/>
                <w:szCs w:val="20"/>
                <w:color w:val="auto"/>
              </w:rPr>
            </w:pPr>
            <w:r>
              <w:rPr>
                <w:rFonts w:ascii="Arial" w:cs="Arial" w:eastAsia="Arial" w:hAnsi="Arial"/>
                <w:sz w:val="13"/>
                <w:szCs w:val="13"/>
                <w:b w:val="1"/>
                <w:bCs w:val="1"/>
                <w:color w:val="auto"/>
              </w:rPr>
              <w:t>July 29,</w:t>
            </w:r>
          </w:p>
        </w:tc>
        <w:tc>
          <w:tcPr>
            <w:tcW w:w="6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rPr>
              <w:t>July 31,</w:t>
            </w:r>
          </w:p>
        </w:tc>
        <w:tc>
          <w:tcPr>
            <w:tcW w:w="100" w:type="dxa"/>
            <w:vAlign w:val="bottom"/>
            <w:gridSpan w:val="2"/>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560" w:type="dxa"/>
            <w:vAlign w:val="bottom"/>
            <w:gridSpan w:val="4"/>
            <w:vMerge w:val="continue"/>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jc w:val="center"/>
              <w:ind w:right="175"/>
              <w:spacing w:after="0"/>
              <w:rPr>
                <w:sz w:val="20"/>
                <w:szCs w:val="20"/>
                <w:color w:val="auto"/>
              </w:rPr>
            </w:pPr>
            <w:r>
              <w:rPr>
                <w:rFonts w:ascii="Arial" w:cs="Arial" w:eastAsia="Arial" w:hAnsi="Arial"/>
                <w:sz w:val="14"/>
                <w:szCs w:val="14"/>
                <w:b w:val="1"/>
                <w:bCs w:val="1"/>
                <w:color w:val="auto"/>
                <w:w w:val="89"/>
              </w:rPr>
              <w:t>2016</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jc w:val="center"/>
              <w:ind w:right="94"/>
              <w:spacing w:after="0"/>
              <w:rPr>
                <w:sz w:val="20"/>
                <w:szCs w:val="20"/>
                <w:color w:val="auto"/>
              </w:rPr>
            </w:pPr>
            <w:r>
              <w:rPr>
                <w:rFonts w:ascii="Arial" w:cs="Arial" w:eastAsia="Arial" w:hAnsi="Arial"/>
                <w:sz w:val="14"/>
                <w:szCs w:val="14"/>
                <w:b w:val="1"/>
                <w:bCs w:val="1"/>
                <w:color w:val="auto"/>
                <w:w w:val="89"/>
              </w:rPr>
              <w:t>2015</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jc w:val="center"/>
              <w:ind w:right="95"/>
              <w:spacing w:after="0"/>
              <w:rPr>
                <w:sz w:val="20"/>
                <w:szCs w:val="20"/>
                <w:color w:val="auto"/>
              </w:rPr>
            </w:pPr>
            <w:r>
              <w:rPr>
                <w:rFonts w:ascii="Arial" w:cs="Arial" w:eastAsia="Arial" w:hAnsi="Arial"/>
                <w:sz w:val="14"/>
                <w:szCs w:val="14"/>
                <w:b w:val="1"/>
                <w:bCs w:val="1"/>
                <w:color w:val="auto"/>
                <w:w w:val="89"/>
              </w:rPr>
              <w:t>2016</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jc w:val="center"/>
              <w:ind w:right="94"/>
              <w:spacing w:after="0"/>
              <w:rPr>
                <w:sz w:val="20"/>
                <w:szCs w:val="20"/>
                <w:color w:val="auto"/>
              </w:rPr>
            </w:pPr>
            <w:r>
              <w:rPr>
                <w:rFonts w:ascii="Arial" w:cs="Arial" w:eastAsia="Arial" w:hAnsi="Arial"/>
                <w:sz w:val="14"/>
                <w:szCs w:val="14"/>
                <w:b w:val="1"/>
                <w:bCs w:val="1"/>
                <w:color w:val="auto"/>
                <w:w w:val="89"/>
              </w:rPr>
              <w:t>2015</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4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rPr>
              <w:t>Professional</w:t>
            </w:r>
          </w:p>
        </w:tc>
        <w:tc>
          <w:tcPr>
            <w:tcW w:w="11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89,096</w:t>
            </w: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82,253</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gridSpan w:val="2"/>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292,311</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258,727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3"/>
          </w:tcPr>
          <w:p>
            <w:pPr>
              <w:spacing w:after="0"/>
              <w:rPr>
                <w:sz w:val="20"/>
                <w:szCs w:val="20"/>
                <w:color w:val="auto"/>
              </w:rPr>
            </w:pPr>
            <w:r>
              <w:rPr>
                <w:rFonts w:ascii="Arial" w:cs="Arial" w:eastAsia="Arial" w:hAnsi="Arial"/>
                <w:sz w:val="18"/>
                <w:szCs w:val="18"/>
                <w:color w:val="auto"/>
              </w:rPr>
              <w:t>Residential</w:t>
            </w: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3"/>
          </w:tcPr>
          <w:p>
            <w:pPr>
              <w:jc w:val="right"/>
              <w:ind w:right="280"/>
              <w:spacing w:after="0"/>
              <w:rPr>
                <w:sz w:val="20"/>
                <w:szCs w:val="20"/>
                <w:color w:val="auto"/>
              </w:rPr>
            </w:pPr>
            <w:r>
              <w:rPr>
                <w:rFonts w:ascii="Arial" w:cs="Arial" w:eastAsia="Arial" w:hAnsi="Arial"/>
                <w:sz w:val="18"/>
                <w:szCs w:val="18"/>
                <w:color w:val="auto"/>
              </w:rPr>
              <w:t>12,767</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3"/>
          </w:tcPr>
          <w:p>
            <w:pPr>
              <w:jc w:val="right"/>
              <w:ind w:right="160"/>
              <w:spacing w:after="0"/>
              <w:rPr>
                <w:sz w:val="20"/>
                <w:szCs w:val="20"/>
                <w:color w:val="auto"/>
              </w:rPr>
            </w:pPr>
            <w:r>
              <w:rPr>
                <w:rFonts w:ascii="Arial" w:cs="Arial" w:eastAsia="Arial" w:hAnsi="Arial"/>
                <w:sz w:val="18"/>
                <w:szCs w:val="18"/>
                <w:color w:val="auto"/>
              </w:rPr>
              <w:t>20,566</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rPr>
              <w:t>64,494</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69,131</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w:t>
            </w: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(21,076)</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(25,203)</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(68,079)</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(72,132)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40" w:type="dxa"/>
            <w:vAlign w:val="bottom"/>
            <w:gridSpan w:val="3"/>
          </w:tcPr>
          <w:p>
            <w:pPr>
              <w:ind w:left="180"/>
              <w:spacing w:after="0"/>
              <w:rPr>
                <w:sz w:val="20"/>
                <w:szCs w:val="20"/>
                <w:color w:val="auto"/>
              </w:rPr>
            </w:pPr>
            <w:r>
              <w:rPr>
                <w:rFonts w:ascii="Arial" w:cs="Arial" w:eastAsia="Arial" w:hAnsi="Arial"/>
                <w:sz w:val="18"/>
                <w:szCs w:val="18"/>
                <w:color w:val="auto"/>
              </w:rPr>
              <w:t>Total</w:t>
            </w:r>
          </w:p>
        </w:tc>
        <w:tc>
          <w:tcPr>
            <w:tcW w:w="1440" w:type="dxa"/>
            <w:vAlign w:val="bottom"/>
            <w:gridSpan w:val="2"/>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80,787</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77,616</w:t>
            </w:r>
          </w:p>
        </w:tc>
        <w:tc>
          <w:tcPr>
            <w:tcW w:w="160" w:type="dxa"/>
            <w:vAlign w:val="bottom"/>
          </w:tcPr>
          <w:p>
            <w:pPr>
              <w:spacing w:after="0"/>
              <w:rPr>
                <w:sz w:val="18"/>
                <w:szCs w:val="18"/>
                <w:color w:val="auto"/>
              </w:rPr>
            </w:pPr>
          </w:p>
        </w:tc>
        <w:tc>
          <w:tcPr>
            <w:tcW w:w="10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288,726</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255,726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jc w:val="center"/>
              <w:ind w:right="115"/>
              <w:spacing w:after="0"/>
              <w:rPr>
                <w:sz w:val="20"/>
                <w:szCs w:val="20"/>
                <w:color w:val="auto"/>
              </w:rPr>
            </w:pPr>
            <w:r>
              <w:rPr>
                <w:rFonts w:ascii="Arial" w:cs="Arial" w:eastAsia="Arial" w:hAnsi="Arial"/>
                <w:sz w:val="18"/>
                <w:szCs w:val="18"/>
                <w:color w:val="auto"/>
                <w:w w:val="99"/>
              </w:rPr>
              <w:t>5</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222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4640" w:type="dxa"/>
            <w:vAlign w:val="bottom"/>
            <w:tcBorders>
              <w:bottom w:val="single" w:sz="8" w:color="808080"/>
            </w:tcBorders>
            <w:gridSpan w:val="11"/>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762"/>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40" w:type="dxa"/>
            <w:vAlign w:val="bottom"/>
            <w:gridSpan w:val="11"/>
          </w:tcPr>
          <w:p>
            <w:pPr>
              <w:jc w:val="center"/>
              <w:ind w:right="380"/>
              <w:spacing w:after="0"/>
              <w:rPr>
                <w:sz w:val="20"/>
                <w:szCs w:val="20"/>
                <w:color w:val="auto"/>
              </w:rPr>
            </w:pPr>
            <w:r>
              <w:rPr>
                <w:rFonts w:ascii="Arial" w:cs="Arial" w:eastAsia="Arial" w:hAnsi="Arial"/>
                <w:sz w:val="18"/>
                <w:szCs w:val="18"/>
                <w:b w:val="1"/>
                <w:bCs w:val="1"/>
                <w:color w:val="auto"/>
                <w:w w:val="99"/>
              </w:rPr>
              <w:t>THE TORO COMPANY AND SUBSIDIARIES</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40" w:type="dxa"/>
            <w:vAlign w:val="bottom"/>
            <w:gridSpan w:val="11"/>
          </w:tcPr>
          <w:p>
            <w:pPr>
              <w:jc w:val="center"/>
              <w:ind w:right="380"/>
              <w:spacing w:after="0"/>
              <w:rPr>
                <w:sz w:val="20"/>
                <w:szCs w:val="20"/>
                <w:color w:val="auto"/>
              </w:rPr>
            </w:pPr>
            <w:r>
              <w:rPr>
                <w:rFonts w:ascii="Arial" w:cs="Arial" w:eastAsia="Arial" w:hAnsi="Arial"/>
                <w:sz w:val="18"/>
                <w:szCs w:val="18"/>
                <w:b w:val="1"/>
                <w:bCs w:val="1"/>
                <w:color w:val="auto"/>
                <w:w w:val="88"/>
              </w:rPr>
              <w:t>Condensed Consolidated Balance Sheets (Unaudited)</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940" w:type="dxa"/>
            <w:vAlign w:val="bottom"/>
            <w:gridSpan w:val="5"/>
          </w:tcPr>
          <w:p>
            <w:pPr>
              <w:jc w:val="center"/>
              <w:spacing w:after="0"/>
              <w:rPr>
                <w:sz w:val="20"/>
                <w:szCs w:val="20"/>
                <w:color w:val="auto"/>
              </w:rPr>
            </w:pPr>
            <w:r>
              <w:rPr>
                <w:rFonts w:ascii="Arial" w:cs="Arial" w:eastAsia="Arial" w:hAnsi="Arial"/>
                <w:sz w:val="18"/>
                <w:szCs w:val="18"/>
                <w:b w:val="1"/>
                <w:bCs w:val="1"/>
                <w:color w:val="auto"/>
                <w:w w:val="89"/>
              </w:rPr>
              <w:t>(Dollars in thousands)</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93"/>
              </w:rPr>
              <w:t>July 29,</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3"/>
              </w:rPr>
              <w:t>July 31,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222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1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06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96"/>
              </w:rPr>
              <w:t>2016</w:t>
            </w:r>
          </w:p>
        </w:tc>
        <w:tc>
          <w:tcPr>
            <w:tcW w:w="6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89"/>
              </w:rPr>
              <w:t>2015</w:t>
            </w: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0" w:type="dxa"/>
            <w:vAlign w:val="bottom"/>
            <w:tcBorders>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color w:val="auto"/>
                <w:w w:val="87"/>
              </w:rPr>
              <w:t>ASSETS</w:t>
            </w:r>
          </w:p>
        </w:tc>
        <w:tc>
          <w:tcPr>
            <w:tcW w:w="2900" w:type="dxa"/>
            <w:vAlign w:val="bottom"/>
            <w:tcBorders>
              <w:bottom w:val="single" w:sz="8" w:color="CCEEFF"/>
            </w:tcBorders>
            <w:gridSpan w:val="2"/>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3"/>
          </w:tcPr>
          <w:p>
            <w:pPr>
              <w:spacing w:after="0"/>
              <w:rPr>
                <w:sz w:val="20"/>
                <w:szCs w:val="20"/>
                <w:color w:val="auto"/>
              </w:rPr>
            </w:pPr>
            <w:r>
              <w:rPr>
                <w:rFonts w:ascii="Arial" w:cs="Arial" w:eastAsia="Arial" w:hAnsi="Arial"/>
                <w:sz w:val="18"/>
                <w:szCs w:val="18"/>
                <w:color w:val="auto"/>
              </w:rPr>
              <w:t>Cash and cash equivalents</w:t>
            </w: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gridSpan w:val="4"/>
          </w:tcPr>
          <w:p>
            <w:pPr>
              <w:jc w:val="right"/>
              <w:ind w:right="70"/>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rPr>
              <w:t>277,243</w:t>
            </w:r>
          </w:p>
        </w:tc>
        <w:tc>
          <w:tcPr>
            <w:tcW w:w="3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110,335</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Receivables, net</w:t>
            </w: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202,389</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227,806</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3"/>
          </w:tcPr>
          <w:p>
            <w:pPr>
              <w:spacing w:after="0"/>
              <w:rPr>
                <w:sz w:val="20"/>
                <w:szCs w:val="20"/>
                <w:color w:val="auto"/>
              </w:rPr>
            </w:pPr>
            <w:r>
              <w:rPr>
                <w:rFonts w:ascii="Arial" w:cs="Arial" w:eastAsia="Arial" w:hAnsi="Arial"/>
                <w:sz w:val="18"/>
                <w:szCs w:val="18"/>
                <w:color w:val="auto"/>
              </w:rPr>
              <w:t>Inventories, net</w:t>
            </w: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rPr>
              <w:t>327,114</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350,194</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39,658</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39,743</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3"/>
          </w:tcPr>
          <w:p>
            <w:pPr>
              <w:spacing w:after="0"/>
              <w:rPr>
                <w:sz w:val="20"/>
                <w:szCs w:val="20"/>
                <w:color w:val="auto"/>
              </w:rPr>
            </w:pPr>
            <w:r>
              <w:rPr>
                <w:rFonts w:ascii="Arial" w:cs="Arial" w:eastAsia="Arial" w:hAnsi="Arial"/>
                <w:sz w:val="18"/>
                <w:szCs w:val="18"/>
                <w:color w:val="auto"/>
              </w:rPr>
              <w:t>Deferred income taxes</w:t>
            </w: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rPr>
              <w:t>39,062</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43,339</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40" w:type="dxa"/>
            <w:vAlign w:val="bottom"/>
            <w:tcBorders>
              <w:top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Total current assets</w:t>
            </w:r>
          </w:p>
        </w:tc>
        <w:tc>
          <w:tcPr>
            <w:tcW w:w="1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885,466</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771,417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220,876</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220,322</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3"/>
          </w:tcPr>
          <w:p>
            <w:pPr>
              <w:spacing w:after="0"/>
              <w:rPr>
                <w:sz w:val="20"/>
                <w:szCs w:val="20"/>
                <w:color w:val="auto"/>
              </w:rPr>
            </w:pPr>
            <w:r>
              <w:rPr>
                <w:rFonts w:ascii="Arial" w:cs="Arial" w:eastAsia="Arial" w:hAnsi="Arial"/>
                <w:sz w:val="18"/>
                <w:szCs w:val="18"/>
                <w:color w:val="auto"/>
              </w:rPr>
              <w:t>Long-term deferred income taxes</w:t>
            </w: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rPr>
              <w:t>26,154</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26,364</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Goodwill and other assets, net</w:t>
            </w: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334,966</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341,848</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540" w:type="dxa"/>
            <w:vAlign w:val="bottom"/>
            <w:tcBorders>
              <w:bottom w:val="single" w:sz="8" w:color="CCEEFF"/>
            </w:tcBorders>
            <w:gridSpan w:val="3"/>
          </w:tcPr>
          <w:p>
            <w:pPr>
              <w:ind w:left="180"/>
              <w:spacing w:after="0"/>
              <w:rPr>
                <w:sz w:val="20"/>
                <w:szCs w:val="20"/>
                <w:color w:val="auto"/>
              </w:rPr>
            </w:pPr>
            <w:r>
              <w:rPr>
                <w:rFonts w:ascii="Arial" w:cs="Arial" w:eastAsia="Arial" w:hAnsi="Arial"/>
                <w:sz w:val="18"/>
                <w:szCs w:val="18"/>
                <w:color w:val="auto"/>
              </w:rPr>
              <w:t>Total assets</w:t>
            </w:r>
          </w:p>
        </w:tc>
        <w:tc>
          <w:tcPr>
            <w:tcW w:w="1140" w:type="dxa"/>
            <w:vAlign w:val="bottom"/>
            <w:tcBorders>
              <w:bottom w:val="single" w:sz="8" w:color="CCEEFF"/>
            </w:tcBorders>
          </w:tcPr>
          <w:p>
            <w:pPr>
              <w:spacing w:after="0"/>
              <w:rPr>
                <w:sz w:val="21"/>
                <w:szCs w:val="21"/>
                <w:color w:val="auto"/>
              </w:rPr>
            </w:pPr>
          </w:p>
        </w:tc>
        <w:tc>
          <w:tcPr>
            <w:tcW w:w="30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11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106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gridSpan w:val="2"/>
          </w:tcPr>
          <w:p>
            <w:pPr>
              <w:spacing w:after="0"/>
              <w:rPr>
                <w:sz w:val="21"/>
                <w:szCs w:val="21"/>
                <w:color w:val="auto"/>
              </w:rPr>
            </w:pPr>
          </w:p>
        </w:tc>
        <w:tc>
          <w:tcPr>
            <w:tcW w:w="260" w:type="dxa"/>
            <w:vAlign w:val="bottom"/>
            <w:tcBorders>
              <w:top w:val="single" w:sz="8" w:color="auto"/>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1,467,462</w:t>
            </w:r>
          </w:p>
        </w:tc>
        <w:tc>
          <w:tcPr>
            <w:tcW w:w="22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1,359,951</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-2960370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-2960370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8220" w:type="dxa"/>
            <w:vAlign w:val="bottom"/>
            <w:gridSpan w:val="3"/>
          </w:tcPr>
          <w:p>
            <w:pPr>
              <w:spacing w:after="0"/>
              <w:rPr>
                <w:sz w:val="20"/>
                <w:szCs w:val="20"/>
                <w:color w:val="auto"/>
              </w:rPr>
            </w:pPr>
            <w:r>
              <w:rPr>
                <w:rFonts w:ascii="Arial" w:cs="Arial" w:eastAsia="Arial" w:hAnsi="Arial"/>
                <w:sz w:val="18"/>
                <w:szCs w:val="18"/>
                <w:color w:val="auto"/>
              </w:rPr>
              <w:t>LIABILITIES AND STOCKHOLDERS’ EQUITY</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680" w:type="dxa"/>
            <w:vAlign w:val="bottom"/>
            <w:tcBorders>
              <w:top w:val="single" w:sz="8" w:color="auto"/>
            </w:tcBorders>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portion of long-term debt</w:t>
            </w:r>
          </w:p>
        </w:tc>
        <w:tc>
          <w:tcPr>
            <w:tcW w:w="3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22,627</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23,279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2"/>
          </w:tcPr>
          <w:p>
            <w:pPr>
              <w:spacing w:after="0"/>
              <w:rPr>
                <w:sz w:val="20"/>
                <w:szCs w:val="20"/>
                <w:color w:val="auto"/>
              </w:rPr>
            </w:pPr>
            <w:r>
              <w:rPr>
                <w:rFonts w:ascii="Arial" w:cs="Arial" w:eastAsia="Arial" w:hAnsi="Arial"/>
                <w:sz w:val="18"/>
                <w:szCs w:val="18"/>
                <w:color w:val="auto"/>
              </w:rPr>
              <w:t>Short-term debt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5,189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172,156</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169,927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2"/>
          </w:tcPr>
          <w:p>
            <w:pPr>
              <w:spacing w:after="0"/>
              <w:rPr>
                <w:sz w:val="20"/>
                <w:szCs w:val="20"/>
                <w:color w:val="auto"/>
              </w:rPr>
            </w:pPr>
            <w:r>
              <w:rPr>
                <w:rFonts w:ascii="Arial" w:cs="Arial" w:eastAsia="Arial" w:hAnsi="Arial"/>
                <w:sz w:val="18"/>
                <w:szCs w:val="18"/>
                <w:color w:val="auto"/>
              </w:rPr>
              <w:t>Accrued liabilities</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318,628</w:t>
            </w:r>
          </w:p>
        </w:tc>
        <w:tc>
          <w:tcPr>
            <w:tcW w:w="2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300,576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00" w:type="dxa"/>
            <w:vAlign w:val="bottom"/>
            <w:tcBorders>
              <w:top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current liabilities</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513,411</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498,971</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8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 less current portion</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334,658</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358,053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2"/>
          </w:tcPr>
          <w:p>
            <w:pPr>
              <w:spacing w:after="0"/>
              <w:rPr>
                <w:sz w:val="20"/>
                <w:szCs w:val="20"/>
                <w:color w:val="auto"/>
              </w:rPr>
            </w:pPr>
            <w:r>
              <w:rPr>
                <w:rFonts w:ascii="Arial" w:cs="Arial" w:eastAsia="Arial" w:hAnsi="Arial"/>
                <w:sz w:val="18"/>
                <w:szCs w:val="18"/>
                <w:color w:val="auto"/>
              </w:rPr>
              <w:t>Deferred revenue</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11,958</w:t>
            </w:r>
          </w:p>
        </w:tc>
        <w:tc>
          <w:tcPr>
            <w:tcW w:w="2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11,324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29,585</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2"/>
          </w:tcPr>
          <w:p>
            <w:pPr>
              <w:spacing w:after="0"/>
              <w:rPr>
                <w:sz w:val="20"/>
                <w:szCs w:val="20"/>
                <w:color w:val="auto"/>
              </w:rPr>
            </w:pPr>
            <w:r>
              <w:rPr>
                <w:rFonts w:ascii="Arial" w:cs="Arial" w:eastAsia="Arial" w:hAnsi="Arial"/>
                <w:sz w:val="18"/>
                <w:szCs w:val="18"/>
                <w:color w:val="auto"/>
              </w:rPr>
              <w:t>Total stockholders’ equity</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577,850</w:t>
            </w:r>
          </w:p>
        </w:tc>
        <w:tc>
          <w:tcPr>
            <w:tcW w:w="2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465,173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0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liabilities and stockholders’ equity</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1,467,462</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1,359,951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20" w:type="dxa"/>
            <w:vAlign w:val="bottom"/>
            <w:gridSpan w:val="3"/>
            <w:vMerge w:val="restart"/>
          </w:tcPr>
          <w:p>
            <w:pPr>
              <w:jc w:val="right"/>
              <w:ind w:right="2370"/>
              <w:spacing w:after="0"/>
              <w:rPr>
                <w:sz w:val="20"/>
                <w:szCs w:val="20"/>
                <w:color w:val="auto"/>
              </w:rPr>
            </w:pPr>
            <w:r>
              <w:rPr>
                <w:rFonts w:ascii="Arial" w:cs="Arial" w:eastAsia="Arial" w:hAnsi="Arial"/>
                <w:sz w:val="18"/>
                <w:szCs w:val="18"/>
                <w:color w:val="auto"/>
              </w:rPr>
              <w:t>6</w:t>
            </w: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220" w:type="dxa"/>
            <w:vAlign w:val="bottom"/>
            <w:gridSpan w:val="3"/>
            <w:vMerge w:val="continue"/>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3680" w:type="dxa"/>
            <w:vAlign w:val="bottom"/>
            <w:tcBorders>
              <w:bottom w:val="single" w:sz="8" w:color="808080"/>
            </w:tcBorders>
          </w:tcPr>
          <w:p>
            <w:pPr>
              <w:spacing w:after="0"/>
              <w:rPr>
                <w:sz w:val="11"/>
                <w:szCs w:val="11"/>
                <w:color w:val="auto"/>
              </w:rPr>
            </w:pPr>
          </w:p>
        </w:tc>
        <w:tc>
          <w:tcPr>
            <w:tcW w:w="45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11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110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762"/>
        </w:trPr>
        <w:tc>
          <w:tcPr>
            <w:tcW w:w="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4520" w:type="dxa"/>
            <w:vAlign w:val="bottom"/>
          </w:tcPr>
          <w:p>
            <w:pPr>
              <w:jc w:val="center"/>
              <w:ind w:right="450"/>
              <w:spacing w:after="0"/>
              <w:rPr>
                <w:sz w:val="20"/>
                <w:szCs w:val="20"/>
                <w:color w:val="auto"/>
              </w:rPr>
            </w:pPr>
            <w:r>
              <w:rPr>
                <w:rFonts w:ascii="Arial" w:cs="Arial" w:eastAsia="Arial" w:hAnsi="Arial"/>
                <w:sz w:val="18"/>
                <w:szCs w:val="18"/>
                <w:b w:val="1"/>
                <w:bCs w:val="1"/>
                <w:color w:val="auto"/>
                <w:w w:val="99"/>
              </w:rPr>
              <w:t>THE TORO COMPANY AND SUBSIDIARIES</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2"/>
          </w:tcPr>
          <w:p>
            <w:pPr>
              <w:jc w:val="center"/>
              <w:ind w:left="3050"/>
              <w:spacing w:after="0"/>
              <w:rPr>
                <w:sz w:val="20"/>
                <w:szCs w:val="20"/>
                <w:color w:val="auto"/>
              </w:rPr>
            </w:pPr>
            <w:r>
              <w:rPr>
                <w:rFonts w:ascii="Arial" w:cs="Arial" w:eastAsia="Arial" w:hAnsi="Arial"/>
                <w:sz w:val="18"/>
                <w:szCs w:val="18"/>
                <w:b w:val="1"/>
                <w:bCs w:val="1"/>
                <w:color w:val="auto"/>
                <w:w w:val="88"/>
              </w:rPr>
              <w:t>Condensed Consolidated Statements of Cash Flows (Unaudited)</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4520" w:type="dxa"/>
            <w:vAlign w:val="bottom"/>
          </w:tcPr>
          <w:p>
            <w:pPr>
              <w:jc w:val="center"/>
              <w:ind w:right="410"/>
              <w:spacing w:after="0"/>
              <w:rPr>
                <w:sz w:val="20"/>
                <w:szCs w:val="20"/>
                <w:color w:val="auto"/>
              </w:rPr>
            </w:pPr>
            <w:r>
              <w:rPr>
                <w:rFonts w:ascii="Arial" w:cs="Arial" w:eastAsia="Arial" w:hAnsi="Arial"/>
                <w:sz w:val="18"/>
                <w:szCs w:val="18"/>
                <w:b w:val="1"/>
                <w:bCs w:val="1"/>
                <w:color w:val="auto"/>
                <w:w w:val="89"/>
              </w:rPr>
              <w:t>(Dollars in thousands)</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60" w:type="dxa"/>
            <w:vAlign w:val="bottom"/>
            <w:gridSpan w:val="5"/>
          </w:tcPr>
          <w:p>
            <w:pPr>
              <w:jc w:val="right"/>
              <w:ind w:right="1000"/>
              <w:spacing w:after="0"/>
              <w:rPr>
                <w:sz w:val="20"/>
                <w:szCs w:val="20"/>
                <w:color w:val="auto"/>
              </w:rPr>
            </w:pPr>
            <w:r>
              <w:rPr>
                <w:rFonts w:ascii="Arial" w:cs="Arial" w:eastAsia="Arial" w:hAnsi="Arial"/>
                <w:sz w:val="14"/>
                <w:szCs w:val="14"/>
                <w:b w:val="1"/>
                <w:bCs w:val="1"/>
                <w:color w:val="auto"/>
              </w:rPr>
              <w:t>Nine Months Ended</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4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400" w:type="dxa"/>
            <w:vAlign w:val="bottom"/>
            <w:tcBorders>
              <w:top w:val="single" w:sz="8" w:color="auto"/>
            </w:tcBorders>
            <w:gridSpan w:val="2"/>
          </w:tcPr>
          <w:p>
            <w:pPr>
              <w:jc w:val="right"/>
              <w:ind w:right="740"/>
              <w:spacing w:after="0" w:line="119" w:lineRule="exact"/>
              <w:rPr>
                <w:sz w:val="20"/>
                <w:szCs w:val="20"/>
                <w:color w:val="auto"/>
              </w:rPr>
            </w:pPr>
            <w:r>
              <w:rPr>
                <w:rFonts w:ascii="Arial" w:cs="Arial" w:eastAsia="Arial" w:hAnsi="Arial"/>
                <w:sz w:val="13"/>
                <w:szCs w:val="13"/>
                <w:b w:val="1"/>
                <w:bCs w:val="1"/>
                <w:color w:val="auto"/>
              </w:rPr>
              <w:t>July 29,</w:t>
            </w:r>
          </w:p>
        </w:tc>
        <w:tc>
          <w:tcPr>
            <w:tcW w:w="26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jc w:val="right"/>
              <w:ind w:right="351"/>
              <w:spacing w:after="0" w:line="119" w:lineRule="exact"/>
              <w:rPr>
                <w:sz w:val="20"/>
                <w:szCs w:val="20"/>
                <w:color w:val="auto"/>
              </w:rPr>
            </w:pPr>
            <w:r>
              <w:rPr>
                <w:rFonts w:ascii="Arial" w:cs="Arial" w:eastAsia="Arial" w:hAnsi="Arial"/>
                <w:sz w:val="13"/>
                <w:szCs w:val="13"/>
                <w:b w:val="1"/>
                <w:bCs w:val="1"/>
                <w:color w:val="auto"/>
              </w:rPr>
              <w:t>July 31,</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80" w:type="dxa"/>
            <w:vAlign w:val="bottom"/>
            <w:tcBorders>
              <w:bottom w:val="single" w:sz="8" w:color="CCEEFF"/>
            </w:tcBorders>
          </w:tcPr>
          <w:p>
            <w:pPr>
              <w:spacing w:after="0"/>
              <w:rPr>
                <w:sz w:val="14"/>
                <w:szCs w:val="14"/>
                <w:color w:val="auto"/>
              </w:rPr>
            </w:pPr>
          </w:p>
        </w:tc>
        <w:tc>
          <w:tcPr>
            <w:tcW w:w="45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2"/>
          </w:tcPr>
          <w:p>
            <w:pPr>
              <w:spacing w:after="0"/>
              <w:rPr>
                <w:sz w:val="20"/>
                <w:szCs w:val="20"/>
                <w:color w:val="auto"/>
              </w:rPr>
            </w:pPr>
            <w:r>
              <w:rPr>
                <w:rFonts w:ascii="Arial" w:cs="Arial" w:eastAsia="Arial" w:hAnsi="Arial"/>
                <w:sz w:val="18"/>
                <w:szCs w:val="18"/>
                <w:color w:val="auto"/>
              </w:rPr>
              <w:t>Net earnings</w:t>
            </w: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200,764</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178,037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Adjustments to reconcile net earnings to net cash provided by operating activities:</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2"/>
          </w:tcPr>
          <w:p>
            <w:pPr>
              <w:spacing w:after="0"/>
              <w:rPr>
                <w:sz w:val="20"/>
                <w:szCs w:val="20"/>
                <w:color w:val="auto"/>
              </w:rPr>
            </w:pPr>
            <w:r>
              <w:rPr>
                <w:rFonts w:ascii="Arial" w:cs="Arial" w:eastAsia="Arial" w:hAnsi="Arial"/>
                <w:sz w:val="18"/>
                <w:szCs w:val="18"/>
                <w:color w:val="auto"/>
              </w:rPr>
              <w:t>Non-cash income from finance affiliate</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(7,302)</w:t>
            </w:r>
          </w:p>
        </w:tc>
        <w:tc>
          <w:tcPr>
            <w:tcW w:w="26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(6,223)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for depreciation, amortization, and impairment loss</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46,332</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45,944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2"/>
          </w:tcPr>
          <w:p>
            <w:pPr>
              <w:spacing w:after="0"/>
              <w:rPr>
                <w:sz w:val="20"/>
                <w:szCs w:val="20"/>
                <w:color w:val="auto"/>
              </w:rPr>
            </w:pPr>
            <w:r>
              <w:rPr>
                <w:rFonts w:ascii="Arial" w:cs="Arial" w:eastAsia="Arial" w:hAnsi="Arial"/>
                <w:sz w:val="18"/>
                <w:szCs w:val="18"/>
                <w:color w:val="auto"/>
              </w:rPr>
              <w:t>Stock-based compensation expense</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7,723</w:t>
            </w:r>
          </w:p>
        </w:tc>
        <w:tc>
          <w:tcPr>
            <w:tcW w:w="2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7,815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Decrease/(increase) in deferred income taxes</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256</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2"/>
          </w:tcPr>
          <w:p>
            <w:pPr>
              <w:spacing w:after="0"/>
              <w:rPr>
                <w:sz w:val="20"/>
                <w:szCs w:val="20"/>
                <w:color w:val="auto"/>
              </w:rPr>
            </w:pPr>
            <w:r>
              <w:rPr>
                <w:rFonts w:ascii="Arial" w:cs="Arial" w:eastAsia="Arial" w:hAnsi="Arial"/>
                <w:sz w:val="18"/>
                <w:szCs w:val="18"/>
                <w:color w:val="auto"/>
              </w:rPr>
              <w:t>Other</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(464)</w:t>
            </w:r>
          </w:p>
        </w:tc>
        <w:tc>
          <w:tcPr>
            <w:tcW w:w="26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(67)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Changes in operating assets and liabilities, net of effect of acquisitions:</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2"/>
          </w:tcPr>
          <w:p>
            <w:pPr>
              <w:ind w:left="180"/>
              <w:spacing w:after="0"/>
              <w:rPr>
                <w:sz w:val="20"/>
                <w:szCs w:val="20"/>
                <w:color w:val="auto"/>
              </w:rPr>
            </w:pPr>
            <w:r>
              <w:rPr>
                <w:rFonts w:ascii="Arial" w:cs="Arial" w:eastAsia="Arial" w:hAnsi="Arial"/>
                <w:sz w:val="18"/>
                <w:szCs w:val="18"/>
                <w:color w:val="auto"/>
              </w:rPr>
              <w:t>Receivables, net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(23,699)</w:t>
            </w:r>
          </w:p>
        </w:tc>
        <w:tc>
          <w:tcPr>
            <w:tcW w:w="26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(74,916)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Inventories, net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3,428</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(67,902)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2"/>
          </w:tcPr>
          <w:p>
            <w:pPr>
              <w:ind w:left="180"/>
              <w:spacing w:after="0"/>
              <w:rPr>
                <w:sz w:val="20"/>
                <w:szCs w:val="20"/>
                <w:color w:val="auto"/>
              </w:rPr>
            </w:pPr>
            <w:r>
              <w:rPr>
                <w:rFonts w:ascii="Arial" w:cs="Arial" w:eastAsia="Arial" w:hAnsi="Arial"/>
                <w:sz w:val="18"/>
                <w:szCs w:val="18"/>
                <w:color w:val="auto"/>
              </w:rPr>
              <w:t>Prepaid expenses and other assets</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(2,108)</w:t>
            </w:r>
          </w:p>
        </w:tc>
        <w:tc>
          <w:tcPr>
            <w:tcW w:w="26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(5,563)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Accounts payable, accrued liabilities, deferred revenue, and other long-term liabilities</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63,977</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92,985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0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Net cash provided by/(used in) operating activities</w:t>
            </w: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288,907</w:t>
            </w:r>
          </w:p>
        </w:tc>
        <w:tc>
          <w:tcPr>
            <w:tcW w:w="2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168,014</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4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0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Purchases of property, plant, and equipment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(34,601)</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(37,544)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2"/>
          </w:tcPr>
          <w:p>
            <w:pPr>
              <w:ind w:left="180"/>
              <w:spacing w:after="0"/>
              <w:rPr>
                <w:sz w:val="20"/>
                <w:szCs w:val="20"/>
                <w:color w:val="auto"/>
              </w:rPr>
            </w:pPr>
            <w:r>
              <w:rPr>
                <w:rFonts w:ascii="Arial" w:cs="Arial" w:eastAsia="Arial" w:hAnsi="Arial"/>
                <w:sz w:val="18"/>
                <w:szCs w:val="18"/>
                <w:color w:val="auto"/>
              </w:rPr>
              <w:t>Proceeds from asset disposals</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232</w:t>
            </w:r>
          </w:p>
        </w:tc>
        <w:tc>
          <w:tcPr>
            <w:tcW w:w="2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77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Distributions from finance affiliate, net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3,594</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2"/>
          </w:tcPr>
          <w:p>
            <w:pPr>
              <w:ind w:left="180"/>
              <w:spacing w:after="0"/>
              <w:rPr>
                <w:sz w:val="20"/>
                <w:szCs w:val="20"/>
                <w:color w:val="auto"/>
              </w:rPr>
            </w:pPr>
            <w:r>
              <w:rPr>
                <w:rFonts w:ascii="Arial" w:cs="Arial" w:eastAsia="Arial" w:hAnsi="Arial"/>
                <w:sz w:val="18"/>
                <w:szCs w:val="18"/>
                <w:color w:val="auto"/>
              </w:rPr>
              <w:t>Proceeds from sale of a business</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1,500</w:t>
            </w:r>
          </w:p>
        </w:tc>
        <w:tc>
          <w:tcPr>
            <w:tcW w:w="2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Acquisitions, net of cash acquired</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(198,329)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0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Net cash provided by/(used in) investing activities</w:t>
            </w: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(29,275)</w:t>
            </w:r>
          </w:p>
        </w:tc>
        <w:tc>
          <w:tcPr>
            <w:tcW w:w="2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(233,868)</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4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0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Repayments of short-term debt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(1,161)</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(16,283)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2"/>
          </w:tcPr>
          <w:p>
            <w:pPr>
              <w:ind w:left="160"/>
              <w:spacing w:after="0"/>
              <w:rPr>
                <w:sz w:val="20"/>
                <w:szCs w:val="20"/>
                <w:color w:val="auto"/>
              </w:rPr>
            </w:pPr>
            <w:r>
              <w:rPr>
                <w:rFonts w:ascii="Arial" w:cs="Arial" w:eastAsia="Arial" w:hAnsi="Arial"/>
                <w:sz w:val="18"/>
                <w:szCs w:val="18"/>
                <w:color w:val="auto"/>
              </w:rPr>
              <w:t>(Repayments of)/increase in long-term debt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(20,713)</w:t>
            </w:r>
          </w:p>
        </w:tc>
        <w:tc>
          <w:tcPr>
            <w:tcW w:w="26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(3,831)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Excess tax benefits from stock-based awards</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15,078</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2"/>
          </w:tcPr>
          <w:p>
            <w:pPr>
              <w:ind w:left="180"/>
              <w:spacing w:after="0"/>
              <w:rPr>
                <w:sz w:val="20"/>
                <w:szCs w:val="20"/>
                <w:color w:val="auto"/>
              </w:rPr>
            </w:pPr>
            <w:r>
              <w:rPr>
                <w:rFonts w:ascii="Arial" w:cs="Arial" w:eastAsia="Arial" w:hAnsi="Arial"/>
                <w:sz w:val="18"/>
                <w:szCs w:val="18"/>
                <w:color w:val="auto"/>
              </w:rPr>
              <w:t>Proceeds from exercise of stock options</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19,691</w:t>
            </w:r>
          </w:p>
        </w:tc>
        <w:tc>
          <w:tcPr>
            <w:tcW w:w="2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8,615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Purchases of Toro common stock</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(69,189)</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(90,993)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2"/>
          </w:tcPr>
          <w:p>
            <w:pPr>
              <w:ind w:left="180"/>
              <w:spacing w:after="0"/>
              <w:rPr>
                <w:sz w:val="20"/>
                <w:szCs w:val="20"/>
                <w:color w:val="auto"/>
              </w:rPr>
            </w:pPr>
            <w:r>
              <w:rPr>
                <w:rFonts w:ascii="Arial" w:cs="Arial" w:eastAsia="Arial" w:hAnsi="Arial"/>
                <w:sz w:val="18"/>
                <w:szCs w:val="18"/>
                <w:color w:val="auto"/>
              </w:rPr>
              <w:t>Dividends paid on Toro common stock</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(49,488)</w:t>
            </w:r>
          </w:p>
        </w:tc>
        <w:tc>
          <w:tcPr>
            <w:tcW w:w="26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(41,794)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00" w:type="dxa"/>
            <w:vAlign w:val="bottom"/>
            <w:tcBorders>
              <w:top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Net cash provided by/(used in) financing activities</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(105,782)</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(136,478)</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8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 of exchange rates on cash and cash equivalents</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(2,882)</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8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increase/(decrease) in cash and cash equivalents</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150,968</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(204,538)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Cash and cash equivalents as of the beginning of the fiscal period</w:t>
            </w: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126,275</w:t>
            </w:r>
          </w:p>
        </w:tc>
        <w:tc>
          <w:tcPr>
            <w:tcW w:w="2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314,873</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and cash equivalents as of the end of the fiscal period</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277,243</w:t>
            </w:r>
          </w:p>
        </w:tc>
        <w:tc>
          <w:tcPr>
            <w:tcW w:w="2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110,335</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-6407785</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-6407785</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460"/>
          </w:cols>
          <w:pgMar w:left="240" w:top="108" w:right="199" w:bottom="1440" w:gutter="0" w:footer="0" w:header="0"/>
        </w:sectPr>
      </w:pP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60"/>
      </w:cols>
      <w:pgMar w:left="240" w:top="108" w:right="1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o"/>
      <w:numFmt w:val="bullet"/>
      <w:start w:val="1"/>
    </w:lvl>
  </w:abstractNum>
  <w:abstractNum w:abstractNumId="1">
    <w:nsid w:val="625558EC"/>
    <w:multiLevelType w:val="hybridMultilevel"/>
    <w:lvl w:ilvl="0">
      <w:lvlJc w:val="left"/>
      <w:lvlText w:val="(%1)"/>
      <w:numFmt w:val="lowerLetter"/>
      <w:start w:val="4"/>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2019-12-05T16:40:10Z</dcterms:created>
  <dcterms:modified xsi:type="dcterms:W3CDTF">2019-12-05T16:40:10Z</dcterms:modified>
</cp:coreProperties>
</file>